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tabs>
          <w:tab w:val="right" w:leader="dot" w:pos="8306"/>
        </w:tabs>
        <w:ind w:left="0" w:leftChars="0" w:firstLine="0" w:firstLineChars="0"/>
        <w:rPr>
          <w:rFonts w:hint="default" w:ascii="宋体" w:hAnsi="宋体" w:eastAsia="仿宋"/>
          <w:b/>
          <w:bCs/>
          <w:color w:val="auto"/>
          <w:highlight w:val="none"/>
          <w:lang w:val="en-US" w:eastAsia="zh-CN"/>
        </w:rPr>
      </w:pPr>
      <w:r>
        <w:rPr>
          <w:rFonts w:hint="eastAsia"/>
          <w:b/>
          <w:bCs/>
          <w:color w:val="auto"/>
          <w:highlight w:val="none"/>
          <w:lang w:val="en-US" w:eastAsia="zh-CN"/>
        </w:rPr>
        <w:t>附件：</w:t>
      </w:r>
    </w:p>
    <w:p>
      <w:pPr>
        <w:pStyle w:val="14"/>
        <w:tabs>
          <w:tab w:val="right" w:leader="dot" w:pos="8306"/>
        </w:tabs>
        <w:rPr>
          <w:rFonts w:hint="eastAsia" w:ascii="宋体" w:hAnsi="宋体"/>
          <w:color w:val="auto"/>
          <w:highlight w:val="none"/>
          <w:lang w:val="en-US" w:eastAsia="zh-CN"/>
        </w:rPr>
      </w:pPr>
    </w:p>
    <w:p>
      <w:pPr>
        <w:pStyle w:val="14"/>
        <w:tabs>
          <w:tab w:val="right" w:leader="dot" w:pos="8306"/>
        </w:tabs>
        <w:rPr>
          <w:rFonts w:hint="eastAsia" w:ascii="宋体" w:hAnsi="宋体"/>
          <w:color w:val="auto"/>
          <w:highlight w:val="none"/>
          <w:lang w:val="en-US" w:eastAsia="zh-CN"/>
        </w:rPr>
      </w:pPr>
    </w:p>
    <w:p>
      <w:pPr>
        <w:pStyle w:val="14"/>
        <w:tabs>
          <w:tab w:val="right" w:leader="dot" w:pos="8306"/>
        </w:tabs>
        <w:rPr>
          <w:rFonts w:hint="eastAsia" w:ascii="宋体" w:hAnsi="宋体"/>
          <w:color w:val="auto"/>
          <w:highlight w:val="none"/>
          <w:lang w:val="en-US" w:eastAsia="zh-CN"/>
        </w:rPr>
      </w:pPr>
    </w:p>
    <w:p>
      <w:pPr>
        <w:pStyle w:val="14"/>
        <w:tabs>
          <w:tab w:val="right" w:leader="dot" w:pos="8306"/>
        </w:tabs>
        <w:rPr>
          <w:rFonts w:hint="eastAsia" w:ascii="宋体" w:hAnsi="宋体"/>
          <w:color w:val="auto"/>
          <w:highlight w:val="none"/>
          <w:lang w:val="en-US" w:eastAsia="zh-CN"/>
        </w:rPr>
      </w:pPr>
    </w:p>
    <w:p>
      <w:pPr>
        <w:rPr>
          <w:rFonts w:hint="eastAsia" w:ascii="宋体" w:hAnsi="宋体"/>
          <w:color w:val="auto"/>
          <w:highlight w:val="none"/>
          <w:lang w:val="en-US" w:eastAsia="zh-CN"/>
        </w:rPr>
      </w:pPr>
    </w:p>
    <w:p>
      <w:pPr>
        <w:pStyle w:val="14"/>
        <w:tabs>
          <w:tab w:val="right" w:leader="dot" w:pos="8306"/>
        </w:tabs>
        <w:ind w:left="0" w:leftChars="0" w:firstLine="0" w:firstLineChars="0"/>
        <w:jc w:val="center"/>
        <w:rPr>
          <w:rFonts w:hint="eastAsia" w:ascii="宋体" w:hAnsi="宋体" w:eastAsia="方正小标宋简体" w:cs="方正小标宋简体"/>
          <w:color w:val="auto"/>
          <w:sz w:val="52"/>
          <w:szCs w:val="52"/>
          <w:highlight w:val="none"/>
          <w:lang w:val="en-US" w:eastAsia="zh-CN"/>
        </w:rPr>
      </w:pPr>
      <w:r>
        <w:rPr>
          <w:rFonts w:hint="eastAsia" w:ascii="宋体" w:hAnsi="宋体" w:eastAsia="方正小标宋简体" w:cs="方正小标宋简体"/>
          <w:color w:val="auto"/>
          <w:sz w:val="52"/>
          <w:szCs w:val="52"/>
          <w:highlight w:val="none"/>
          <w:lang w:val="en-US" w:eastAsia="zh-CN"/>
        </w:rPr>
        <w:t>吉林省财政发展“十四五”规划</w:t>
      </w:r>
    </w:p>
    <w:p>
      <w:pPr>
        <w:ind w:left="0" w:leftChars="0" w:firstLine="0" w:firstLineChars="0"/>
        <w:jc w:val="center"/>
        <w:rPr>
          <w:rFonts w:hint="eastAsia" w:ascii="楷体" w:hAnsi="楷体" w:eastAsia="楷体" w:cs="楷体"/>
          <w:color w:val="auto"/>
          <w:sz w:val="48"/>
          <w:szCs w:val="48"/>
          <w:highlight w:val="none"/>
          <w:lang w:val="en-US" w:eastAsia="zh-CN"/>
        </w:rPr>
      </w:pPr>
    </w:p>
    <w:p>
      <w:pPr>
        <w:pStyle w:val="2"/>
        <w:rPr>
          <w:rFonts w:hint="eastAsia" w:ascii="宋体" w:hAnsi="宋体" w:eastAsia="方正小标宋简体" w:cs="方正小标宋简体"/>
          <w:color w:val="auto"/>
          <w:sz w:val="52"/>
          <w:szCs w:val="52"/>
          <w:highlight w:val="none"/>
          <w:lang w:val="en-US" w:eastAsia="zh-CN"/>
        </w:rPr>
      </w:pPr>
    </w:p>
    <w:p>
      <w:pPr>
        <w:pStyle w:val="2"/>
        <w:rPr>
          <w:rFonts w:hint="eastAsia" w:ascii="宋体" w:hAnsi="宋体" w:eastAsia="方正小标宋简体" w:cs="方正小标宋简体"/>
          <w:color w:val="auto"/>
          <w:sz w:val="52"/>
          <w:szCs w:val="52"/>
          <w:highlight w:val="none"/>
          <w:lang w:val="en-US" w:eastAsia="zh-CN"/>
        </w:rPr>
      </w:pPr>
    </w:p>
    <w:p>
      <w:pPr>
        <w:pStyle w:val="2"/>
        <w:rPr>
          <w:rFonts w:hint="eastAsia" w:ascii="宋体" w:hAnsi="宋体" w:eastAsia="方正小标宋简体" w:cs="方正小标宋简体"/>
          <w:color w:val="auto"/>
          <w:sz w:val="52"/>
          <w:szCs w:val="52"/>
          <w:highlight w:val="none"/>
          <w:lang w:val="en-US" w:eastAsia="zh-CN"/>
        </w:rPr>
      </w:pPr>
    </w:p>
    <w:p>
      <w:pPr>
        <w:pStyle w:val="2"/>
        <w:rPr>
          <w:rFonts w:hint="eastAsia" w:ascii="宋体" w:hAnsi="宋体" w:eastAsia="方正小标宋简体" w:cs="方正小标宋简体"/>
          <w:color w:val="auto"/>
          <w:sz w:val="52"/>
          <w:szCs w:val="52"/>
          <w:highlight w:val="none"/>
          <w:lang w:val="en-US" w:eastAsia="zh-CN"/>
        </w:rPr>
      </w:pPr>
    </w:p>
    <w:p>
      <w:pPr>
        <w:pStyle w:val="2"/>
        <w:rPr>
          <w:rFonts w:hint="eastAsia" w:ascii="宋体" w:hAnsi="宋体" w:eastAsia="方正小标宋简体" w:cs="方正小标宋简体"/>
          <w:color w:val="auto"/>
          <w:sz w:val="52"/>
          <w:szCs w:val="52"/>
          <w:highlight w:val="none"/>
          <w:lang w:val="en-US" w:eastAsia="zh-CN"/>
        </w:rPr>
      </w:pPr>
    </w:p>
    <w:p>
      <w:pPr>
        <w:pStyle w:val="2"/>
        <w:rPr>
          <w:rFonts w:hint="eastAsia" w:ascii="宋体" w:hAnsi="宋体" w:eastAsia="方正小标宋简体" w:cs="方正小标宋简体"/>
          <w:color w:val="auto"/>
          <w:sz w:val="52"/>
          <w:szCs w:val="52"/>
          <w:highlight w:val="none"/>
          <w:lang w:val="en-US" w:eastAsia="zh-CN"/>
        </w:rPr>
      </w:pPr>
    </w:p>
    <w:p>
      <w:pPr>
        <w:pStyle w:val="2"/>
        <w:rPr>
          <w:rFonts w:hint="eastAsia" w:ascii="宋体" w:hAnsi="宋体" w:eastAsia="方正小标宋简体" w:cs="方正小标宋简体"/>
          <w:color w:val="auto"/>
          <w:sz w:val="52"/>
          <w:szCs w:val="52"/>
          <w:highlight w:val="none"/>
          <w:lang w:val="en-US" w:eastAsia="zh-CN"/>
        </w:rPr>
      </w:pPr>
    </w:p>
    <w:p>
      <w:pPr>
        <w:pStyle w:val="2"/>
        <w:rPr>
          <w:rFonts w:hint="eastAsia" w:ascii="宋体" w:hAnsi="宋体" w:eastAsia="方正小标宋简体" w:cs="方正小标宋简体"/>
          <w:color w:val="auto"/>
          <w:sz w:val="52"/>
          <w:szCs w:val="52"/>
          <w:highlight w:val="none"/>
          <w:lang w:val="en-US" w:eastAsia="zh-CN"/>
        </w:rPr>
      </w:pPr>
    </w:p>
    <w:p>
      <w:pPr>
        <w:pStyle w:val="2"/>
        <w:rPr>
          <w:rFonts w:hint="eastAsia" w:ascii="宋体" w:hAnsi="宋体" w:eastAsia="方正小标宋简体" w:cs="方正小标宋简体"/>
          <w:color w:val="auto"/>
          <w:sz w:val="52"/>
          <w:szCs w:val="52"/>
          <w:highlight w:val="none"/>
          <w:lang w:val="en-US" w:eastAsia="zh-CN"/>
        </w:rPr>
      </w:pPr>
    </w:p>
    <w:p>
      <w:pPr>
        <w:pStyle w:val="2"/>
        <w:rPr>
          <w:rFonts w:hint="eastAsia" w:ascii="宋体" w:hAnsi="宋体" w:eastAsia="方正小标宋简体" w:cs="方正小标宋简体"/>
          <w:color w:val="auto"/>
          <w:sz w:val="52"/>
          <w:szCs w:val="52"/>
          <w:highlight w:val="none"/>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fmt="numberInDash" w:start="1"/>
          <w:cols w:space="425" w:num="1"/>
          <w:titlePg/>
          <w:docGrid w:type="lines" w:linePitch="312" w:charSpace="0"/>
        </w:sectPr>
      </w:pPr>
    </w:p>
    <w:p>
      <w:pPr>
        <w:pStyle w:val="14"/>
        <w:tabs>
          <w:tab w:val="right" w:leader="dot" w:pos="8306"/>
        </w:tabs>
        <w:ind w:left="0" w:leftChars="0" w:firstLine="640" w:firstLineChars="200"/>
        <w:rPr>
          <w:rFonts w:hint="eastAsia" w:ascii="宋体" w:hAnsi="宋体"/>
          <w:color w:val="auto"/>
          <w:highlight w:val="none"/>
          <w:lang w:eastAsia="zh-CN"/>
        </w:rPr>
      </w:pPr>
    </w:p>
    <w:p>
      <w:pPr>
        <w:pStyle w:val="14"/>
        <w:tabs>
          <w:tab w:val="right" w:leader="dot" w:pos="8306"/>
        </w:tabs>
        <w:ind w:left="0" w:leftChars="0" w:firstLine="360" w:firstLineChars="100"/>
        <w:jc w:val="center"/>
        <w:rPr>
          <w:rFonts w:hint="eastAsia" w:ascii="宋体" w:hAnsi="宋体" w:eastAsia="方正小标宋简体" w:cs="方正小标宋简体"/>
          <w:color w:val="auto"/>
          <w:sz w:val="36"/>
          <w:szCs w:val="36"/>
          <w:highlight w:val="none"/>
          <w:lang w:eastAsia="zh-CN"/>
        </w:rPr>
      </w:pPr>
      <w:r>
        <w:rPr>
          <w:rFonts w:hint="eastAsia" w:ascii="宋体" w:hAnsi="宋体" w:eastAsia="方正小标宋简体" w:cs="方正小标宋简体"/>
          <w:color w:val="auto"/>
          <w:sz w:val="36"/>
          <w:szCs w:val="36"/>
          <w:highlight w:val="none"/>
          <w:lang w:eastAsia="zh-CN"/>
        </w:rPr>
        <w:t>目</w:t>
      </w:r>
      <w:r>
        <w:rPr>
          <w:rFonts w:hint="eastAsia" w:ascii="宋体" w:hAnsi="宋体" w:eastAsia="方正小标宋简体" w:cs="方正小标宋简体"/>
          <w:color w:val="auto"/>
          <w:sz w:val="36"/>
          <w:szCs w:val="36"/>
          <w:highlight w:val="none"/>
          <w:lang w:val="en-US" w:eastAsia="zh-CN"/>
        </w:rPr>
        <w:t xml:space="preserve"> </w:t>
      </w:r>
      <w:r>
        <w:rPr>
          <w:rFonts w:hint="eastAsia" w:ascii="宋体" w:hAnsi="宋体" w:eastAsia="方正小标宋简体" w:cs="方正小标宋简体"/>
          <w:color w:val="auto"/>
          <w:sz w:val="36"/>
          <w:szCs w:val="36"/>
          <w:highlight w:val="none"/>
          <w:lang w:eastAsia="zh-CN"/>
        </w:rPr>
        <w:t>录</w:t>
      </w:r>
    </w:p>
    <w:p>
      <w:pPr>
        <w:pStyle w:val="14"/>
        <w:tabs>
          <w:tab w:val="right" w:leader="dot" w:pos="8306"/>
        </w:tabs>
        <w:ind w:left="0" w:leftChars="0" w:firstLine="320" w:firstLineChars="100"/>
        <w:rPr>
          <w:rFonts w:hint="eastAsia" w:ascii="宋体" w:hAnsi="宋体"/>
          <w:color w:val="auto"/>
          <w:highlight w:val="none"/>
          <w:lang w:eastAsia="zh-CN"/>
        </w:rPr>
      </w:pPr>
    </w:p>
    <w:sdt>
      <w:sdtPr>
        <w:rPr>
          <w:rFonts w:ascii="宋体" w:hAnsi="宋体" w:eastAsia="宋体" w:cstheme="minorBidi"/>
          <w:kern w:val="2"/>
          <w:sz w:val="21"/>
          <w:szCs w:val="24"/>
          <w:lang w:val="en-US" w:eastAsia="zh-CN" w:bidi="ar-SA"/>
        </w:rPr>
        <w:id w:val="147480350"/>
      </w:sdtPr>
      <w:sdtEndPr>
        <w:rPr>
          <w:rFonts w:ascii="宋体" w:hAnsi="宋体" w:eastAsia="仿宋" w:cstheme="minorBidi"/>
          <w:kern w:val="2"/>
          <w:sz w:val="32"/>
          <w:szCs w:val="24"/>
          <w:lang w:val="en-US" w:eastAsia="zh-CN" w:bidi="ar-SA"/>
        </w:rPr>
      </w:sdtEndPr>
      <w:sdtContent>
        <w:p>
          <w:pPr>
            <w:spacing w:before="0" w:beforeLines="0" w:after="0" w:afterLines="0" w:line="240" w:lineRule="auto"/>
            <w:ind w:left="0" w:leftChars="0" w:right="0" w:rightChars="0" w:firstLine="0" w:firstLineChars="0"/>
            <w:jc w:val="center"/>
          </w:pP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sz w:val="24"/>
              <w:szCs w:val="24"/>
            </w:rPr>
            <w:fldChar w:fldCharType="begin"/>
          </w:r>
          <w:r>
            <w:rPr>
              <w:sz w:val="24"/>
              <w:szCs w:val="24"/>
            </w:rPr>
            <w:instrText xml:space="preserve">TOC \o "1-2" \h \u </w:instrText>
          </w:r>
          <w:r>
            <w:rPr>
              <w:sz w:val="24"/>
              <w:szCs w:val="24"/>
            </w:rPr>
            <w:fldChar w:fldCharType="separate"/>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_Toc20629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rPr>
            <w:t>一、“十三五”时期财政发展取得成就</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_Toc20629 \h </w:instrText>
          </w:r>
          <w:r>
            <w:rPr>
              <w:rFonts w:hint="eastAsia" w:ascii="宋体" w:hAnsi="宋体" w:eastAsia="黑体" w:cs="黑体"/>
              <w:sz w:val="24"/>
              <w:szCs w:val="24"/>
            </w:rPr>
            <w:fldChar w:fldCharType="separate"/>
          </w:r>
          <w:r>
            <w:rPr>
              <w:rFonts w:hint="eastAsia" w:ascii="宋体" w:hAnsi="宋体" w:eastAsia="黑体" w:cs="黑体"/>
              <w:sz w:val="24"/>
              <w:szCs w:val="24"/>
            </w:rPr>
            <w:t>1</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_Toc18364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（一）财政收入结构不断改善，保障能力不断增强</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_Toc18364 \h </w:instrText>
          </w:r>
          <w:r>
            <w:rPr>
              <w:rFonts w:hint="eastAsia" w:ascii="宋体" w:hAnsi="宋体" w:eastAsia="仿宋" w:cs="仿宋"/>
              <w:sz w:val="24"/>
              <w:szCs w:val="24"/>
            </w:rPr>
            <w:fldChar w:fldCharType="separate"/>
          </w:r>
          <w:r>
            <w:rPr>
              <w:rFonts w:hint="eastAsia" w:ascii="宋体" w:hAnsi="宋体" w:eastAsia="仿宋" w:cs="仿宋"/>
              <w:sz w:val="24"/>
              <w:szCs w:val="24"/>
            </w:rPr>
            <w:t>1</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_Toc12147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（二）支持深化供给侧结构性改革，推动经济平稳发展</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_Toc12147 \h </w:instrText>
          </w:r>
          <w:r>
            <w:rPr>
              <w:rFonts w:hint="eastAsia" w:ascii="宋体" w:hAnsi="宋体" w:eastAsia="仿宋" w:cs="仿宋"/>
              <w:sz w:val="24"/>
              <w:szCs w:val="24"/>
            </w:rPr>
            <w:fldChar w:fldCharType="separate"/>
          </w:r>
          <w:r>
            <w:rPr>
              <w:rFonts w:hint="eastAsia" w:ascii="宋体" w:hAnsi="宋体" w:eastAsia="仿宋" w:cs="仿宋"/>
              <w:sz w:val="24"/>
              <w:szCs w:val="24"/>
            </w:rPr>
            <w:t>2</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_Toc27317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（三）强化政策保障和资金支持，坚决打赢三大攻坚战</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_Toc27317 \h </w:instrText>
          </w:r>
          <w:r>
            <w:rPr>
              <w:rFonts w:hint="eastAsia" w:ascii="宋体" w:hAnsi="宋体" w:eastAsia="仿宋" w:cs="仿宋"/>
              <w:sz w:val="24"/>
              <w:szCs w:val="24"/>
            </w:rPr>
            <w:fldChar w:fldCharType="separate"/>
          </w:r>
          <w:r>
            <w:rPr>
              <w:rFonts w:hint="eastAsia" w:ascii="宋体" w:hAnsi="宋体" w:eastAsia="仿宋" w:cs="仿宋"/>
              <w:sz w:val="24"/>
              <w:szCs w:val="24"/>
            </w:rPr>
            <w:t>3</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_Toc5099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（四）坚持尽力而为量力而行，提高保障和改善民生水平</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_Toc5099 \h </w:instrText>
          </w:r>
          <w:r>
            <w:rPr>
              <w:rFonts w:hint="eastAsia" w:ascii="宋体" w:hAnsi="宋体" w:eastAsia="仿宋" w:cs="仿宋"/>
              <w:sz w:val="24"/>
              <w:szCs w:val="24"/>
            </w:rPr>
            <w:fldChar w:fldCharType="separate"/>
          </w:r>
          <w:r>
            <w:rPr>
              <w:rFonts w:hint="eastAsia" w:ascii="宋体" w:hAnsi="宋体" w:eastAsia="仿宋" w:cs="仿宋"/>
              <w:sz w:val="24"/>
              <w:szCs w:val="24"/>
            </w:rPr>
            <w:t>4</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_Toc12487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（五）深化财政管理改革，提升财政管理水平</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_Toc12487 \h </w:instrText>
          </w:r>
          <w:r>
            <w:rPr>
              <w:rFonts w:hint="eastAsia" w:ascii="宋体" w:hAnsi="宋体" w:eastAsia="仿宋" w:cs="仿宋"/>
              <w:sz w:val="24"/>
              <w:szCs w:val="24"/>
            </w:rPr>
            <w:fldChar w:fldCharType="separate"/>
          </w:r>
          <w:r>
            <w:rPr>
              <w:rFonts w:hint="eastAsia" w:ascii="宋体" w:hAnsi="宋体" w:eastAsia="仿宋" w:cs="仿宋"/>
              <w:sz w:val="24"/>
              <w:szCs w:val="24"/>
            </w:rPr>
            <w:t>5</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_Toc21612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rPr>
            <w:t>二、“十四五”时期财政发展面临的形势</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_Toc21612 \h </w:instrText>
          </w:r>
          <w:r>
            <w:rPr>
              <w:rFonts w:hint="eastAsia" w:ascii="宋体" w:hAnsi="宋体" w:eastAsia="黑体" w:cs="黑体"/>
              <w:sz w:val="24"/>
              <w:szCs w:val="24"/>
            </w:rPr>
            <w:fldChar w:fldCharType="separate"/>
          </w:r>
          <w:r>
            <w:rPr>
              <w:rFonts w:hint="eastAsia" w:ascii="宋体" w:hAnsi="宋体" w:eastAsia="黑体" w:cs="黑体"/>
              <w:sz w:val="24"/>
              <w:szCs w:val="24"/>
            </w:rPr>
            <w:t>7</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_Toc28612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w:t>
          </w:r>
          <w:r>
            <w:rPr>
              <w:rFonts w:hint="eastAsia" w:ascii="宋体" w:hAnsi="宋体" w:eastAsia="仿宋" w:cs="仿宋"/>
              <w:sz w:val="24"/>
              <w:szCs w:val="24"/>
              <w:highlight w:val="none"/>
              <w:lang w:val="en-US" w:eastAsia="zh-CN" w:bidi="ar-SA"/>
            </w:rPr>
            <w:t>财政发展面临重要机遇</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_Toc28612 \h </w:instrText>
          </w:r>
          <w:r>
            <w:rPr>
              <w:rFonts w:hint="eastAsia" w:ascii="宋体" w:hAnsi="宋体" w:eastAsia="仿宋" w:cs="仿宋"/>
              <w:sz w:val="24"/>
              <w:szCs w:val="24"/>
            </w:rPr>
            <w:fldChar w:fldCharType="separate"/>
          </w:r>
          <w:r>
            <w:rPr>
              <w:rFonts w:hint="eastAsia" w:ascii="宋体" w:hAnsi="宋体" w:eastAsia="仿宋" w:cs="仿宋"/>
              <w:sz w:val="24"/>
              <w:szCs w:val="24"/>
            </w:rPr>
            <w:t>7</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_Toc27672 </w:instrText>
          </w:r>
          <w:r>
            <w:rPr>
              <w:rFonts w:hint="eastAsia" w:ascii="宋体" w:hAnsi="宋体" w:eastAsia="仿宋" w:cs="仿宋"/>
              <w:sz w:val="24"/>
              <w:szCs w:val="24"/>
            </w:rPr>
            <w:fldChar w:fldCharType="separate"/>
          </w:r>
          <w:r>
            <w:rPr>
              <w:rFonts w:hint="eastAsia" w:ascii="宋体" w:hAnsi="宋体" w:eastAsia="仿宋" w:cs="仿宋"/>
              <w:sz w:val="24"/>
              <w:szCs w:val="24"/>
              <w:lang w:eastAsia="zh-CN"/>
            </w:rPr>
            <w:t>（二）财政发展任务仍然艰巨</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_Toc27672 \h </w:instrText>
          </w:r>
          <w:r>
            <w:rPr>
              <w:rFonts w:hint="eastAsia" w:ascii="宋体" w:hAnsi="宋体" w:eastAsia="仿宋" w:cs="仿宋"/>
              <w:sz w:val="24"/>
              <w:szCs w:val="24"/>
            </w:rPr>
            <w:fldChar w:fldCharType="separate"/>
          </w:r>
          <w:r>
            <w:rPr>
              <w:rFonts w:hint="eastAsia" w:ascii="宋体" w:hAnsi="宋体" w:eastAsia="仿宋" w:cs="仿宋"/>
              <w:sz w:val="24"/>
              <w:szCs w:val="24"/>
            </w:rPr>
            <w:t>8</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_Toc10357 </w:instrText>
          </w:r>
          <w:r>
            <w:rPr>
              <w:rFonts w:hint="eastAsia" w:ascii="宋体" w:hAnsi="宋体" w:eastAsia="仿宋" w:cs="仿宋"/>
              <w:sz w:val="24"/>
              <w:szCs w:val="24"/>
            </w:rPr>
            <w:fldChar w:fldCharType="separate"/>
          </w:r>
          <w:r>
            <w:rPr>
              <w:rFonts w:hint="eastAsia" w:ascii="宋体" w:hAnsi="宋体" w:eastAsia="仿宋" w:cs="仿宋"/>
              <w:sz w:val="24"/>
              <w:szCs w:val="24"/>
              <w:lang w:eastAsia="zh-CN"/>
            </w:rPr>
            <w:t>（三）财政收支形势预测分析</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_Toc10357 \h </w:instrText>
          </w:r>
          <w:r>
            <w:rPr>
              <w:rFonts w:hint="eastAsia" w:ascii="宋体" w:hAnsi="宋体" w:eastAsia="仿宋" w:cs="仿宋"/>
              <w:sz w:val="24"/>
              <w:szCs w:val="24"/>
            </w:rPr>
            <w:fldChar w:fldCharType="separate"/>
          </w:r>
          <w:r>
            <w:rPr>
              <w:rFonts w:hint="eastAsia" w:ascii="宋体" w:hAnsi="宋体" w:eastAsia="仿宋" w:cs="仿宋"/>
              <w:sz w:val="24"/>
              <w:szCs w:val="24"/>
            </w:rPr>
            <w:t>8</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_Toc18943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rPr>
            <w:t>三、“十四五”时期财政发展指导思想、基本原则和主要目标</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_Toc18943 \h </w:instrText>
          </w:r>
          <w:r>
            <w:rPr>
              <w:rFonts w:hint="eastAsia" w:ascii="宋体" w:hAnsi="宋体" w:eastAsia="黑体" w:cs="黑体"/>
              <w:sz w:val="24"/>
              <w:szCs w:val="24"/>
            </w:rPr>
            <w:fldChar w:fldCharType="separate"/>
          </w:r>
          <w:r>
            <w:rPr>
              <w:rFonts w:hint="eastAsia" w:ascii="宋体" w:hAnsi="宋体" w:eastAsia="黑体" w:cs="黑体"/>
              <w:sz w:val="24"/>
              <w:szCs w:val="24"/>
            </w:rPr>
            <w:t>10</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_Toc24946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（一）指导思想</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_Toc24946 \h </w:instrText>
          </w:r>
          <w:r>
            <w:rPr>
              <w:rFonts w:hint="eastAsia" w:ascii="宋体" w:hAnsi="宋体" w:eastAsia="仿宋" w:cs="仿宋"/>
              <w:sz w:val="24"/>
              <w:szCs w:val="24"/>
            </w:rPr>
            <w:fldChar w:fldCharType="separate"/>
          </w:r>
          <w:r>
            <w:rPr>
              <w:rFonts w:hint="eastAsia" w:ascii="宋体" w:hAnsi="宋体" w:eastAsia="仿宋" w:cs="仿宋"/>
              <w:sz w:val="24"/>
              <w:szCs w:val="24"/>
            </w:rPr>
            <w:t>10</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_Toc26386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（二）基本原则</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_Toc26386 \h </w:instrText>
          </w:r>
          <w:r>
            <w:rPr>
              <w:rFonts w:hint="eastAsia" w:ascii="宋体" w:hAnsi="宋体" w:eastAsia="仿宋" w:cs="仿宋"/>
              <w:sz w:val="24"/>
              <w:szCs w:val="24"/>
            </w:rPr>
            <w:fldChar w:fldCharType="separate"/>
          </w:r>
          <w:r>
            <w:rPr>
              <w:rFonts w:hint="eastAsia" w:ascii="宋体" w:hAnsi="宋体" w:eastAsia="仿宋" w:cs="仿宋"/>
              <w:sz w:val="24"/>
              <w:szCs w:val="24"/>
            </w:rPr>
            <w:t>11</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_Toc29111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（三）基本理念</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_Toc29111 \h </w:instrText>
          </w:r>
          <w:r>
            <w:rPr>
              <w:rFonts w:hint="eastAsia" w:ascii="宋体" w:hAnsi="宋体" w:eastAsia="仿宋" w:cs="仿宋"/>
              <w:sz w:val="24"/>
              <w:szCs w:val="24"/>
            </w:rPr>
            <w:fldChar w:fldCharType="separate"/>
          </w:r>
          <w:r>
            <w:rPr>
              <w:rFonts w:hint="eastAsia" w:ascii="宋体" w:hAnsi="宋体" w:eastAsia="仿宋" w:cs="仿宋"/>
              <w:sz w:val="24"/>
              <w:szCs w:val="24"/>
            </w:rPr>
            <w:t>12</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_Toc16618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（四）主要目标</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_Toc16618 \h </w:instrText>
          </w:r>
          <w:r>
            <w:rPr>
              <w:rFonts w:hint="eastAsia" w:ascii="宋体" w:hAnsi="宋体" w:eastAsia="仿宋" w:cs="仿宋"/>
              <w:sz w:val="24"/>
              <w:szCs w:val="24"/>
            </w:rPr>
            <w:fldChar w:fldCharType="separate"/>
          </w:r>
          <w:r>
            <w:rPr>
              <w:rFonts w:hint="eastAsia" w:ascii="宋体" w:hAnsi="宋体" w:eastAsia="仿宋" w:cs="仿宋"/>
              <w:sz w:val="24"/>
              <w:szCs w:val="24"/>
            </w:rPr>
            <w:t>15</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_Toc219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lang w:eastAsia="zh-CN"/>
            </w:rPr>
            <w:t>四</w:t>
          </w:r>
          <w:r>
            <w:rPr>
              <w:rFonts w:hint="eastAsia" w:ascii="宋体" w:hAnsi="宋体" w:eastAsia="黑体" w:cs="黑体"/>
              <w:sz w:val="24"/>
              <w:szCs w:val="24"/>
              <w:highlight w:val="none"/>
            </w:rPr>
            <w:t>、持续深化预算管理改革</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_Toc219 \h </w:instrText>
          </w:r>
          <w:r>
            <w:rPr>
              <w:rFonts w:hint="eastAsia" w:ascii="宋体" w:hAnsi="宋体" w:eastAsia="黑体" w:cs="黑体"/>
              <w:sz w:val="24"/>
              <w:szCs w:val="24"/>
            </w:rPr>
            <w:fldChar w:fldCharType="separate"/>
          </w:r>
          <w:r>
            <w:rPr>
              <w:rFonts w:hint="eastAsia" w:ascii="宋体" w:hAnsi="宋体" w:eastAsia="黑体" w:cs="黑体"/>
              <w:sz w:val="24"/>
              <w:szCs w:val="24"/>
            </w:rPr>
            <w:t>17</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_Toc1945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（一）加强财政资源统筹</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_Toc1945 \h </w:instrText>
          </w:r>
          <w:r>
            <w:rPr>
              <w:rFonts w:hint="eastAsia" w:ascii="宋体" w:hAnsi="宋体" w:eastAsia="仿宋" w:cs="仿宋"/>
              <w:sz w:val="24"/>
              <w:szCs w:val="24"/>
            </w:rPr>
            <w:fldChar w:fldCharType="separate"/>
          </w:r>
          <w:r>
            <w:rPr>
              <w:rFonts w:hint="eastAsia" w:ascii="宋体" w:hAnsi="宋体" w:eastAsia="仿宋" w:cs="仿宋"/>
              <w:sz w:val="24"/>
              <w:szCs w:val="24"/>
            </w:rPr>
            <w:t>17</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_Toc29210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lang w:eastAsia="zh-CN"/>
            </w:rPr>
            <w:t>（二）</w:t>
          </w:r>
          <w:r>
            <w:rPr>
              <w:rFonts w:hint="eastAsia" w:ascii="宋体" w:hAnsi="宋体" w:eastAsia="仿宋" w:cs="仿宋"/>
              <w:sz w:val="24"/>
              <w:szCs w:val="24"/>
              <w:highlight w:val="none"/>
            </w:rPr>
            <w:t>健全科学规范的财政支出体系</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_Toc29210 \h </w:instrText>
          </w:r>
          <w:r>
            <w:rPr>
              <w:rFonts w:hint="eastAsia" w:ascii="宋体" w:hAnsi="宋体" w:eastAsia="仿宋" w:cs="仿宋"/>
              <w:sz w:val="24"/>
              <w:szCs w:val="24"/>
            </w:rPr>
            <w:fldChar w:fldCharType="separate"/>
          </w:r>
          <w:r>
            <w:rPr>
              <w:rFonts w:hint="eastAsia" w:ascii="宋体" w:hAnsi="宋体" w:eastAsia="仿宋" w:cs="仿宋"/>
              <w:sz w:val="24"/>
              <w:szCs w:val="24"/>
            </w:rPr>
            <w:t>18</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_Toc32535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lang w:eastAsia="zh-CN"/>
            </w:rPr>
            <w:t>（三）</w:t>
          </w:r>
          <w:r>
            <w:rPr>
              <w:rFonts w:hint="eastAsia" w:ascii="宋体" w:hAnsi="宋体" w:eastAsia="仿宋" w:cs="仿宋"/>
              <w:sz w:val="24"/>
              <w:szCs w:val="24"/>
              <w:highlight w:val="none"/>
            </w:rPr>
            <w:t>完善中期财政规划管理</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_Toc32535 \h </w:instrText>
          </w:r>
          <w:r>
            <w:rPr>
              <w:rFonts w:hint="eastAsia" w:ascii="宋体" w:hAnsi="宋体" w:eastAsia="仿宋" w:cs="仿宋"/>
              <w:sz w:val="24"/>
              <w:szCs w:val="24"/>
            </w:rPr>
            <w:fldChar w:fldCharType="separate"/>
          </w:r>
          <w:r>
            <w:rPr>
              <w:rFonts w:hint="eastAsia" w:ascii="宋体" w:hAnsi="宋体" w:eastAsia="仿宋" w:cs="仿宋"/>
              <w:sz w:val="24"/>
              <w:szCs w:val="24"/>
            </w:rPr>
            <w:t>18</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_Toc22671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lang w:eastAsia="zh-CN"/>
            </w:rPr>
            <w:t>（四）</w:t>
          </w:r>
          <w:r>
            <w:rPr>
              <w:rFonts w:hint="eastAsia" w:ascii="宋体" w:hAnsi="宋体" w:eastAsia="仿宋" w:cs="仿宋"/>
              <w:sz w:val="24"/>
              <w:szCs w:val="24"/>
              <w:highlight w:val="none"/>
            </w:rPr>
            <w:t>强化预算约束</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_Toc22671 \h </w:instrText>
          </w:r>
          <w:r>
            <w:rPr>
              <w:rFonts w:hint="eastAsia" w:ascii="宋体" w:hAnsi="宋体" w:eastAsia="仿宋" w:cs="仿宋"/>
              <w:sz w:val="24"/>
              <w:szCs w:val="24"/>
            </w:rPr>
            <w:fldChar w:fldCharType="separate"/>
          </w:r>
          <w:r>
            <w:rPr>
              <w:rFonts w:hint="eastAsia" w:ascii="宋体" w:hAnsi="宋体" w:eastAsia="仿宋" w:cs="仿宋"/>
              <w:sz w:val="24"/>
              <w:szCs w:val="24"/>
            </w:rPr>
            <w:t>18</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_Toc22799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lang w:eastAsia="zh-CN"/>
            </w:rPr>
            <w:t>（五）</w:t>
          </w:r>
          <w:r>
            <w:rPr>
              <w:rFonts w:hint="eastAsia" w:ascii="宋体" w:hAnsi="宋体" w:eastAsia="仿宋" w:cs="仿宋"/>
              <w:sz w:val="24"/>
              <w:szCs w:val="24"/>
              <w:highlight w:val="none"/>
            </w:rPr>
            <w:t>深入推进预算公开</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_Toc22799 \h </w:instrText>
          </w:r>
          <w:r>
            <w:rPr>
              <w:rFonts w:hint="eastAsia" w:ascii="宋体" w:hAnsi="宋体" w:eastAsia="仿宋" w:cs="仿宋"/>
              <w:sz w:val="24"/>
              <w:szCs w:val="24"/>
            </w:rPr>
            <w:fldChar w:fldCharType="separate"/>
          </w:r>
          <w:r>
            <w:rPr>
              <w:rFonts w:hint="eastAsia" w:ascii="宋体" w:hAnsi="宋体" w:eastAsia="仿宋" w:cs="仿宋"/>
              <w:sz w:val="24"/>
              <w:szCs w:val="24"/>
            </w:rPr>
            <w:t>19</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_Toc17994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lang w:eastAsia="zh-CN"/>
            </w:rPr>
            <w:t>五</w:t>
          </w:r>
          <w:r>
            <w:rPr>
              <w:rFonts w:hint="eastAsia" w:ascii="宋体" w:hAnsi="宋体" w:eastAsia="黑体" w:cs="黑体"/>
              <w:sz w:val="24"/>
              <w:szCs w:val="24"/>
              <w:highlight w:val="none"/>
            </w:rPr>
            <w:t>、全面深化预算绩效管理改革</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_Toc17994 \h </w:instrText>
          </w:r>
          <w:r>
            <w:rPr>
              <w:rFonts w:hint="eastAsia" w:ascii="宋体" w:hAnsi="宋体" w:eastAsia="黑体" w:cs="黑体"/>
              <w:sz w:val="24"/>
              <w:szCs w:val="24"/>
            </w:rPr>
            <w:fldChar w:fldCharType="separate"/>
          </w:r>
          <w:r>
            <w:rPr>
              <w:rFonts w:hint="eastAsia" w:ascii="宋体" w:hAnsi="宋体" w:eastAsia="黑体" w:cs="黑体"/>
              <w:sz w:val="24"/>
              <w:szCs w:val="24"/>
            </w:rPr>
            <w:t>19</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_Toc12820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（一）全面构建管理框架，服务高质量发展</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_Toc12820 \h </w:instrText>
          </w:r>
          <w:r>
            <w:rPr>
              <w:rFonts w:hint="eastAsia" w:ascii="宋体" w:hAnsi="宋体" w:eastAsia="仿宋" w:cs="仿宋"/>
              <w:sz w:val="24"/>
              <w:szCs w:val="24"/>
            </w:rPr>
            <w:fldChar w:fldCharType="separate"/>
          </w:r>
          <w:r>
            <w:rPr>
              <w:rFonts w:hint="eastAsia" w:ascii="宋体" w:hAnsi="宋体" w:eastAsia="仿宋" w:cs="仿宋"/>
              <w:sz w:val="24"/>
              <w:szCs w:val="24"/>
            </w:rPr>
            <w:t>19</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_Toc5429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lang w:eastAsia="zh-CN"/>
            </w:rPr>
            <w:t>（二）</w:t>
          </w:r>
          <w:r>
            <w:rPr>
              <w:rFonts w:hint="eastAsia" w:ascii="宋体" w:hAnsi="宋体" w:eastAsia="仿宋" w:cs="仿宋"/>
              <w:sz w:val="24"/>
              <w:szCs w:val="24"/>
              <w:highlight w:val="none"/>
            </w:rPr>
            <w:t>加强评估评价，增强政策可行性和财政可持续性</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_Toc5429 \h </w:instrText>
          </w:r>
          <w:r>
            <w:rPr>
              <w:rFonts w:hint="eastAsia" w:ascii="宋体" w:hAnsi="宋体" w:eastAsia="仿宋" w:cs="仿宋"/>
              <w:sz w:val="24"/>
              <w:szCs w:val="24"/>
            </w:rPr>
            <w:fldChar w:fldCharType="separate"/>
          </w:r>
          <w:r>
            <w:rPr>
              <w:rFonts w:hint="eastAsia" w:ascii="宋体" w:hAnsi="宋体" w:eastAsia="仿宋" w:cs="仿宋"/>
              <w:sz w:val="24"/>
              <w:szCs w:val="24"/>
            </w:rPr>
            <w:t>20</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_Toc30089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lang w:eastAsia="zh-CN"/>
            </w:rPr>
            <w:t>（三）</w:t>
          </w:r>
          <w:r>
            <w:rPr>
              <w:rFonts w:hint="eastAsia" w:ascii="宋体" w:hAnsi="宋体" w:eastAsia="仿宋" w:cs="仿宋"/>
              <w:sz w:val="24"/>
              <w:szCs w:val="24"/>
              <w:highlight w:val="none"/>
            </w:rPr>
            <w:t>深入开展部门整体支出绩效管理，提升履职效能</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_Toc30089 \h </w:instrText>
          </w:r>
          <w:r>
            <w:rPr>
              <w:rFonts w:hint="eastAsia" w:ascii="宋体" w:hAnsi="宋体" w:eastAsia="仿宋" w:cs="仿宋"/>
              <w:sz w:val="24"/>
              <w:szCs w:val="24"/>
            </w:rPr>
            <w:fldChar w:fldCharType="separate"/>
          </w:r>
          <w:r>
            <w:rPr>
              <w:rFonts w:hint="eastAsia" w:ascii="宋体" w:hAnsi="宋体" w:eastAsia="仿宋" w:cs="仿宋"/>
              <w:sz w:val="24"/>
              <w:szCs w:val="24"/>
            </w:rPr>
            <w:t>20</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_Toc32725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lang w:eastAsia="zh-CN"/>
            </w:rPr>
            <w:t>（四）</w:t>
          </w:r>
          <w:r>
            <w:rPr>
              <w:rFonts w:hint="eastAsia" w:ascii="宋体" w:hAnsi="宋体" w:eastAsia="仿宋" w:cs="仿宋"/>
              <w:sz w:val="24"/>
              <w:szCs w:val="24"/>
              <w:highlight w:val="none"/>
            </w:rPr>
            <w:t>突出结果应用，强化激励和责任约束</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_Toc32725 \h </w:instrText>
          </w:r>
          <w:r>
            <w:rPr>
              <w:rFonts w:hint="eastAsia" w:ascii="宋体" w:hAnsi="宋体" w:eastAsia="仿宋" w:cs="仿宋"/>
              <w:sz w:val="24"/>
              <w:szCs w:val="24"/>
            </w:rPr>
            <w:fldChar w:fldCharType="separate"/>
          </w:r>
          <w:r>
            <w:rPr>
              <w:rFonts w:hint="eastAsia" w:ascii="宋体" w:hAnsi="宋体" w:eastAsia="仿宋" w:cs="仿宋"/>
              <w:sz w:val="24"/>
              <w:szCs w:val="24"/>
            </w:rPr>
            <w:t>20</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_Toc17859 </w:instrText>
          </w:r>
          <w:r>
            <w:rPr>
              <w:rFonts w:hint="eastAsia" w:ascii="宋体" w:hAnsi="宋体" w:eastAsia="仿宋" w:cs="仿宋"/>
              <w:sz w:val="24"/>
              <w:szCs w:val="24"/>
            </w:rPr>
            <w:fldChar w:fldCharType="separate"/>
          </w:r>
          <w:r>
            <w:rPr>
              <w:rFonts w:hint="eastAsia" w:ascii="宋体" w:hAnsi="宋体" w:eastAsia="仿宋" w:cs="仿宋"/>
              <w:sz w:val="24"/>
              <w:szCs w:val="24"/>
              <w:lang w:eastAsia="zh-CN"/>
            </w:rPr>
            <w:t>（五）</w:t>
          </w:r>
          <w:r>
            <w:rPr>
              <w:rFonts w:hint="eastAsia" w:ascii="宋体" w:hAnsi="宋体" w:eastAsia="仿宋" w:cs="仿宋"/>
              <w:sz w:val="24"/>
              <w:szCs w:val="24"/>
            </w:rPr>
            <w:t>发挥绩效大数据的基础性作用，助力科学决策</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_Toc17859 \h </w:instrText>
          </w:r>
          <w:r>
            <w:rPr>
              <w:rFonts w:hint="eastAsia" w:ascii="宋体" w:hAnsi="宋体" w:eastAsia="仿宋" w:cs="仿宋"/>
              <w:sz w:val="24"/>
              <w:szCs w:val="24"/>
            </w:rPr>
            <w:fldChar w:fldCharType="separate"/>
          </w:r>
          <w:r>
            <w:rPr>
              <w:rFonts w:hint="eastAsia" w:ascii="宋体" w:hAnsi="宋体" w:eastAsia="仿宋" w:cs="仿宋"/>
              <w:sz w:val="24"/>
              <w:szCs w:val="24"/>
            </w:rPr>
            <w:t>20</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_Toc20852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lang w:eastAsia="zh-CN"/>
            </w:rPr>
            <w:t>（六）</w:t>
          </w:r>
          <w:r>
            <w:rPr>
              <w:rFonts w:hint="eastAsia" w:ascii="宋体" w:hAnsi="宋体" w:eastAsia="仿宋" w:cs="仿宋"/>
              <w:sz w:val="24"/>
              <w:szCs w:val="24"/>
              <w:highlight w:val="none"/>
            </w:rPr>
            <w:t>积极引领社会参与，打造绩效文化</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_Toc20852 \h </w:instrText>
          </w:r>
          <w:r>
            <w:rPr>
              <w:rFonts w:hint="eastAsia" w:ascii="宋体" w:hAnsi="宋体" w:eastAsia="仿宋" w:cs="仿宋"/>
              <w:sz w:val="24"/>
              <w:szCs w:val="24"/>
            </w:rPr>
            <w:fldChar w:fldCharType="separate"/>
          </w:r>
          <w:r>
            <w:rPr>
              <w:rFonts w:hint="eastAsia" w:ascii="宋体" w:hAnsi="宋体" w:eastAsia="仿宋" w:cs="仿宋"/>
              <w:sz w:val="24"/>
              <w:szCs w:val="24"/>
            </w:rPr>
            <w:t>21</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_Toc12838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lang w:eastAsia="zh-CN"/>
            </w:rPr>
            <w:t>六</w:t>
          </w:r>
          <w:r>
            <w:rPr>
              <w:rFonts w:hint="eastAsia" w:ascii="宋体" w:hAnsi="宋体" w:eastAsia="黑体" w:cs="黑体"/>
              <w:sz w:val="24"/>
              <w:szCs w:val="24"/>
              <w:highlight w:val="none"/>
            </w:rPr>
            <w:t>、深入推进财税体制改革</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_Toc12838 \h </w:instrText>
          </w:r>
          <w:r>
            <w:rPr>
              <w:rFonts w:hint="eastAsia" w:ascii="宋体" w:hAnsi="宋体" w:eastAsia="黑体" w:cs="黑体"/>
              <w:sz w:val="24"/>
              <w:szCs w:val="24"/>
            </w:rPr>
            <w:fldChar w:fldCharType="separate"/>
          </w:r>
          <w:r>
            <w:rPr>
              <w:rFonts w:hint="eastAsia" w:ascii="宋体" w:hAnsi="宋体" w:eastAsia="黑体" w:cs="黑体"/>
              <w:sz w:val="24"/>
              <w:szCs w:val="24"/>
            </w:rPr>
            <w:t>21</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_Toc28722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（一）扎实推进分领域财政事权和支出责任划分改革</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_Toc28722 \h </w:instrText>
          </w:r>
          <w:r>
            <w:rPr>
              <w:rFonts w:hint="eastAsia" w:ascii="宋体" w:hAnsi="宋体" w:eastAsia="仿宋" w:cs="仿宋"/>
              <w:sz w:val="24"/>
              <w:szCs w:val="24"/>
            </w:rPr>
            <w:fldChar w:fldCharType="separate"/>
          </w:r>
          <w:r>
            <w:rPr>
              <w:rFonts w:hint="eastAsia" w:ascii="宋体" w:hAnsi="宋体" w:eastAsia="仿宋" w:cs="仿宋"/>
              <w:sz w:val="24"/>
              <w:szCs w:val="24"/>
            </w:rPr>
            <w:t>22</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_Toc4947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（二）调整省级和市县收入划分</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_Toc4947 \h </w:instrText>
          </w:r>
          <w:r>
            <w:rPr>
              <w:rFonts w:hint="eastAsia" w:ascii="宋体" w:hAnsi="宋体" w:eastAsia="仿宋" w:cs="仿宋"/>
              <w:sz w:val="24"/>
              <w:szCs w:val="24"/>
            </w:rPr>
            <w:fldChar w:fldCharType="separate"/>
          </w:r>
          <w:r>
            <w:rPr>
              <w:rFonts w:hint="eastAsia" w:ascii="宋体" w:hAnsi="宋体" w:eastAsia="仿宋" w:cs="仿宋"/>
              <w:sz w:val="24"/>
              <w:szCs w:val="24"/>
            </w:rPr>
            <w:t>22</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_Toc22803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（三）完善省级对市县转移支付制度</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_Toc22803 \h </w:instrText>
          </w:r>
          <w:r>
            <w:rPr>
              <w:rFonts w:hint="eastAsia" w:ascii="宋体" w:hAnsi="宋体" w:eastAsia="仿宋" w:cs="仿宋"/>
              <w:sz w:val="24"/>
              <w:szCs w:val="24"/>
            </w:rPr>
            <w:fldChar w:fldCharType="separate"/>
          </w:r>
          <w:r>
            <w:rPr>
              <w:rFonts w:hint="eastAsia" w:ascii="宋体" w:hAnsi="宋体" w:eastAsia="仿宋" w:cs="仿宋"/>
              <w:sz w:val="24"/>
              <w:szCs w:val="24"/>
            </w:rPr>
            <w:t>22</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_Toc26016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（四）建立健全常态化财政资金直达机制</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_Toc26016 \h </w:instrText>
          </w:r>
          <w:r>
            <w:rPr>
              <w:rFonts w:hint="eastAsia" w:ascii="宋体" w:hAnsi="宋体" w:eastAsia="仿宋" w:cs="仿宋"/>
              <w:sz w:val="24"/>
              <w:szCs w:val="24"/>
            </w:rPr>
            <w:fldChar w:fldCharType="separate"/>
          </w:r>
          <w:r>
            <w:rPr>
              <w:rFonts w:hint="eastAsia" w:ascii="宋体" w:hAnsi="宋体" w:eastAsia="仿宋" w:cs="仿宋"/>
              <w:sz w:val="24"/>
              <w:szCs w:val="24"/>
            </w:rPr>
            <w:t>23</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_Toc31854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（五）对接中央消费税征收环节后移等地方税、直接税体系调整政策</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_Toc31854 \h </w:instrText>
          </w:r>
          <w:r>
            <w:rPr>
              <w:rFonts w:hint="eastAsia" w:ascii="宋体" w:hAnsi="宋体" w:eastAsia="仿宋" w:cs="仿宋"/>
              <w:sz w:val="24"/>
              <w:szCs w:val="24"/>
            </w:rPr>
            <w:fldChar w:fldCharType="separate"/>
          </w:r>
          <w:r>
            <w:rPr>
              <w:rFonts w:hint="eastAsia" w:ascii="宋体" w:hAnsi="宋体" w:eastAsia="仿宋" w:cs="仿宋"/>
              <w:sz w:val="24"/>
              <w:szCs w:val="24"/>
            </w:rPr>
            <w:t>23</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_Toc10078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lang w:eastAsia="zh-CN"/>
            </w:rPr>
            <w:t>七</w:t>
          </w:r>
          <w:r>
            <w:rPr>
              <w:rFonts w:hint="eastAsia" w:ascii="宋体" w:hAnsi="宋体" w:eastAsia="黑体" w:cs="黑体"/>
              <w:sz w:val="24"/>
              <w:szCs w:val="24"/>
              <w:highlight w:val="none"/>
            </w:rPr>
            <w:t>、进一步加强政府债务管理</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_Toc10078 \h </w:instrText>
          </w:r>
          <w:r>
            <w:rPr>
              <w:rFonts w:hint="eastAsia" w:ascii="宋体" w:hAnsi="宋体" w:eastAsia="黑体" w:cs="黑体"/>
              <w:sz w:val="24"/>
              <w:szCs w:val="24"/>
            </w:rPr>
            <w:fldChar w:fldCharType="separate"/>
          </w:r>
          <w:r>
            <w:rPr>
              <w:rFonts w:hint="eastAsia" w:ascii="宋体" w:hAnsi="宋体" w:eastAsia="黑体" w:cs="黑体"/>
              <w:sz w:val="24"/>
              <w:szCs w:val="24"/>
            </w:rPr>
            <w:t>23</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_Toc31125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（一）健全地方政府依法适度举债机制</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_Toc31125 \h </w:instrText>
          </w:r>
          <w:r>
            <w:rPr>
              <w:rFonts w:hint="eastAsia" w:ascii="宋体" w:hAnsi="宋体" w:eastAsia="仿宋" w:cs="仿宋"/>
              <w:sz w:val="24"/>
              <w:szCs w:val="24"/>
            </w:rPr>
            <w:fldChar w:fldCharType="separate"/>
          </w:r>
          <w:r>
            <w:rPr>
              <w:rFonts w:hint="eastAsia" w:ascii="宋体" w:hAnsi="宋体" w:eastAsia="仿宋" w:cs="仿宋"/>
              <w:sz w:val="24"/>
              <w:szCs w:val="24"/>
            </w:rPr>
            <w:t>23</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_Toc18100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（二）发挥政府规范举债融资的积极作用</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_Toc18100 \h </w:instrText>
          </w:r>
          <w:r>
            <w:rPr>
              <w:rFonts w:hint="eastAsia" w:ascii="宋体" w:hAnsi="宋体" w:eastAsia="仿宋" w:cs="仿宋"/>
              <w:sz w:val="24"/>
              <w:szCs w:val="24"/>
            </w:rPr>
            <w:fldChar w:fldCharType="separate"/>
          </w:r>
          <w:r>
            <w:rPr>
              <w:rFonts w:hint="eastAsia" w:ascii="宋体" w:hAnsi="宋体" w:eastAsia="仿宋" w:cs="仿宋"/>
              <w:sz w:val="24"/>
              <w:szCs w:val="24"/>
            </w:rPr>
            <w:t>25</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_Toc9420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（三）防范化解地方政府隐性债务风险</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_Toc9420 \h </w:instrText>
          </w:r>
          <w:r>
            <w:rPr>
              <w:rFonts w:hint="eastAsia" w:ascii="宋体" w:hAnsi="宋体" w:eastAsia="仿宋" w:cs="仿宋"/>
              <w:sz w:val="24"/>
              <w:szCs w:val="24"/>
            </w:rPr>
            <w:fldChar w:fldCharType="separate"/>
          </w:r>
          <w:r>
            <w:rPr>
              <w:rFonts w:hint="eastAsia" w:ascii="宋体" w:hAnsi="宋体" w:eastAsia="仿宋" w:cs="仿宋"/>
              <w:sz w:val="24"/>
              <w:szCs w:val="24"/>
            </w:rPr>
            <w:t>26</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_Toc21335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lang w:eastAsia="zh-CN"/>
            </w:rPr>
            <w:t>八</w:t>
          </w:r>
          <w:r>
            <w:rPr>
              <w:rFonts w:hint="eastAsia" w:ascii="宋体" w:hAnsi="宋体" w:eastAsia="黑体" w:cs="黑体"/>
              <w:sz w:val="24"/>
              <w:szCs w:val="24"/>
              <w:highlight w:val="none"/>
            </w:rPr>
            <w:t>、不断提升财政治理效能</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_Toc21335 \h </w:instrText>
          </w:r>
          <w:r>
            <w:rPr>
              <w:rFonts w:hint="eastAsia" w:ascii="宋体" w:hAnsi="宋体" w:eastAsia="黑体" w:cs="黑体"/>
              <w:sz w:val="24"/>
              <w:szCs w:val="24"/>
            </w:rPr>
            <w:fldChar w:fldCharType="separate"/>
          </w:r>
          <w:r>
            <w:rPr>
              <w:rFonts w:hint="eastAsia" w:ascii="宋体" w:hAnsi="宋体" w:eastAsia="黑体" w:cs="黑体"/>
              <w:sz w:val="24"/>
              <w:szCs w:val="24"/>
            </w:rPr>
            <w:t>27</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_Toc25008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（一）加强财政法治工作</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_Toc25008 \h </w:instrText>
          </w:r>
          <w:r>
            <w:rPr>
              <w:rFonts w:hint="eastAsia" w:ascii="宋体" w:hAnsi="宋体" w:eastAsia="仿宋" w:cs="仿宋"/>
              <w:sz w:val="24"/>
              <w:szCs w:val="24"/>
            </w:rPr>
            <w:fldChar w:fldCharType="separate"/>
          </w:r>
          <w:r>
            <w:rPr>
              <w:rFonts w:hint="eastAsia" w:ascii="宋体" w:hAnsi="宋体" w:eastAsia="仿宋" w:cs="仿宋"/>
              <w:sz w:val="24"/>
              <w:szCs w:val="24"/>
            </w:rPr>
            <w:t>27</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_Toc19305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（二）强化国有资产管理工作</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_Toc19305 \h </w:instrText>
          </w:r>
          <w:r>
            <w:rPr>
              <w:rFonts w:hint="eastAsia" w:ascii="宋体" w:hAnsi="宋体" w:eastAsia="仿宋" w:cs="仿宋"/>
              <w:sz w:val="24"/>
              <w:szCs w:val="24"/>
            </w:rPr>
            <w:fldChar w:fldCharType="separate"/>
          </w:r>
          <w:r>
            <w:rPr>
              <w:rFonts w:hint="eastAsia" w:ascii="宋体" w:hAnsi="宋体" w:eastAsia="仿宋" w:cs="仿宋"/>
              <w:sz w:val="24"/>
              <w:szCs w:val="24"/>
            </w:rPr>
            <w:t>29</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_Toc26592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（三）深化财政国库管理制度改革</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_Toc26592 \h </w:instrText>
          </w:r>
          <w:r>
            <w:rPr>
              <w:rFonts w:hint="eastAsia" w:ascii="宋体" w:hAnsi="宋体" w:eastAsia="仿宋" w:cs="仿宋"/>
              <w:sz w:val="24"/>
              <w:szCs w:val="24"/>
            </w:rPr>
            <w:fldChar w:fldCharType="separate"/>
          </w:r>
          <w:r>
            <w:rPr>
              <w:rFonts w:hint="eastAsia" w:ascii="宋体" w:hAnsi="宋体" w:eastAsia="仿宋" w:cs="仿宋"/>
              <w:sz w:val="24"/>
              <w:szCs w:val="24"/>
            </w:rPr>
            <w:t>29</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_Toc32202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（四）推进政府采购制度改革</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_Toc32202 \h </w:instrText>
          </w:r>
          <w:r>
            <w:rPr>
              <w:rFonts w:hint="eastAsia" w:ascii="宋体" w:hAnsi="宋体" w:eastAsia="仿宋" w:cs="仿宋"/>
              <w:sz w:val="24"/>
              <w:szCs w:val="24"/>
            </w:rPr>
            <w:fldChar w:fldCharType="separate"/>
          </w:r>
          <w:r>
            <w:rPr>
              <w:rFonts w:hint="eastAsia" w:ascii="宋体" w:hAnsi="宋体" w:eastAsia="仿宋" w:cs="仿宋"/>
              <w:sz w:val="24"/>
              <w:szCs w:val="24"/>
            </w:rPr>
            <w:t>30</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_Toc20878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（五）加强财会监督工作</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_Toc20878 \h </w:instrText>
          </w:r>
          <w:r>
            <w:rPr>
              <w:rFonts w:hint="eastAsia" w:ascii="宋体" w:hAnsi="宋体" w:eastAsia="仿宋" w:cs="仿宋"/>
              <w:sz w:val="24"/>
              <w:szCs w:val="24"/>
            </w:rPr>
            <w:fldChar w:fldCharType="separate"/>
          </w:r>
          <w:r>
            <w:rPr>
              <w:rFonts w:hint="eastAsia" w:ascii="宋体" w:hAnsi="宋体" w:eastAsia="仿宋" w:cs="仿宋"/>
              <w:sz w:val="24"/>
              <w:szCs w:val="24"/>
            </w:rPr>
            <w:t>31</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_Toc20330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（六）推进会计改革与发展</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_Toc20330 \h </w:instrText>
          </w:r>
          <w:r>
            <w:rPr>
              <w:rFonts w:hint="eastAsia" w:ascii="宋体" w:hAnsi="宋体" w:eastAsia="仿宋" w:cs="仿宋"/>
              <w:sz w:val="24"/>
              <w:szCs w:val="24"/>
            </w:rPr>
            <w:fldChar w:fldCharType="separate"/>
          </w:r>
          <w:r>
            <w:rPr>
              <w:rFonts w:hint="eastAsia" w:ascii="宋体" w:hAnsi="宋体" w:eastAsia="仿宋" w:cs="仿宋"/>
              <w:sz w:val="24"/>
              <w:szCs w:val="24"/>
            </w:rPr>
            <w:t>32</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_Toc32077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（七）加快财政信息化建设</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_Toc32077 \h </w:instrText>
          </w:r>
          <w:r>
            <w:rPr>
              <w:rFonts w:hint="eastAsia" w:ascii="宋体" w:hAnsi="宋体" w:eastAsia="仿宋" w:cs="仿宋"/>
              <w:sz w:val="24"/>
              <w:szCs w:val="24"/>
            </w:rPr>
            <w:fldChar w:fldCharType="separate"/>
          </w:r>
          <w:r>
            <w:rPr>
              <w:rFonts w:hint="eastAsia" w:ascii="宋体" w:hAnsi="宋体" w:eastAsia="仿宋" w:cs="仿宋"/>
              <w:sz w:val="24"/>
              <w:szCs w:val="24"/>
            </w:rPr>
            <w:t>33</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_Toc26404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lang w:eastAsia="zh-CN"/>
            </w:rPr>
            <w:t>九</w:t>
          </w:r>
          <w:r>
            <w:rPr>
              <w:rFonts w:hint="eastAsia" w:ascii="宋体" w:hAnsi="宋体" w:eastAsia="黑体" w:cs="黑体"/>
              <w:sz w:val="24"/>
              <w:szCs w:val="24"/>
              <w:highlight w:val="none"/>
            </w:rPr>
            <w:t>、不断强化对创新发展的财政保障作用</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_Toc26404 \h </w:instrText>
          </w:r>
          <w:r>
            <w:rPr>
              <w:rFonts w:hint="eastAsia" w:ascii="宋体" w:hAnsi="宋体" w:eastAsia="黑体" w:cs="黑体"/>
              <w:sz w:val="24"/>
              <w:szCs w:val="24"/>
            </w:rPr>
            <w:fldChar w:fldCharType="separate"/>
          </w:r>
          <w:r>
            <w:rPr>
              <w:rFonts w:hint="eastAsia" w:ascii="宋体" w:hAnsi="宋体" w:eastAsia="黑体" w:cs="黑体"/>
              <w:sz w:val="24"/>
              <w:szCs w:val="24"/>
            </w:rPr>
            <w:t>34</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_Toc5990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（一）支持增强科技自主创新能力</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_Toc5990 \h </w:instrText>
          </w:r>
          <w:r>
            <w:rPr>
              <w:rFonts w:hint="eastAsia" w:ascii="宋体" w:hAnsi="宋体" w:eastAsia="仿宋" w:cs="仿宋"/>
              <w:sz w:val="24"/>
              <w:szCs w:val="24"/>
            </w:rPr>
            <w:fldChar w:fldCharType="separate"/>
          </w:r>
          <w:r>
            <w:rPr>
              <w:rFonts w:hint="eastAsia" w:ascii="宋体" w:hAnsi="宋体" w:eastAsia="仿宋" w:cs="仿宋"/>
              <w:sz w:val="24"/>
              <w:szCs w:val="24"/>
            </w:rPr>
            <w:t>35</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_Toc31581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lang w:eastAsia="zh-CN"/>
            </w:rPr>
            <w:t>（二）</w:t>
          </w:r>
          <w:r>
            <w:rPr>
              <w:rFonts w:hint="eastAsia" w:ascii="宋体" w:hAnsi="宋体" w:eastAsia="仿宋" w:cs="仿宋"/>
              <w:sz w:val="24"/>
              <w:szCs w:val="24"/>
              <w:highlight w:val="none"/>
            </w:rPr>
            <w:t>支持完善以企业为主体的技术创新体系</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_Toc31581 \h </w:instrText>
          </w:r>
          <w:r>
            <w:rPr>
              <w:rFonts w:hint="eastAsia" w:ascii="宋体" w:hAnsi="宋体" w:eastAsia="仿宋" w:cs="仿宋"/>
              <w:sz w:val="24"/>
              <w:szCs w:val="24"/>
            </w:rPr>
            <w:fldChar w:fldCharType="separate"/>
          </w:r>
          <w:r>
            <w:rPr>
              <w:rFonts w:hint="eastAsia" w:ascii="宋体" w:hAnsi="宋体" w:eastAsia="仿宋" w:cs="仿宋"/>
              <w:sz w:val="24"/>
              <w:szCs w:val="24"/>
            </w:rPr>
            <w:t>36</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_Toc14196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（三）支持深化人才发展体制机制改革</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_Toc14196 \h </w:instrText>
          </w:r>
          <w:r>
            <w:rPr>
              <w:rFonts w:hint="eastAsia" w:ascii="宋体" w:hAnsi="宋体" w:eastAsia="仿宋" w:cs="仿宋"/>
              <w:sz w:val="24"/>
              <w:szCs w:val="24"/>
            </w:rPr>
            <w:fldChar w:fldCharType="separate"/>
          </w:r>
          <w:r>
            <w:rPr>
              <w:rFonts w:hint="eastAsia" w:ascii="宋体" w:hAnsi="宋体" w:eastAsia="仿宋" w:cs="仿宋"/>
              <w:sz w:val="24"/>
              <w:szCs w:val="24"/>
            </w:rPr>
            <w:t>36</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_Toc14506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（四）</w:t>
          </w:r>
          <w:r>
            <w:rPr>
              <w:rFonts w:hint="eastAsia" w:ascii="宋体" w:hAnsi="宋体" w:eastAsia="仿宋" w:cs="仿宋"/>
              <w:sz w:val="24"/>
              <w:szCs w:val="24"/>
              <w:highlight w:val="none"/>
              <w:lang w:eastAsia="zh-CN"/>
            </w:rPr>
            <w:t>支持</w:t>
          </w:r>
          <w:r>
            <w:rPr>
              <w:rFonts w:hint="eastAsia" w:ascii="宋体" w:hAnsi="宋体" w:eastAsia="仿宋" w:cs="仿宋"/>
              <w:sz w:val="24"/>
              <w:szCs w:val="24"/>
              <w:highlight w:val="none"/>
            </w:rPr>
            <w:t>完善科技创新体制机制</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_Toc14506 \h </w:instrText>
          </w:r>
          <w:r>
            <w:rPr>
              <w:rFonts w:hint="eastAsia" w:ascii="宋体" w:hAnsi="宋体" w:eastAsia="仿宋" w:cs="仿宋"/>
              <w:sz w:val="24"/>
              <w:szCs w:val="24"/>
            </w:rPr>
            <w:fldChar w:fldCharType="separate"/>
          </w:r>
          <w:r>
            <w:rPr>
              <w:rFonts w:hint="eastAsia" w:ascii="宋体" w:hAnsi="宋体" w:eastAsia="仿宋" w:cs="仿宋"/>
              <w:sz w:val="24"/>
              <w:szCs w:val="24"/>
            </w:rPr>
            <w:t>37</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_Toc3146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lang w:eastAsia="zh-CN"/>
            </w:rPr>
            <w:t>十</w:t>
          </w:r>
          <w:r>
            <w:rPr>
              <w:rFonts w:hint="eastAsia" w:ascii="宋体" w:hAnsi="宋体" w:eastAsia="黑体" w:cs="黑体"/>
              <w:sz w:val="24"/>
              <w:szCs w:val="24"/>
              <w:highlight w:val="none"/>
            </w:rPr>
            <w:t>、</w:t>
          </w:r>
          <w:r>
            <w:rPr>
              <w:rFonts w:hint="eastAsia" w:ascii="宋体" w:hAnsi="宋体" w:eastAsia="黑体" w:cs="黑体"/>
              <w:sz w:val="24"/>
              <w:szCs w:val="24"/>
              <w:highlight w:val="none"/>
              <w:lang w:eastAsia="zh-CN"/>
            </w:rPr>
            <w:t>构建拉动经济新发展格局</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_Toc3146 \h </w:instrText>
          </w:r>
          <w:r>
            <w:rPr>
              <w:rFonts w:hint="eastAsia" w:ascii="宋体" w:hAnsi="宋体" w:eastAsia="黑体" w:cs="黑体"/>
              <w:sz w:val="24"/>
              <w:szCs w:val="24"/>
            </w:rPr>
            <w:fldChar w:fldCharType="separate"/>
          </w:r>
          <w:r>
            <w:rPr>
              <w:rFonts w:hint="eastAsia" w:ascii="宋体" w:hAnsi="宋体" w:eastAsia="黑体" w:cs="黑体"/>
              <w:sz w:val="24"/>
              <w:szCs w:val="24"/>
            </w:rPr>
            <w:t>38</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_Toc25747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（一）引导激发消费潜力</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_Toc25747 \h </w:instrText>
          </w:r>
          <w:r>
            <w:rPr>
              <w:rFonts w:hint="eastAsia" w:ascii="宋体" w:hAnsi="宋体" w:eastAsia="仿宋" w:cs="仿宋"/>
              <w:sz w:val="24"/>
              <w:szCs w:val="24"/>
            </w:rPr>
            <w:fldChar w:fldCharType="separate"/>
          </w:r>
          <w:r>
            <w:rPr>
              <w:rFonts w:hint="eastAsia" w:ascii="宋体" w:hAnsi="宋体" w:eastAsia="仿宋" w:cs="仿宋"/>
              <w:sz w:val="24"/>
              <w:szCs w:val="24"/>
            </w:rPr>
            <w:t>38</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_Toc27734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（二）支持我省对外合作发展</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_Toc27734 \h </w:instrText>
          </w:r>
          <w:r>
            <w:rPr>
              <w:rFonts w:hint="eastAsia" w:ascii="宋体" w:hAnsi="宋体" w:eastAsia="仿宋" w:cs="仿宋"/>
              <w:sz w:val="24"/>
              <w:szCs w:val="24"/>
            </w:rPr>
            <w:fldChar w:fldCharType="separate"/>
          </w:r>
          <w:r>
            <w:rPr>
              <w:rFonts w:hint="eastAsia" w:ascii="宋体" w:hAnsi="宋体" w:eastAsia="仿宋" w:cs="仿宋"/>
              <w:sz w:val="24"/>
              <w:szCs w:val="24"/>
            </w:rPr>
            <w:t>40</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_Toc1021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（三）强化政府投资资金管理</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_Toc1021 \h </w:instrText>
          </w:r>
          <w:r>
            <w:rPr>
              <w:rFonts w:hint="eastAsia" w:ascii="宋体" w:hAnsi="宋体" w:eastAsia="仿宋" w:cs="仿宋"/>
              <w:sz w:val="24"/>
              <w:szCs w:val="24"/>
            </w:rPr>
            <w:fldChar w:fldCharType="separate"/>
          </w:r>
          <w:r>
            <w:rPr>
              <w:rFonts w:hint="eastAsia" w:ascii="宋体" w:hAnsi="宋体" w:eastAsia="仿宋" w:cs="仿宋"/>
              <w:sz w:val="24"/>
              <w:szCs w:val="24"/>
            </w:rPr>
            <w:t>41</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_Toc7568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rPr>
            <w:t>十一、积极支持加快发展现代产业体系</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_Toc7568 \h </w:instrText>
          </w:r>
          <w:r>
            <w:rPr>
              <w:rFonts w:hint="eastAsia" w:ascii="宋体" w:hAnsi="宋体" w:eastAsia="黑体" w:cs="黑体"/>
              <w:sz w:val="24"/>
              <w:szCs w:val="24"/>
            </w:rPr>
            <w:fldChar w:fldCharType="separate"/>
          </w:r>
          <w:r>
            <w:rPr>
              <w:rFonts w:hint="eastAsia" w:ascii="宋体" w:hAnsi="宋体" w:eastAsia="黑体" w:cs="黑体"/>
              <w:sz w:val="24"/>
              <w:szCs w:val="24"/>
            </w:rPr>
            <w:t>42</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_Toc32107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（一）提升产业链现代化水平</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_Toc32107 \h </w:instrText>
          </w:r>
          <w:r>
            <w:rPr>
              <w:rFonts w:hint="eastAsia" w:ascii="宋体" w:hAnsi="宋体" w:eastAsia="仿宋" w:cs="仿宋"/>
              <w:sz w:val="24"/>
              <w:szCs w:val="24"/>
            </w:rPr>
            <w:fldChar w:fldCharType="separate"/>
          </w:r>
          <w:r>
            <w:rPr>
              <w:rFonts w:hint="eastAsia" w:ascii="宋体" w:hAnsi="宋体" w:eastAsia="仿宋" w:cs="仿宋"/>
              <w:sz w:val="24"/>
              <w:szCs w:val="24"/>
            </w:rPr>
            <w:t>42</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_Toc590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（二）统筹推进基础设施建设</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_Toc590 \h </w:instrText>
          </w:r>
          <w:r>
            <w:rPr>
              <w:rFonts w:hint="eastAsia" w:ascii="宋体" w:hAnsi="宋体" w:eastAsia="仿宋" w:cs="仿宋"/>
              <w:sz w:val="24"/>
              <w:szCs w:val="24"/>
            </w:rPr>
            <w:fldChar w:fldCharType="separate"/>
          </w:r>
          <w:r>
            <w:rPr>
              <w:rFonts w:hint="eastAsia" w:ascii="宋体" w:hAnsi="宋体" w:eastAsia="仿宋" w:cs="仿宋"/>
              <w:sz w:val="24"/>
              <w:szCs w:val="24"/>
            </w:rPr>
            <w:t>45</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_Toc31283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w:t>
          </w:r>
          <w:r>
            <w:rPr>
              <w:rFonts w:hint="eastAsia" w:ascii="宋体" w:hAnsi="宋体" w:eastAsia="仿宋" w:cs="仿宋"/>
              <w:sz w:val="24"/>
              <w:szCs w:val="24"/>
              <w:highlight w:val="none"/>
              <w:lang w:eastAsia="zh-CN"/>
            </w:rPr>
            <w:t>三</w:t>
          </w:r>
          <w:r>
            <w:rPr>
              <w:rFonts w:hint="eastAsia" w:ascii="宋体" w:hAnsi="宋体" w:eastAsia="仿宋" w:cs="仿宋"/>
              <w:sz w:val="24"/>
              <w:szCs w:val="24"/>
              <w:highlight w:val="none"/>
            </w:rPr>
            <w:t>）支持现代服务业加快发展</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_Toc31283 \h </w:instrText>
          </w:r>
          <w:r>
            <w:rPr>
              <w:rFonts w:hint="eastAsia" w:ascii="宋体" w:hAnsi="宋体" w:eastAsia="仿宋" w:cs="仿宋"/>
              <w:sz w:val="24"/>
              <w:szCs w:val="24"/>
            </w:rPr>
            <w:fldChar w:fldCharType="separate"/>
          </w:r>
          <w:r>
            <w:rPr>
              <w:rFonts w:hint="eastAsia" w:ascii="宋体" w:hAnsi="宋体" w:eastAsia="仿宋" w:cs="仿宋"/>
              <w:sz w:val="24"/>
              <w:szCs w:val="24"/>
            </w:rPr>
            <w:t>46</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_Toc8711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w:t>
          </w:r>
          <w:r>
            <w:rPr>
              <w:rFonts w:hint="eastAsia" w:ascii="宋体" w:hAnsi="宋体" w:eastAsia="仿宋" w:cs="仿宋"/>
              <w:sz w:val="24"/>
              <w:szCs w:val="24"/>
              <w:highlight w:val="none"/>
              <w:lang w:eastAsia="zh-CN"/>
            </w:rPr>
            <w:t>四</w:t>
          </w:r>
          <w:r>
            <w:rPr>
              <w:rFonts w:hint="eastAsia" w:ascii="宋体" w:hAnsi="宋体" w:eastAsia="仿宋" w:cs="仿宋"/>
              <w:sz w:val="24"/>
              <w:szCs w:val="24"/>
              <w:highlight w:val="none"/>
            </w:rPr>
            <w:t>）支持质量强省建设</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_Toc8711 \h </w:instrText>
          </w:r>
          <w:r>
            <w:rPr>
              <w:rFonts w:hint="eastAsia" w:ascii="宋体" w:hAnsi="宋体" w:eastAsia="仿宋" w:cs="仿宋"/>
              <w:sz w:val="24"/>
              <w:szCs w:val="24"/>
            </w:rPr>
            <w:fldChar w:fldCharType="separate"/>
          </w:r>
          <w:r>
            <w:rPr>
              <w:rFonts w:hint="eastAsia" w:ascii="宋体" w:hAnsi="宋体" w:eastAsia="仿宋" w:cs="仿宋"/>
              <w:sz w:val="24"/>
              <w:szCs w:val="24"/>
            </w:rPr>
            <w:t>46</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_Toc21106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rPr>
            <w:t>十二、努力推动社会主义市场经济</w:t>
          </w:r>
          <w:r>
            <w:rPr>
              <w:rFonts w:hint="eastAsia" w:ascii="宋体" w:hAnsi="宋体" w:eastAsia="黑体" w:cs="黑体"/>
              <w:sz w:val="24"/>
              <w:szCs w:val="24"/>
              <w:highlight w:val="none"/>
              <w:lang w:eastAsia="zh-CN"/>
            </w:rPr>
            <w:t>深入发展</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_Toc21106 \h </w:instrText>
          </w:r>
          <w:r>
            <w:rPr>
              <w:rFonts w:hint="eastAsia" w:ascii="宋体" w:hAnsi="宋体" w:eastAsia="黑体" w:cs="黑体"/>
              <w:sz w:val="24"/>
              <w:szCs w:val="24"/>
            </w:rPr>
            <w:fldChar w:fldCharType="separate"/>
          </w:r>
          <w:r>
            <w:rPr>
              <w:rFonts w:hint="eastAsia" w:ascii="宋体" w:hAnsi="宋体" w:eastAsia="黑体" w:cs="黑体"/>
              <w:sz w:val="24"/>
              <w:szCs w:val="24"/>
            </w:rPr>
            <w:t>47</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_Toc1579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（一）推动激发各类市场主体活力</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_Toc1579 \h </w:instrText>
          </w:r>
          <w:r>
            <w:rPr>
              <w:rFonts w:hint="eastAsia" w:ascii="宋体" w:hAnsi="宋体" w:eastAsia="仿宋" w:cs="仿宋"/>
              <w:sz w:val="24"/>
              <w:szCs w:val="24"/>
            </w:rPr>
            <w:fldChar w:fldCharType="separate"/>
          </w:r>
          <w:r>
            <w:rPr>
              <w:rFonts w:hint="eastAsia" w:ascii="宋体" w:hAnsi="宋体" w:eastAsia="仿宋" w:cs="仿宋"/>
              <w:sz w:val="24"/>
              <w:szCs w:val="24"/>
            </w:rPr>
            <w:t>48</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_Toc9732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（二）</w:t>
          </w:r>
          <w:r>
            <w:rPr>
              <w:rFonts w:hint="eastAsia" w:ascii="宋体" w:hAnsi="宋体" w:eastAsia="仿宋" w:cs="仿宋"/>
              <w:sz w:val="24"/>
              <w:szCs w:val="24"/>
              <w:highlight w:val="none"/>
              <w:lang w:eastAsia="zh-CN"/>
            </w:rPr>
            <w:t>推动财政金融在市场经济中促进作用</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_Toc9732 \h </w:instrText>
          </w:r>
          <w:r>
            <w:rPr>
              <w:rFonts w:hint="eastAsia" w:ascii="宋体" w:hAnsi="宋体" w:eastAsia="仿宋" w:cs="仿宋"/>
              <w:sz w:val="24"/>
              <w:szCs w:val="24"/>
            </w:rPr>
            <w:fldChar w:fldCharType="separate"/>
          </w:r>
          <w:r>
            <w:rPr>
              <w:rFonts w:hint="eastAsia" w:ascii="宋体" w:hAnsi="宋体" w:eastAsia="仿宋" w:cs="仿宋"/>
              <w:sz w:val="24"/>
              <w:szCs w:val="24"/>
            </w:rPr>
            <w:t>49</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_Toc14239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rPr>
            <w:t>十三、继续大力支持乡村振兴</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_Toc14239 \h </w:instrText>
          </w:r>
          <w:r>
            <w:rPr>
              <w:rFonts w:hint="eastAsia" w:ascii="宋体" w:hAnsi="宋体" w:eastAsia="黑体" w:cs="黑体"/>
              <w:sz w:val="24"/>
              <w:szCs w:val="24"/>
            </w:rPr>
            <w:fldChar w:fldCharType="separate"/>
          </w:r>
          <w:r>
            <w:rPr>
              <w:rFonts w:hint="eastAsia" w:ascii="宋体" w:hAnsi="宋体" w:eastAsia="黑体" w:cs="黑体"/>
              <w:sz w:val="24"/>
              <w:szCs w:val="24"/>
            </w:rPr>
            <w:t>51</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_Toc2247 </w:instrText>
          </w:r>
          <w:r>
            <w:rPr>
              <w:rFonts w:hint="eastAsia" w:ascii="宋体" w:hAnsi="宋体" w:eastAsia="仿宋" w:cs="仿宋"/>
              <w:sz w:val="24"/>
              <w:szCs w:val="24"/>
            </w:rPr>
            <w:fldChar w:fldCharType="separate"/>
          </w:r>
          <w:r>
            <w:rPr>
              <w:rFonts w:hint="eastAsia" w:ascii="宋体" w:hAnsi="宋体" w:eastAsia="仿宋" w:cs="仿宋"/>
              <w:sz w:val="24"/>
              <w:szCs w:val="24"/>
              <w:lang w:eastAsia="zh-CN"/>
            </w:rPr>
            <w:t>（一）完善农业农村投入机制</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_Toc2247 \h </w:instrText>
          </w:r>
          <w:r>
            <w:rPr>
              <w:rFonts w:hint="eastAsia" w:ascii="宋体" w:hAnsi="宋体" w:eastAsia="仿宋" w:cs="仿宋"/>
              <w:sz w:val="24"/>
              <w:szCs w:val="24"/>
            </w:rPr>
            <w:fldChar w:fldCharType="separate"/>
          </w:r>
          <w:r>
            <w:rPr>
              <w:rFonts w:hint="eastAsia" w:ascii="宋体" w:hAnsi="宋体" w:eastAsia="仿宋" w:cs="仿宋"/>
              <w:sz w:val="24"/>
              <w:szCs w:val="24"/>
            </w:rPr>
            <w:t>51</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_Toc14099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w:t>
          </w:r>
          <w:r>
            <w:rPr>
              <w:rFonts w:hint="eastAsia" w:ascii="宋体" w:hAnsi="宋体" w:eastAsia="仿宋" w:cs="仿宋"/>
              <w:sz w:val="24"/>
              <w:szCs w:val="24"/>
              <w:highlight w:val="none"/>
              <w:lang w:eastAsia="zh-CN"/>
            </w:rPr>
            <w:t>二</w:t>
          </w:r>
          <w:r>
            <w:rPr>
              <w:rFonts w:hint="eastAsia" w:ascii="宋体" w:hAnsi="宋体" w:eastAsia="仿宋" w:cs="仿宋"/>
              <w:sz w:val="24"/>
              <w:szCs w:val="24"/>
              <w:highlight w:val="none"/>
            </w:rPr>
            <w:t>）支持提高农业质量效益和竞争力</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_Toc14099 \h </w:instrText>
          </w:r>
          <w:r>
            <w:rPr>
              <w:rFonts w:hint="eastAsia" w:ascii="宋体" w:hAnsi="宋体" w:eastAsia="仿宋" w:cs="仿宋"/>
              <w:sz w:val="24"/>
              <w:szCs w:val="24"/>
            </w:rPr>
            <w:fldChar w:fldCharType="separate"/>
          </w:r>
          <w:r>
            <w:rPr>
              <w:rFonts w:hint="eastAsia" w:ascii="宋体" w:hAnsi="宋体" w:eastAsia="仿宋" w:cs="仿宋"/>
              <w:sz w:val="24"/>
              <w:szCs w:val="24"/>
            </w:rPr>
            <w:t>51</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_Toc27603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w:t>
          </w:r>
          <w:r>
            <w:rPr>
              <w:rFonts w:hint="eastAsia" w:ascii="宋体" w:hAnsi="宋体" w:eastAsia="仿宋" w:cs="仿宋"/>
              <w:sz w:val="24"/>
              <w:szCs w:val="24"/>
              <w:highlight w:val="none"/>
              <w:lang w:eastAsia="zh-CN"/>
            </w:rPr>
            <w:t>三</w:t>
          </w:r>
          <w:r>
            <w:rPr>
              <w:rFonts w:hint="eastAsia" w:ascii="宋体" w:hAnsi="宋体" w:eastAsia="仿宋" w:cs="仿宋"/>
              <w:sz w:val="24"/>
              <w:szCs w:val="24"/>
              <w:highlight w:val="none"/>
            </w:rPr>
            <w:t>）支持实施乡村建设提升行动</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_Toc27603 \h </w:instrText>
          </w:r>
          <w:r>
            <w:rPr>
              <w:rFonts w:hint="eastAsia" w:ascii="宋体" w:hAnsi="宋体" w:eastAsia="仿宋" w:cs="仿宋"/>
              <w:sz w:val="24"/>
              <w:szCs w:val="24"/>
            </w:rPr>
            <w:fldChar w:fldCharType="separate"/>
          </w:r>
          <w:r>
            <w:rPr>
              <w:rFonts w:hint="eastAsia" w:ascii="宋体" w:hAnsi="宋体" w:eastAsia="仿宋" w:cs="仿宋"/>
              <w:sz w:val="24"/>
              <w:szCs w:val="24"/>
            </w:rPr>
            <w:t>53</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_Toc24540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w:t>
          </w:r>
          <w:r>
            <w:rPr>
              <w:rFonts w:hint="eastAsia" w:ascii="宋体" w:hAnsi="宋体" w:eastAsia="仿宋" w:cs="仿宋"/>
              <w:sz w:val="24"/>
              <w:szCs w:val="24"/>
              <w:highlight w:val="none"/>
              <w:lang w:eastAsia="zh-CN"/>
            </w:rPr>
            <w:t>四</w:t>
          </w:r>
          <w:r>
            <w:rPr>
              <w:rFonts w:hint="eastAsia" w:ascii="宋体" w:hAnsi="宋体" w:eastAsia="仿宋" w:cs="仿宋"/>
              <w:sz w:val="24"/>
              <w:szCs w:val="24"/>
              <w:highlight w:val="none"/>
            </w:rPr>
            <w:t>）支持深化农村改革</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_Toc24540 \h </w:instrText>
          </w:r>
          <w:r>
            <w:rPr>
              <w:rFonts w:hint="eastAsia" w:ascii="宋体" w:hAnsi="宋体" w:eastAsia="仿宋" w:cs="仿宋"/>
              <w:sz w:val="24"/>
              <w:szCs w:val="24"/>
            </w:rPr>
            <w:fldChar w:fldCharType="separate"/>
          </w:r>
          <w:r>
            <w:rPr>
              <w:rFonts w:hint="eastAsia" w:ascii="宋体" w:hAnsi="宋体" w:eastAsia="仿宋" w:cs="仿宋"/>
              <w:sz w:val="24"/>
              <w:szCs w:val="24"/>
            </w:rPr>
            <w:t>54</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_Toc6488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w:t>
          </w:r>
          <w:r>
            <w:rPr>
              <w:rFonts w:hint="eastAsia" w:ascii="宋体" w:hAnsi="宋体" w:eastAsia="仿宋" w:cs="仿宋"/>
              <w:sz w:val="24"/>
              <w:szCs w:val="24"/>
              <w:highlight w:val="none"/>
              <w:lang w:eastAsia="zh-CN"/>
            </w:rPr>
            <w:t>五</w:t>
          </w:r>
          <w:r>
            <w:rPr>
              <w:rFonts w:hint="eastAsia" w:ascii="宋体" w:hAnsi="宋体" w:eastAsia="仿宋" w:cs="仿宋"/>
              <w:sz w:val="24"/>
              <w:szCs w:val="24"/>
              <w:highlight w:val="none"/>
            </w:rPr>
            <w:t>）支持加快农村水利薄弱环节建设</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_Toc6488 \h </w:instrText>
          </w:r>
          <w:r>
            <w:rPr>
              <w:rFonts w:hint="eastAsia" w:ascii="宋体" w:hAnsi="宋体" w:eastAsia="仿宋" w:cs="仿宋"/>
              <w:sz w:val="24"/>
              <w:szCs w:val="24"/>
            </w:rPr>
            <w:fldChar w:fldCharType="separate"/>
          </w:r>
          <w:r>
            <w:rPr>
              <w:rFonts w:hint="eastAsia" w:ascii="宋体" w:hAnsi="宋体" w:eastAsia="仿宋" w:cs="仿宋"/>
              <w:sz w:val="24"/>
              <w:szCs w:val="24"/>
            </w:rPr>
            <w:t>55</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_Toc1741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w:t>
          </w:r>
          <w:r>
            <w:rPr>
              <w:rFonts w:hint="eastAsia" w:ascii="宋体" w:hAnsi="宋体" w:eastAsia="仿宋" w:cs="仿宋"/>
              <w:sz w:val="24"/>
              <w:szCs w:val="24"/>
              <w:highlight w:val="none"/>
              <w:lang w:eastAsia="zh-CN"/>
            </w:rPr>
            <w:t>六</w:t>
          </w:r>
          <w:r>
            <w:rPr>
              <w:rFonts w:hint="eastAsia" w:ascii="宋体" w:hAnsi="宋体" w:eastAsia="仿宋" w:cs="仿宋"/>
              <w:sz w:val="24"/>
              <w:szCs w:val="24"/>
              <w:highlight w:val="none"/>
            </w:rPr>
            <w:t>）推动实现巩固拓展脱贫攻坚成果同乡村振兴有效衔接</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_Toc1741 \h </w:instrText>
          </w:r>
          <w:r>
            <w:rPr>
              <w:rFonts w:hint="eastAsia" w:ascii="宋体" w:hAnsi="宋体" w:eastAsia="仿宋" w:cs="仿宋"/>
              <w:sz w:val="24"/>
              <w:szCs w:val="24"/>
            </w:rPr>
            <w:fldChar w:fldCharType="separate"/>
          </w:r>
          <w:r>
            <w:rPr>
              <w:rFonts w:hint="eastAsia" w:ascii="宋体" w:hAnsi="宋体" w:eastAsia="仿宋" w:cs="仿宋"/>
              <w:sz w:val="24"/>
              <w:szCs w:val="24"/>
            </w:rPr>
            <w:t>56</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_Toc8348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rPr>
            <w:t>十四、支持推进区域协调发展和新型城镇化</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_Toc8348 \h </w:instrText>
          </w:r>
          <w:r>
            <w:rPr>
              <w:rFonts w:hint="eastAsia" w:ascii="宋体" w:hAnsi="宋体" w:eastAsia="黑体" w:cs="黑体"/>
              <w:sz w:val="24"/>
              <w:szCs w:val="24"/>
            </w:rPr>
            <w:fldChar w:fldCharType="separate"/>
          </w:r>
          <w:r>
            <w:rPr>
              <w:rFonts w:hint="eastAsia" w:ascii="宋体" w:hAnsi="宋体" w:eastAsia="黑体" w:cs="黑体"/>
              <w:sz w:val="24"/>
              <w:szCs w:val="24"/>
            </w:rPr>
            <w:t>57</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_Toc23765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（一）继续支持完善区域协调发展</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_Toc23765 \h </w:instrText>
          </w:r>
          <w:r>
            <w:rPr>
              <w:rFonts w:hint="eastAsia" w:ascii="宋体" w:hAnsi="宋体" w:eastAsia="仿宋" w:cs="仿宋"/>
              <w:sz w:val="24"/>
              <w:szCs w:val="24"/>
            </w:rPr>
            <w:fldChar w:fldCharType="separate"/>
          </w:r>
          <w:r>
            <w:rPr>
              <w:rFonts w:hint="eastAsia" w:ascii="宋体" w:hAnsi="宋体" w:eastAsia="仿宋" w:cs="仿宋"/>
              <w:sz w:val="24"/>
              <w:szCs w:val="24"/>
            </w:rPr>
            <w:t>58</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_Toc15018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（二）持续支持新型城镇化建设</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_Toc15018 \h </w:instrText>
          </w:r>
          <w:r>
            <w:rPr>
              <w:rFonts w:hint="eastAsia" w:ascii="宋体" w:hAnsi="宋体" w:eastAsia="仿宋" w:cs="仿宋"/>
              <w:sz w:val="24"/>
              <w:szCs w:val="24"/>
            </w:rPr>
            <w:fldChar w:fldCharType="separate"/>
          </w:r>
          <w:r>
            <w:rPr>
              <w:rFonts w:hint="eastAsia" w:ascii="宋体" w:hAnsi="宋体" w:eastAsia="仿宋" w:cs="仿宋"/>
              <w:sz w:val="24"/>
              <w:szCs w:val="24"/>
            </w:rPr>
            <w:t>59</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_Toc7003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rPr>
            <w:t>十五、继续支持文化事业和文化产业繁荣发展</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_Toc7003 \h </w:instrText>
          </w:r>
          <w:r>
            <w:rPr>
              <w:rFonts w:hint="eastAsia" w:ascii="宋体" w:hAnsi="宋体" w:eastAsia="黑体" w:cs="黑体"/>
              <w:sz w:val="24"/>
              <w:szCs w:val="24"/>
            </w:rPr>
            <w:fldChar w:fldCharType="separate"/>
          </w:r>
          <w:r>
            <w:rPr>
              <w:rFonts w:hint="eastAsia" w:ascii="宋体" w:hAnsi="宋体" w:eastAsia="黑体" w:cs="黑体"/>
              <w:sz w:val="24"/>
              <w:szCs w:val="24"/>
            </w:rPr>
            <w:t>61</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_Toc13742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（一）支持加强宣传思想文化工作</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_Toc13742 \h </w:instrText>
          </w:r>
          <w:r>
            <w:rPr>
              <w:rFonts w:hint="eastAsia" w:ascii="宋体" w:hAnsi="宋体" w:eastAsia="仿宋" w:cs="仿宋"/>
              <w:sz w:val="24"/>
              <w:szCs w:val="24"/>
            </w:rPr>
            <w:fldChar w:fldCharType="separate"/>
          </w:r>
          <w:r>
            <w:rPr>
              <w:rFonts w:hint="eastAsia" w:ascii="宋体" w:hAnsi="宋体" w:eastAsia="仿宋" w:cs="仿宋"/>
              <w:sz w:val="24"/>
              <w:szCs w:val="24"/>
            </w:rPr>
            <w:t>61</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_Toc28850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（二）完善公共文化服务体系支持政策</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_Toc28850 \h </w:instrText>
          </w:r>
          <w:r>
            <w:rPr>
              <w:rFonts w:hint="eastAsia" w:ascii="宋体" w:hAnsi="宋体" w:eastAsia="仿宋" w:cs="仿宋"/>
              <w:sz w:val="24"/>
              <w:szCs w:val="24"/>
            </w:rPr>
            <w:fldChar w:fldCharType="separate"/>
          </w:r>
          <w:r>
            <w:rPr>
              <w:rFonts w:hint="eastAsia" w:ascii="宋体" w:hAnsi="宋体" w:eastAsia="仿宋" w:cs="仿宋"/>
              <w:sz w:val="24"/>
              <w:szCs w:val="24"/>
            </w:rPr>
            <w:t>62</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_Toc9245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（三）支持文化产业发展</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_Toc9245 \h </w:instrText>
          </w:r>
          <w:r>
            <w:rPr>
              <w:rFonts w:hint="eastAsia" w:ascii="宋体" w:hAnsi="宋体" w:eastAsia="仿宋" w:cs="仿宋"/>
              <w:sz w:val="24"/>
              <w:szCs w:val="24"/>
            </w:rPr>
            <w:fldChar w:fldCharType="separate"/>
          </w:r>
          <w:r>
            <w:rPr>
              <w:rFonts w:hint="eastAsia" w:ascii="宋体" w:hAnsi="宋体" w:eastAsia="仿宋" w:cs="仿宋"/>
              <w:sz w:val="24"/>
              <w:szCs w:val="24"/>
            </w:rPr>
            <w:t>63</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_Toc13836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rPr>
            <w:t>十六、不断完善推动绿色发展支持机制</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_Toc13836 \h </w:instrText>
          </w:r>
          <w:r>
            <w:rPr>
              <w:rFonts w:hint="eastAsia" w:ascii="宋体" w:hAnsi="宋体" w:eastAsia="黑体" w:cs="黑体"/>
              <w:sz w:val="24"/>
              <w:szCs w:val="24"/>
            </w:rPr>
            <w:fldChar w:fldCharType="separate"/>
          </w:r>
          <w:r>
            <w:rPr>
              <w:rFonts w:hint="eastAsia" w:ascii="宋体" w:hAnsi="宋体" w:eastAsia="黑体" w:cs="黑体"/>
              <w:sz w:val="24"/>
              <w:szCs w:val="24"/>
            </w:rPr>
            <w:t>64</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_Toc30071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（一）健全绿色发展支持机制</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_Toc30071 \h </w:instrText>
          </w:r>
          <w:r>
            <w:rPr>
              <w:rFonts w:hint="eastAsia" w:ascii="宋体" w:hAnsi="宋体" w:eastAsia="仿宋" w:cs="仿宋"/>
              <w:sz w:val="24"/>
              <w:szCs w:val="24"/>
            </w:rPr>
            <w:fldChar w:fldCharType="separate"/>
          </w:r>
          <w:r>
            <w:rPr>
              <w:rFonts w:hint="eastAsia" w:ascii="宋体" w:hAnsi="宋体" w:eastAsia="仿宋" w:cs="仿宋"/>
              <w:sz w:val="24"/>
              <w:szCs w:val="24"/>
            </w:rPr>
            <w:t>64</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_Toc5744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（二）支持加快推动绿色低碳发展</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_Toc5744 \h </w:instrText>
          </w:r>
          <w:r>
            <w:rPr>
              <w:rFonts w:hint="eastAsia" w:ascii="宋体" w:hAnsi="宋体" w:eastAsia="仿宋" w:cs="仿宋"/>
              <w:sz w:val="24"/>
              <w:szCs w:val="24"/>
            </w:rPr>
            <w:fldChar w:fldCharType="separate"/>
          </w:r>
          <w:r>
            <w:rPr>
              <w:rFonts w:hint="eastAsia" w:ascii="宋体" w:hAnsi="宋体" w:eastAsia="仿宋" w:cs="仿宋"/>
              <w:sz w:val="24"/>
              <w:szCs w:val="24"/>
            </w:rPr>
            <w:t>65</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_Toc1419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（三）推动持续改善环境质量</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_Toc1419 \h </w:instrText>
          </w:r>
          <w:r>
            <w:rPr>
              <w:rFonts w:hint="eastAsia" w:ascii="宋体" w:hAnsi="宋体" w:eastAsia="仿宋" w:cs="仿宋"/>
              <w:sz w:val="24"/>
              <w:szCs w:val="24"/>
            </w:rPr>
            <w:fldChar w:fldCharType="separate"/>
          </w:r>
          <w:r>
            <w:rPr>
              <w:rFonts w:hint="eastAsia" w:ascii="宋体" w:hAnsi="宋体" w:eastAsia="仿宋" w:cs="仿宋"/>
              <w:sz w:val="24"/>
              <w:szCs w:val="24"/>
            </w:rPr>
            <w:t>65</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_Toc13076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（四）支持提升生态系统质量和稳定性</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_Toc13076 \h </w:instrText>
          </w:r>
          <w:r>
            <w:rPr>
              <w:rFonts w:hint="eastAsia" w:ascii="宋体" w:hAnsi="宋体" w:eastAsia="仿宋" w:cs="仿宋"/>
              <w:sz w:val="24"/>
              <w:szCs w:val="24"/>
            </w:rPr>
            <w:fldChar w:fldCharType="separate"/>
          </w:r>
          <w:r>
            <w:rPr>
              <w:rFonts w:hint="eastAsia" w:ascii="宋体" w:hAnsi="宋体" w:eastAsia="仿宋" w:cs="仿宋"/>
              <w:sz w:val="24"/>
              <w:szCs w:val="24"/>
            </w:rPr>
            <w:t>66</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_Toc10013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rPr>
            <w:t>十七、持续推动改善人民生活品质</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_Toc10013 \h </w:instrText>
          </w:r>
          <w:r>
            <w:rPr>
              <w:rFonts w:hint="eastAsia" w:ascii="宋体" w:hAnsi="宋体" w:eastAsia="黑体" w:cs="黑体"/>
              <w:sz w:val="24"/>
              <w:szCs w:val="24"/>
            </w:rPr>
            <w:fldChar w:fldCharType="separate"/>
          </w:r>
          <w:r>
            <w:rPr>
              <w:rFonts w:hint="eastAsia" w:ascii="宋体" w:hAnsi="宋体" w:eastAsia="黑体" w:cs="黑体"/>
              <w:sz w:val="24"/>
              <w:szCs w:val="24"/>
            </w:rPr>
            <w:t>67</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_Toc19847 </w:instrText>
          </w:r>
          <w:r>
            <w:rPr>
              <w:rFonts w:hint="eastAsia" w:ascii="宋体" w:hAnsi="宋体" w:eastAsia="仿宋" w:cs="仿宋"/>
              <w:sz w:val="24"/>
              <w:szCs w:val="24"/>
            </w:rPr>
            <w:fldChar w:fldCharType="separate"/>
          </w:r>
          <w:r>
            <w:rPr>
              <w:rFonts w:hint="eastAsia" w:ascii="宋体" w:hAnsi="宋体" w:eastAsia="仿宋" w:cs="仿宋"/>
              <w:sz w:val="24"/>
              <w:szCs w:val="24"/>
            </w:rPr>
            <w:t>（一）推动提高人民收入水平</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_Toc19847 \h </w:instrText>
          </w:r>
          <w:r>
            <w:rPr>
              <w:rFonts w:hint="eastAsia" w:ascii="宋体" w:hAnsi="宋体" w:eastAsia="仿宋" w:cs="仿宋"/>
              <w:sz w:val="24"/>
              <w:szCs w:val="24"/>
            </w:rPr>
            <w:fldChar w:fldCharType="separate"/>
          </w:r>
          <w:r>
            <w:rPr>
              <w:rFonts w:hint="eastAsia" w:ascii="宋体" w:hAnsi="宋体" w:eastAsia="仿宋" w:cs="仿宋"/>
              <w:sz w:val="24"/>
              <w:szCs w:val="24"/>
            </w:rPr>
            <w:t>67</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_Toc10599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w:t>
          </w:r>
          <w:r>
            <w:rPr>
              <w:rFonts w:hint="eastAsia" w:ascii="宋体" w:hAnsi="宋体" w:eastAsia="仿宋" w:cs="仿宋"/>
              <w:sz w:val="24"/>
              <w:szCs w:val="24"/>
              <w:highlight w:val="none"/>
              <w:lang w:eastAsia="zh-CN"/>
            </w:rPr>
            <w:t>二</w:t>
          </w:r>
          <w:r>
            <w:rPr>
              <w:rFonts w:hint="eastAsia" w:ascii="宋体" w:hAnsi="宋体" w:eastAsia="仿宋" w:cs="仿宋"/>
              <w:sz w:val="24"/>
              <w:szCs w:val="24"/>
              <w:highlight w:val="none"/>
            </w:rPr>
            <w:t>）坚持实施就业优先战略</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_Toc10599 \h </w:instrText>
          </w:r>
          <w:r>
            <w:rPr>
              <w:rFonts w:hint="eastAsia" w:ascii="宋体" w:hAnsi="宋体" w:eastAsia="仿宋" w:cs="仿宋"/>
              <w:sz w:val="24"/>
              <w:szCs w:val="24"/>
            </w:rPr>
            <w:fldChar w:fldCharType="separate"/>
          </w:r>
          <w:r>
            <w:rPr>
              <w:rFonts w:hint="eastAsia" w:ascii="宋体" w:hAnsi="宋体" w:eastAsia="仿宋" w:cs="仿宋"/>
              <w:sz w:val="24"/>
              <w:szCs w:val="24"/>
            </w:rPr>
            <w:t>68</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_Toc25694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w:t>
          </w:r>
          <w:r>
            <w:rPr>
              <w:rFonts w:hint="eastAsia" w:ascii="宋体" w:hAnsi="宋体" w:eastAsia="仿宋" w:cs="仿宋"/>
              <w:sz w:val="24"/>
              <w:szCs w:val="24"/>
              <w:highlight w:val="none"/>
              <w:lang w:eastAsia="zh-CN"/>
            </w:rPr>
            <w:t>三</w:t>
          </w:r>
          <w:r>
            <w:rPr>
              <w:rFonts w:hint="eastAsia" w:ascii="宋体" w:hAnsi="宋体" w:eastAsia="仿宋" w:cs="仿宋"/>
              <w:sz w:val="24"/>
              <w:szCs w:val="24"/>
              <w:highlight w:val="none"/>
            </w:rPr>
            <w:t>）健全建设高质量教育体系支持机制</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_Toc25694 \h </w:instrText>
          </w:r>
          <w:r>
            <w:rPr>
              <w:rFonts w:hint="eastAsia" w:ascii="宋体" w:hAnsi="宋体" w:eastAsia="仿宋" w:cs="仿宋"/>
              <w:sz w:val="24"/>
              <w:szCs w:val="24"/>
            </w:rPr>
            <w:fldChar w:fldCharType="separate"/>
          </w:r>
          <w:r>
            <w:rPr>
              <w:rFonts w:hint="eastAsia" w:ascii="宋体" w:hAnsi="宋体" w:eastAsia="仿宋" w:cs="仿宋"/>
              <w:sz w:val="24"/>
              <w:szCs w:val="24"/>
            </w:rPr>
            <w:t>70</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_Toc21479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w:t>
          </w:r>
          <w:r>
            <w:rPr>
              <w:rFonts w:hint="eastAsia" w:ascii="宋体" w:hAnsi="宋体" w:eastAsia="仿宋" w:cs="仿宋"/>
              <w:sz w:val="24"/>
              <w:szCs w:val="24"/>
              <w:highlight w:val="none"/>
              <w:lang w:eastAsia="zh-CN"/>
            </w:rPr>
            <w:t>四</w:t>
          </w:r>
          <w:r>
            <w:rPr>
              <w:rFonts w:hint="eastAsia" w:ascii="宋体" w:hAnsi="宋体" w:eastAsia="仿宋" w:cs="仿宋"/>
              <w:sz w:val="24"/>
              <w:szCs w:val="24"/>
              <w:highlight w:val="none"/>
            </w:rPr>
            <w:t>）推进健全多层次社会保障体系</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_Toc21479 \h </w:instrText>
          </w:r>
          <w:r>
            <w:rPr>
              <w:rFonts w:hint="eastAsia" w:ascii="宋体" w:hAnsi="宋体" w:eastAsia="仿宋" w:cs="仿宋"/>
              <w:sz w:val="24"/>
              <w:szCs w:val="24"/>
            </w:rPr>
            <w:fldChar w:fldCharType="separate"/>
          </w:r>
          <w:r>
            <w:rPr>
              <w:rFonts w:hint="eastAsia" w:ascii="宋体" w:hAnsi="宋体" w:eastAsia="仿宋" w:cs="仿宋"/>
              <w:sz w:val="24"/>
              <w:szCs w:val="24"/>
            </w:rPr>
            <w:t>72</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_Toc16236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w:t>
          </w:r>
          <w:r>
            <w:rPr>
              <w:rFonts w:hint="eastAsia" w:ascii="宋体" w:hAnsi="宋体" w:eastAsia="仿宋" w:cs="仿宋"/>
              <w:sz w:val="24"/>
              <w:szCs w:val="24"/>
              <w:highlight w:val="none"/>
              <w:lang w:eastAsia="zh-CN"/>
            </w:rPr>
            <w:t>五</w:t>
          </w:r>
          <w:r>
            <w:rPr>
              <w:rFonts w:hint="eastAsia" w:ascii="宋体" w:hAnsi="宋体" w:eastAsia="仿宋" w:cs="仿宋"/>
              <w:sz w:val="24"/>
              <w:szCs w:val="24"/>
              <w:highlight w:val="none"/>
            </w:rPr>
            <w:t>）支持推进健康吉林建设</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_Toc16236 \h </w:instrText>
          </w:r>
          <w:r>
            <w:rPr>
              <w:rFonts w:hint="eastAsia" w:ascii="宋体" w:hAnsi="宋体" w:eastAsia="仿宋" w:cs="仿宋"/>
              <w:sz w:val="24"/>
              <w:szCs w:val="24"/>
            </w:rPr>
            <w:fldChar w:fldCharType="separate"/>
          </w:r>
          <w:r>
            <w:rPr>
              <w:rFonts w:hint="eastAsia" w:ascii="宋体" w:hAnsi="宋体" w:eastAsia="仿宋" w:cs="仿宋"/>
              <w:sz w:val="24"/>
              <w:szCs w:val="24"/>
            </w:rPr>
            <w:t>74</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_Toc15405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w:t>
          </w:r>
          <w:r>
            <w:rPr>
              <w:rFonts w:hint="eastAsia" w:ascii="宋体" w:hAnsi="宋体" w:eastAsia="仿宋" w:cs="仿宋"/>
              <w:sz w:val="24"/>
              <w:szCs w:val="24"/>
              <w:highlight w:val="none"/>
              <w:lang w:eastAsia="zh-CN"/>
            </w:rPr>
            <w:t>六</w:t>
          </w:r>
          <w:r>
            <w:rPr>
              <w:rFonts w:hint="eastAsia" w:ascii="宋体" w:hAnsi="宋体" w:eastAsia="仿宋" w:cs="仿宋"/>
              <w:sz w:val="24"/>
              <w:szCs w:val="24"/>
              <w:highlight w:val="none"/>
            </w:rPr>
            <w:t>）创新健全应对人口老龄化支持政策</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_Toc15405 \h </w:instrText>
          </w:r>
          <w:r>
            <w:rPr>
              <w:rFonts w:hint="eastAsia" w:ascii="宋体" w:hAnsi="宋体" w:eastAsia="仿宋" w:cs="仿宋"/>
              <w:sz w:val="24"/>
              <w:szCs w:val="24"/>
            </w:rPr>
            <w:fldChar w:fldCharType="separate"/>
          </w:r>
          <w:r>
            <w:rPr>
              <w:rFonts w:hint="eastAsia" w:ascii="宋体" w:hAnsi="宋体" w:eastAsia="仿宋" w:cs="仿宋"/>
              <w:sz w:val="24"/>
              <w:szCs w:val="24"/>
            </w:rPr>
            <w:t>76</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_Toc32487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rPr>
            <w:t>十八、全力支持建设更高水平平安吉林</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_Toc32487 \h </w:instrText>
          </w:r>
          <w:r>
            <w:rPr>
              <w:rFonts w:hint="eastAsia" w:ascii="宋体" w:hAnsi="宋体" w:eastAsia="黑体" w:cs="黑体"/>
              <w:sz w:val="24"/>
              <w:szCs w:val="24"/>
            </w:rPr>
            <w:fldChar w:fldCharType="separate"/>
          </w:r>
          <w:r>
            <w:rPr>
              <w:rFonts w:hint="eastAsia" w:ascii="宋体" w:hAnsi="宋体" w:eastAsia="黑体" w:cs="黑体"/>
              <w:sz w:val="24"/>
              <w:szCs w:val="24"/>
            </w:rPr>
            <w:t>77</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_Toc26355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（一）切实维护财政安全</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_Toc26355 \h </w:instrText>
          </w:r>
          <w:r>
            <w:rPr>
              <w:rFonts w:hint="eastAsia" w:ascii="宋体" w:hAnsi="宋体" w:eastAsia="仿宋" w:cs="仿宋"/>
              <w:sz w:val="24"/>
              <w:szCs w:val="24"/>
            </w:rPr>
            <w:fldChar w:fldCharType="separate"/>
          </w:r>
          <w:r>
            <w:rPr>
              <w:rFonts w:hint="eastAsia" w:ascii="宋体" w:hAnsi="宋体" w:eastAsia="仿宋" w:cs="仿宋"/>
              <w:sz w:val="24"/>
              <w:szCs w:val="24"/>
            </w:rPr>
            <w:t>77</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_Toc19605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（二）支持保障经济安全</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_Toc19605 \h </w:instrText>
          </w:r>
          <w:r>
            <w:rPr>
              <w:rFonts w:hint="eastAsia" w:ascii="宋体" w:hAnsi="宋体" w:eastAsia="仿宋" w:cs="仿宋"/>
              <w:sz w:val="24"/>
              <w:szCs w:val="24"/>
            </w:rPr>
            <w:fldChar w:fldCharType="separate"/>
          </w:r>
          <w:r>
            <w:rPr>
              <w:rFonts w:hint="eastAsia" w:ascii="宋体" w:hAnsi="宋体" w:eastAsia="仿宋" w:cs="仿宋"/>
              <w:sz w:val="24"/>
              <w:szCs w:val="24"/>
            </w:rPr>
            <w:t>78</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_Toc30480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（三）支持提高人民生命财产安全保障</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_Toc30480 \h </w:instrText>
          </w:r>
          <w:r>
            <w:rPr>
              <w:rFonts w:hint="eastAsia" w:ascii="宋体" w:hAnsi="宋体" w:eastAsia="仿宋" w:cs="仿宋"/>
              <w:sz w:val="24"/>
              <w:szCs w:val="24"/>
            </w:rPr>
            <w:fldChar w:fldCharType="separate"/>
          </w:r>
          <w:r>
            <w:rPr>
              <w:rFonts w:hint="eastAsia" w:ascii="宋体" w:hAnsi="宋体" w:eastAsia="仿宋" w:cs="仿宋"/>
              <w:sz w:val="24"/>
              <w:szCs w:val="24"/>
            </w:rPr>
            <w:t>79</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_Toc1903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rPr>
            <w:t>十九、推进全面从严治党不断向纵深发展</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_Toc1903 \h </w:instrText>
          </w:r>
          <w:r>
            <w:rPr>
              <w:rFonts w:hint="eastAsia" w:ascii="宋体" w:hAnsi="宋体" w:eastAsia="黑体" w:cs="黑体"/>
              <w:sz w:val="24"/>
              <w:szCs w:val="24"/>
            </w:rPr>
            <w:fldChar w:fldCharType="separate"/>
          </w:r>
          <w:r>
            <w:rPr>
              <w:rFonts w:hint="eastAsia" w:ascii="宋体" w:hAnsi="宋体" w:eastAsia="黑体" w:cs="黑体"/>
              <w:sz w:val="24"/>
              <w:szCs w:val="24"/>
            </w:rPr>
            <w:t>80</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_Toc272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（一）加强思想政治建设</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_Toc272 \h </w:instrText>
          </w:r>
          <w:r>
            <w:rPr>
              <w:rFonts w:hint="eastAsia" w:ascii="宋体" w:hAnsi="宋体" w:eastAsia="仿宋" w:cs="仿宋"/>
              <w:sz w:val="24"/>
              <w:szCs w:val="24"/>
            </w:rPr>
            <w:fldChar w:fldCharType="separate"/>
          </w:r>
          <w:r>
            <w:rPr>
              <w:rFonts w:hint="eastAsia" w:ascii="宋体" w:hAnsi="宋体" w:eastAsia="仿宋" w:cs="仿宋"/>
              <w:sz w:val="24"/>
              <w:szCs w:val="24"/>
            </w:rPr>
            <w:t>81</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_Toc17765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（二）加强组织建设</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_Toc17765 \h </w:instrText>
          </w:r>
          <w:r>
            <w:rPr>
              <w:rFonts w:hint="eastAsia" w:ascii="宋体" w:hAnsi="宋体" w:eastAsia="仿宋" w:cs="仿宋"/>
              <w:sz w:val="24"/>
              <w:szCs w:val="24"/>
            </w:rPr>
            <w:fldChar w:fldCharType="separate"/>
          </w:r>
          <w:r>
            <w:rPr>
              <w:rFonts w:hint="eastAsia" w:ascii="宋体" w:hAnsi="宋体" w:eastAsia="仿宋" w:cs="仿宋"/>
              <w:sz w:val="24"/>
              <w:szCs w:val="24"/>
            </w:rPr>
            <w:t>82</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_Toc4208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（三）加强党风廉政建设</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_Toc4208 \h </w:instrText>
          </w:r>
          <w:r>
            <w:rPr>
              <w:rFonts w:hint="eastAsia" w:ascii="宋体" w:hAnsi="宋体" w:eastAsia="仿宋" w:cs="仿宋"/>
              <w:sz w:val="24"/>
              <w:szCs w:val="24"/>
            </w:rPr>
            <w:fldChar w:fldCharType="separate"/>
          </w:r>
          <w:r>
            <w:rPr>
              <w:rFonts w:hint="eastAsia" w:ascii="宋体" w:hAnsi="宋体" w:eastAsia="仿宋" w:cs="仿宋"/>
              <w:sz w:val="24"/>
              <w:szCs w:val="24"/>
            </w:rPr>
            <w:t>84</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_Toc9247 </w:instrText>
          </w:r>
          <w:r>
            <w:rPr>
              <w:rFonts w:hint="eastAsia" w:ascii="宋体" w:hAnsi="宋体" w:eastAsia="仿宋" w:cs="仿宋"/>
              <w:sz w:val="24"/>
              <w:szCs w:val="24"/>
            </w:rPr>
            <w:fldChar w:fldCharType="separate"/>
          </w:r>
          <w:r>
            <w:rPr>
              <w:rFonts w:hint="eastAsia" w:ascii="宋体" w:hAnsi="宋体" w:eastAsia="仿宋" w:cs="仿宋"/>
              <w:sz w:val="24"/>
              <w:szCs w:val="24"/>
              <w:lang w:val="en-US" w:eastAsia="zh-CN"/>
            </w:rPr>
            <w:t>（四）</w:t>
          </w:r>
          <w:r>
            <w:rPr>
              <w:rFonts w:hint="eastAsia" w:ascii="宋体" w:hAnsi="宋体" w:eastAsia="仿宋" w:cs="仿宋"/>
              <w:sz w:val="24"/>
              <w:szCs w:val="24"/>
            </w:rPr>
            <w:t>完善党建规章制度</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_Toc9247 \h </w:instrText>
          </w:r>
          <w:r>
            <w:rPr>
              <w:rFonts w:hint="eastAsia" w:ascii="宋体" w:hAnsi="宋体" w:eastAsia="仿宋" w:cs="仿宋"/>
              <w:sz w:val="24"/>
              <w:szCs w:val="24"/>
            </w:rPr>
            <w:fldChar w:fldCharType="separate"/>
          </w:r>
          <w:r>
            <w:rPr>
              <w:rFonts w:hint="eastAsia" w:ascii="宋体" w:hAnsi="宋体" w:eastAsia="仿宋" w:cs="仿宋"/>
              <w:sz w:val="24"/>
              <w:szCs w:val="24"/>
            </w:rPr>
            <w:t>84</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_Toc5071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（五）加强省属国有金融企业党的建设</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_Toc5071 \h </w:instrText>
          </w:r>
          <w:r>
            <w:rPr>
              <w:rFonts w:hint="eastAsia" w:ascii="宋体" w:hAnsi="宋体" w:eastAsia="仿宋" w:cs="仿宋"/>
              <w:sz w:val="24"/>
              <w:szCs w:val="24"/>
            </w:rPr>
            <w:fldChar w:fldCharType="separate"/>
          </w:r>
          <w:r>
            <w:rPr>
              <w:rFonts w:hint="eastAsia" w:ascii="宋体" w:hAnsi="宋体" w:eastAsia="仿宋" w:cs="仿宋"/>
              <w:sz w:val="24"/>
              <w:szCs w:val="24"/>
            </w:rPr>
            <w:t>85</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0" w:firstLineChars="0"/>
            <w:textAlignment w:val="auto"/>
            <w:rPr>
              <w:rFonts w:hint="eastAsia" w:ascii="宋体" w:hAnsi="宋体" w:eastAsia="黑体" w:cs="黑体"/>
              <w:sz w:val="24"/>
              <w:szCs w:val="24"/>
            </w:rPr>
          </w:pP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HYPERLINK \l _Toc26868 </w:instrText>
          </w:r>
          <w:r>
            <w:rPr>
              <w:rFonts w:hint="eastAsia" w:ascii="宋体" w:hAnsi="宋体" w:eastAsia="黑体" w:cs="黑体"/>
              <w:sz w:val="24"/>
              <w:szCs w:val="24"/>
            </w:rPr>
            <w:fldChar w:fldCharType="separate"/>
          </w:r>
          <w:r>
            <w:rPr>
              <w:rFonts w:hint="eastAsia" w:ascii="宋体" w:hAnsi="宋体" w:eastAsia="黑体" w:cs="黑体"/>
              <w:sz w:val="24"/>
              <w:szCs w:val="24"/>
              <w:highlight w:val="none"/>
            </w:rPr>
            <w:t>二十、加强高素质干部队伍建设</w:t>
          </w:r>
          <w:r>
            <w:rPr>
              <w:rFonts w:hint="eastAsia" w:ascii="宋体" w:hAnsi="宋体" w:eastAsia="黑体" w:cs="黑体"/>
              <w:sz w:val="24"/>
              <w:szCs w:val="24"/>
            </w:rPr>
            <w:tab/>
          </w:r>
          <w:r>
            <w:rPr>
              <w:rFonts w:hint="eastAsia" w:ascii="宋体" w:hAnsi="宋体" w:eastAsia="黑体" w:cs="黑体"/>
              <w:sz w:val="24"/>
              <w:szCs w:val="24"/>
            </w:rPr>
            <w:fldChar w:fldCharType="begin"/>
          </w:r>
          <w:r>
            <w:rPr>
              <w:rFonts w:hint="eastAsia" w:ascii="宋体" w:hAnsi="宋体" w:eastAsia="黑体" w:cs="黑体"/>
              <w:sz w:val="24"/>
              <w:szCs w:val="24"/>
            </w:rPr>
            <w:instrText xml:space="preserve"> PAGEREF _Toc26868 \h </w:instrText>
          </w:r>
          <w:r>
            <w:rPr>
              <w:rFonts w:hint="eastAsia" w:ascii="宋体" w:hAnsi="宋体" w:eastAsia="黑体" w:cs="黑体"/>
              <w:sz w:val="24"/>
              <w:szCs w:val="24"/>
            </w:rPr>
            <w:fldChar w:fldCharType="separate"/>
          </w:r>
          <w:r>
            <w:rPr>
              <w:rFonts w:hint="eastAsia" w:ascii="宋体" w:hAnsi="宋体" w:eastAsia="黑体" w:cs="黑体"/>
              <w:sz w:val="24"/>
              <w:szCs w:val="24"/>
            </w:rPr>
            <w:t>87</w:t>
          </w:r>
          <w:r>
            <w:rPr>
              <w:rFonts w:hint="eastAsia" w:ascii="宋体" w:hAnsi="宋体" w:eastAsia="黑体" w:cs="黑体"/>
              <w:sz w:val="24"/>
              <w:szCs w:val="24"/>
            </w:rPr>
            <w:fldChar w:fldCharType="end"/>
          </w:r>
          <w:r>
            <w:rPr>
              <w:rFonts w:hint="eastAsia" w:ascii="宋体" w:hAnsi="宋体" w:eastAsia="黑体" w:cs="黑体"/>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rPr>
              <w:rFonts w:hint="eastAsia" w:ascii="宋体" w:hAnsi="宋体" w:eastAsia="仿宋" w:cs="仿宋"/>
              <w:sz w:val="24"/>
              <w:szCs w:val="24"/>
            </w:rPr>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_Toc20373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（一）建设忠诚干净担当的高素质财政干部队伍</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_Toc20373 \h </w:instrText>
          </w:r>
          <w:r>
            <w:rPr>
              <w:rFonts w:hint="eastAsia" w:ascii="宋体" w:hAnsi="宋体" w:eastAsia="仿宋" w:cs="仿宋"/>
              <w:sz w:val="24"/>
              <w:szCs w:val="24"/>
            </w:rPr>
            <w:fldChar w:fldCharType="separate"/>
          </w:r>
          <w:r>
            <w:rPr>
              <w:rFonts w:hint="eastAsia" w:ascii="宋体" w:hAnsi="宋体" w:eastAsia="仿宋" w:cs="仿宋"/>
              <w:sz w:val="24"/>
              <w:szCs w:val="24"/>
            </w:rPr>
            <w:t>87</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40" w:lineRule="exact"/>
            <w:ind w:left="0" w:leftChars="0" w:firstLine="240" w:firstLineChars="100"/>
            <w:textAlignment w:val="auto"/>
          </w:pP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HYPERLINK \l _Toc12655 </w:instrText>
          </w:r>
          <w:r>
            <w:rPr>
              <w:rFonts w:hint="eastAsia" w:ascii="宋体" w:hAnsi="宋体" w:eastAsia="仿宋" w:cs="仿宋"/>
              <w:sz w:val="24"/>
              <w:szCs w:val="24"/>
            </w:rPr>
            <w:fldChar w:fldCharType="separate"/>
          </w:r>
          <w:r>
            <w:rPr>
              <w:rFonts w:hint="eastAsia" w:ascii="宋体" w:hAnsi="宋体" w:eastAsia="仿宋" w:cs="仿宋"/>
              <w:sz w:val="24"/>
              <w:szCs w:val="24"/>
              <w:highlight w:val="none"/>
            </w:rPr>
            <w:t>（二）推进我省财政系统人才队伍建设</w:t>
          </w:r>
          <w:r>
            <w:rPr>
              <w:rFonts w:hint="eastAsia" w:ascii="宋体" w:hAnsi="宋体" w:eastAsia="仿宋" w:cs="仿宋"/>
              <w:sz w:val="24"/>
              <w:szCs w:val="24"/>
            </w:rPr>
            <w:tab/>
          </w:r>
          <w:r>
            <w:rPr>
              <w:rFonts w:hint="eastAsia" w:ascii="宋体" w:hAnsi="宋体" w:eastAsia="仿宋" w:cs="仿宋"/>
              <w:sz w:val="24"/>
              <w:szCs w:val="24"/>
            </w:rPr>
            <w:fldChar w:fldCharType="begin"/>
          </w:r>
          <w:r>
            <w:rPr>
              <w:rFonts w:hint="eastAsia" w:ascii="宋体" w:hAnsi="宋体" w:eastAsia="仿宋" w:cs="仿宋"/>
              <w:sz w:val="24"/>
              <w:szCs w:val="24"/>
            </w:rPr>
            <w:instrText xml:space="preserve"> PAGEREF _Toc12655 \h </w:instrText>
          </w:r>
          <w:r>
            <w:rPr>
              <w:rFonts w:hint="eastAsia" w:ascii="宋体" w:hAnsi="宋体" w:eastAsia="仿宋" w:cs="仿宋"/>
              <w:sz w:val="24"/>
              <w:szCs w:val="24"/>
            </w:rPr>
            <w:fldChar w:fldCharType="separate"/>
          </w:r>
          <w:r>
            <w:rPr>
              <w:rFonts w:hint="eastAsia" w:ascii="宋体" w:hAnsi="宋体" w:eastAsia="仿宋" w:cs="仿宋"/>
              <w:sz w:val="24"/>
              <w:szCs w:val="24"/>
            </w:rPr>
            <w:t>88</w:t>
          </w:r>
          <w:r>
            <w:rPr>
              <w:rFonts w:hint="eastAsia" w:ascii="宋体" w:hAnsi="宋体" w:eastAsia="仿宋" w:cs="仿宋"/>
              <w:sz w:val="24"/>
              <w:szCs w:val="24"/>
            </w:rPr>
            <w:fldChar w:fldCharType="end"/>
          </w:r>
          <w:r>
            <w:rPr>
              <w:rFonts w:hint="eastAsia" w:ascii="宋体" w:hAnsi="宋体" w:eastAsia="仿宋" w:cs="仿宋"/>
              <w:sz w:val="24"/>
              <w:szCs w:val="24"/>
            </w:rPr>
            <w:fldChar w:fldCharType="end"/>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textAlignment w:val="auto"/>
            <w:rPr>
              <w:rFonts w:ascii="宋体" w:hAnsi="宋体" w:eastAsia="仿宋" w:cstheme="minorBidi"/>
              <w:kern w:val="2"/>
              <w:sz w:val="32"/>
              <w:szCs w:val="24"/>
              <w:lang w:val="en-US" w:eastAsia="zh-CN" w:bidi="ar-SA"/>
            </w:rPr>
          </w:pPr>
          <w:r>
            <w:rPr>
              <w:szCs w:val="24"/>
            </w:rPr>
            <w:fldChar w:fldCharType="end"/>
          </w:r>
        </w:p>
      </w:sdtContent>
    </w:sdt>
    <w:p>
      <w:pPr>
        <w:bidi w:val="0"/>
        <w:rPr>
          <w:rFonts w:ascii="宋体" w:hAnsi="宋体" w:eastAsia="仿宋" w:cstheme="minorBidi"/>
          <w:kern w:val="2"/>
          <w:sz w:val="32"/>
          <w:szCs w:val="24"/>
          <w:lang w:val="en-US" w:eastAsia="zh-CN" w:bidi="ar-SA"/>
        </w:rPr>
      </w:pPr>
    </w:p>
    <w:p>
      <w:pPr>
        <w:bidi w:val="0"/>
        <w:rPr>
          <w:lang w:val="en-US" w:eastAsia="zh-CN"/>
        </w:rPr>
      </w:pPr>
    </w:p>
    <w:p>
      <w:pPr>
        <w:bidi w:val="0"/>
        <w:rPr>
          <w:lang w:val="en-US" w:eastAsia="zh-CN"/>
        </w:rPr>
      </w:pPr>
    </w:p>
    <w:p>
      <w:pPr>
        <w:bidi w:val="0"/>
        <w:rPr>
          <w:lang w:val="en-US" w:eastAsia="zh-CN"/>
        </w:rPr>
      </w:pPr>
    </w:p>
    <w:p>
      <w:pPr>
        <w:bidi w:val="0"/>
        <w:jc w:val="left"/>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sectPr>
          <w:headerReference r:id="rId9" w:type="default"/>
          <w:footerReference r:id="rId10" w:type="default"/>
          <w:pgSz w:w="11906" w:h="16838"/>
          <w:pgMar w:top="1440" w:right="1800" w:bottom="1440" w:left="1800" w:header="851" w:footer="992" w:gutter="0"/>
          <w:pgNumType w:fmt="upperRoman" w:start="1"/>
          <w:cols w:space="425" w:num="1"/>
          <w:docGrid w:type="lines" w:linePitch="312" w:charSpace="0"/>
        </w:sectPr>
      </w:pPr>
    </w:p>
    <w:p>
      <w:pPr>
        <w:pStyle w:val="2"/>
        <w:rPr>
          <w:lang w:val="en-US" w:eastAsia="zh-CN"/>
        </w:rPr>
      </w:pPr>
    </w:p>
    <w:p>
      <w:pPr>
        <w:pStyle w:val="2"/>
        <w:rPr>
          <w:lang w:val="en-US" w:eastAsia="zh-CN"/>
        </w:rPr>
      </w:pPr>
    </w:p>
    <w:p>
      <w:pPr>
        <w:pStyle w:val="2"/>
        <w:rPr>
          <w:lang w:val="en-US" w:eastAsia="zh-CN"/>
        </w:rPr>
      </w:pPr>
    </w:p>
    <w:p>
      <w:pPr>
        <w:pStyle w:val="2"/>
        <w:rPr>
          <w:lang w:val="en-US" w:eastAsia="zh-CN"/>
        </w:rPr>
        <w:sectPr>
          <w:footerReference r:id="rId11" w:type="default"/>
          <w:pgSz w:w="11906" w:h="16838"/>
          <w:pgMar w:top="1440" w:right="1800" w:bottom="1440" w:left="1800" w:header="851" w:footer="992" w:gutter="0"/>
          <w:pgNumType w:fmt="upperRoman" w:start="1"/>
          <w:cols w:space="425" w:num="1"/>
          <w:docGrid w:type="lines" w:linePitch="312" w:charSpace="0"/>
        </w:sectPr>
      </w:pPr>
    </w:p>
    <w:p>
      <w:pPr>
        <w:rPr>
          <w:rFonts w:hint="eastAsia" w:ascii="宋体" w:hAnsi="宋体"/>
          <w:color w:val="auto"/>
          <w:highlight w:val="none"/>
        </w:rPr>
      </w:pPr>
      <w:r>
        <w:rPr>
          <w:rFonts w:hint="eastAsia" w:ascii="宋体" w:hAnsi="宋体"/>
          <w:color w:val="auto"/>
          <w:highlight w:val="none"/>
          <w:lang w:eastAsia="zh-CN"/>
        </w:rPr>
        <w:t>吉林省</w:t>
      </w:r>
      <w:r>
        <w:rPr>
          <w:rFonts w:hint="eastAsia" w:ascii="宋体" w:hAnsi="宋体"/>
          <w:color w:val="auto"/>
          <w:highlight w:val="none"/>
        </w:rPr>
        <w:t>财政“十四五”规划，根据《中共吉林省委关于制定吉林省国民经济和社会发展第十四个五年规划和二○三五年远景目标的建议》和《</w:t>
      </w:r>
      <w:r>
        <w:rPr>
          <w:rFonts w:hint="eastAsia" w:ascii="宋体" w:hAnsi="宋体"/>
          <w:color w:val="auto"/>
          <w:highlight w:val="none"/>
          <w:lang w:eastAsia="zh-CN"/>
        </w:rPr>
        <w:t>吉林省</w:t>
      </w:r>
      <w:r>
        <w:rPr>
          <w:rFonts w:hint="eastAsia" w:ascii="宋体" w:hAnsi="宋体"/>
          <w:color w:val="auto"/>
          <w:highlight w:val="none"/>
        </w:rPr>
        <w:t>国民经济和社会发展第十四个五年规划和</w:t>
      </w:r>
      <w:r>
        <w:rPr>
          <w:rFonts w:hint="eastAsia"/>
          <w:color w:val="auto"/>
          <w:highlight w:val="none"/>
          <w:lang w:val="en-US" w:eastAsia="zh-CN"/>
        </w:rPr>
        <w:t>2035</w:t>
      </w:r>
      <w:r>
        <w:rPr>
          <w:rFonts w:hint="eastAsia" w:ascii="宋体" w:hAnsi="宋体"/>
          <w:color w:val="auto"/>
          <w:highlight w:val="none"/>
        </w:rPr>
        <w:t>年远景目标纲要》编制，分析财政经济发展形势，明确财税改革发展总体目标、主要任务和重大举措，立足新发展阶段、贯彻新发展理念、</w:t>
      </w:r>
      <w:r>
        <w:rPr>
          <w:rFonts w:hint="eastAsia" w:ascii="宋体" w:hAnsi="宋体"/>
          <w:color w:val="auto"/>
          <w:highlight w:val="none"/>
          <w:lang w:eastAsia="zh-CN"/>
        </w:rPr>
        <w:t>融入</w:t>
      </w:r>
      <w:r>
        <w:rPr>
          <w:rFonts w:hint="eastAsia" w:ascii="宋体" w:hAnsi="宋体"/>
          <w:color w:val="auto"/>
          <w:highlight w:val="none"/>
        </w:rPr>
        <w:t>新发展格局，</w:t>
      </w:r>
      <w:r>
        <w:rPr>
          <w:rFonts w:hint="eastAsia" w:ascii="宋体" w:hAnsi="宋体"/>
          <w:color w:val="auto"/>
          <w:highlight w:val="none"/>
          <w:lang w:eastAsia="zh-CN"/>
        </w:rPr>
        <w:t>支持</w:t>
      </w:r>
      <w:r>
        <w:rPr>
          <w:rFonts w:hint="eastAsia" w:ascii="宋体" w:hAnsi="宋体"/>
          <w:color w:val="auto"/>
          <w:highlight w:val="none"/>
        </w:rPr>
        <w:t>新时代吉林全面振兴全方位振兴、全面建设社会主义现代化新吉林开好局、起好步。</w:t>
      </w:r>
    </w:p>
    <w:p>
      <w:pPr>
        <w:pStyle w:val="4"/>
        <w:ind w:firstLine="640" w:firstLineChars="200"/>
        <w:rPr>
          <w:rFonts w:ascii="宋体" w:hAnsi="宋体" w:cs="黑体"/>
          <w:color w:val="auto"/>
          <w:szCs w:val="32"/>
          <w:highlight w:val="none"/>
        </w:rPr>
      </w:pPr>
      <w:bookmarkStart w:id="0" w:name="_Toc2230"/>
      <w:bookmarkStart w:id="1" w:name="_Toc21229"/>
      <w:bookmarkStart w:id="2" w:name="_Toc20629"/>
      <w:bookmarkStart w:id="3" w:name="_Toc31308"/>
      <w:bookmarkStart w:id="4" w:name="_Toc11432"/>
      <w:r>
        <w:rPr>
          <w:rFonts w:hint="eastAsia" w:ascii="宋体" w:hAnsi="宋体" w:cs="黑体"/>
          <w:color w:val="auto"/>
          <w:szCs w:val="32"/>
          <w:highlight w:val="none"/>
        </w:rPr>
        <w:t>一、“十三五”时期财政发展取得成就</w:t>
      </w:r>
      <w:bookmarkEnd w:id="0"/>
      <w:bookmarkEnd w:id="1"/>
      <w:bookmarkEnd w:id="2"/>
      <w:bookmarkEnd w:id="3"/>
      <w:bookmarkEnd w:id="4"/>
    </w:p>
    <w:p>
      <w:pPr>
        <w:rPr>
          <w:rFonts w:ascii="宋体" w:hAnsi="宋体" w:eastAsia="仿宋"/>
          <w:color w:val="auto"/>
          <w:kern w:val="2"/>
          <w:szCs w:val="24"/>
          <w:highlight w:val="none"/>
        </w:rPr>
      </w:pPr>
      <w:bookmarkStart w:id="5" w:name="_Toc5328"/>
      <w:r>
        <w:rPr>
          <w:rFonts w:hint="eastAsia" w:ascii="宋体" w:hAnsi="宋体"/>
          <w:color w:val="auto"/>
          <w:highlight w:val="none"/>
        </w:rPr>
        <w:t>“十三五”时期，财政部门坚持以习近平新时代中国特色社会主义思想为指导，全面贯彻党中央、国务院和省委省政府决策部署，不断优化财政政策、制度供给，深化财政管理改革、提升财政管理水平，财政收入结构不断改善，财政保障能力不断提升，保障和改善民生水平不断提高，支持打赢三大攻坚战，全力保障疫情防控阻击战，推动吉林省经济社会平稳</w:t>
      </w:r>
      <w:r>
        <w:rPr>
          <w:rFonts w:hint="eastAsia"/>
          <w:color w:val="auto"/>
          <w:highlight w:val="none"/>
          <w:lang w:eastAsia="zh-CN"/>
        </w:rPr>
        <w:t>协调</w:t>
      </w:r>
      <w:r>
        <w:rPr>
          <w:rFonts w:hint="eastAsia" w:ascii="宋体" w:hAnsi="宋体"/>
          <w:color w:val="auto"/>
          <w:highlight w:val="none"/>
        </w:rPr>
        <w:t>发展。</w:t>
      </w:r>
    </w:p>
    <w:p>
      <w:pPr>
        <w:pStyle w:val="5"/>
        <w:rPr>
          <w:rFonts w:ascii="宋体" w:hAnsi="宋体" w:cs="楷体"/>
          <w:color w:val="auto"/>
          <w:szCs w:val="32"/>
          <w:highlight w:val="none"/>
        </w:rPr>
      </w:pPr>
      <w:bookmarkStart w:id="6" w:name="_Toc28104"/>
      <w:bookmarkStart w:id="7" w:name="_Toc21722"/>
      <w:bookmarkStart w:id="8" w:name="_Toc5033"/>
      <w:bookmarkStart w:id="9" w:name="_Toc3298"/>
      <w:bookmarkStart w:id="10" w:name="_Toc18364"/>
      <w:r>
        <w:rPr>
          <w:rFonts w:hint="eastAsia" w:ascii="宋体" w:hAnsi="宋体" w:cs="楷体"/>
          <w:color w:val="auto"/>
          <w:szCs w:val="32"/>
          <w:highlight w:val="none"/>
        </w:rPr>
        <w:t>（一）财政收入结构不断改善，保障能力不断增强</w:t>
      </w:r>
      <w:bookmarkEnd w:id="5"/>
      <w:bookmarkEnd w:id="6"/>
      <w:bookmarkEnd w:id="7"/>
      <w:bookmarkEnd w:id="8"/>
      <w:bookmarkEnd w:id="9"/>
      <w:bookmarkEnd w:id="10"/>
    </w:p>
    <w:p>
      <w:pPr>
        <w:rPr>
          <w:rFonts w:ascii="宋体" w:hAnsi="宋体"/>
          <w:color w:val="auto"/>
          <w:highlight w:val="none"/>
        </w:rPr>
      </w:pPr>
      <w:r>
        <w:rPr>
          <w:rFonts w:hint="eastAsia" w:ascii="宋体" w:hAnsi="宋体"/>
          <w:color w:val="auto"/>
          <w:highlight w:val="none"/>
        </w:rPr>
        <w:t>“十三五”期间,一般公共预算收入总量达到5917.4亿元，比上一个五年增长8%，实现了在高基数基础上的增长。财政支出保持较高强度，全省一般公共预算财政支出总量达到19162亿元，比“十二五”期间增加5614亿元，增长41.4%，有力保障党和国家事业发展需要。随着财政收支规模不断扩大，财政稳增长、促改革、调结构、惠民生、防风险的能力不断增强，财政在国家治理中的基础和重要支柱作用得到了更加有效发挥。</w:t>
      </w:r>
    </w:p>
    <w:p>
      <w:pPr>
        <w:pStyle w:val="5"/>
        <w:rPr>
          <w:rFonts w:ascii="宋体" w:hAnsi="宋体" w:cs="楷体"/>
          <w:color w:val="auto"/>
          <w:szCs w:val="32"/>
          <w:highlight w:val="none"/>
        </w:rPr>
      </w:pPr>
      <w:bookmarkStart w:id="11" w:name="_Toc20803"/>
      <w:bookmarkStart w:id="12" w:name="_Toc9721"/>
      <w:bookmarkStart w:id="13" w:name="_Toc12147"/>
      <w:bookmarkStart w:id="14" w:name="_Toc13615"/>
      <w:bookmarkStart w:id="15" w:name="_Toc22670"/>
      <w:bookmarkStart w:id="16" w:name="_Toc29726"/>
      <w:r>
        <w:rPr>
          <w:rFonts w:hint="eastAsia" w:ascii="宋体" w:hAnsi="宋体" w:cs="楷体"/>
          <w:color w:val="auto"/>
          <w:szCs w:val="32"/>
          <w:highlight w:val="none"/>
        </w:rPr>
        <w:t>（二）支持深化供给侧结构性改革，推动经济平稳发展</w:t>
      </w:r>
      <w:bookmarkEnd w:id="11"/>
      <w:bookmarkEnd w:id="12"/>
      <w:bookmarkEnd w:id="13"/>
      <w:bookmarkEnd w:id="14"/>
      <w:bookmarkEnd w:id="15"/>
      <w:bookmarkEnd w:id="16"/>
    </w:p>
    <w:p>
      <w:pPr>
        <w:bidi w:val="0"/>
        <w:rPr>
          <w:rFonts w:ascii="宋体" w:hAnsi="宋体"/>
          <w:color w:val="auto"/>
          <w:highlight w:val="none"/>
        </w:rPr>
      </w:pPr>
      <w:r>
        <w:rPr>
          <w:rFonts w:hint="eastAsia" w:ascii="宋体" w:hAnsi="宋体"/>
          <w:b/>
          <w:bCs/>
        </w:rPr>
        <w:t>一是减税降费助力企业发展。</w:t>
      </w:r>
      <w:r>
        <w:rPr>
          <w:rFonts w:hint="eastAsia" w:ascii="宋体" w:hAnsi="宋体"/>
        </w:rPr>
        <w:t>不折不扣落实国家和省各项税费优惠政策，减轻企业税费负担1300亿元，企业和群众的满意度和获得感进一步提升。</w:t>
      </w:r>
      <w:r>
        <w:rPr>
          <w:rFonts w:hint="eastAsia" w:ascii="宋体" w:hAnsi="宋体"/>
          <w:b/>
          <w:bCs/>
        </w:rPr>
        <w:t>二是扩大投资支持重点项目。</w:t>
      </w:r>
      <w:r>
        <w:rPr>
          <w:rFonts w:hint="eastAsia" w:ascii="宋体" w:hAnsi="宋体"/>
        </w:rPr>
        <w:t>累计筹措中央和省级重大基础设施建设资金1084.06亿元，运用政府</w:t>
      </w:r>
      <w:r>
        <w:rPr>
          <w:rFonts w:hint="eastAsia"/>
          <w:lang w:eastAsia="zh-CN"/>
        </w:rPr>
        <w:t>和</w:t>
      </w:r>
      <w:r>
        <w:rPr>
          <w:rFonts w:hint="eastAsia" w:ascii="宋体" w:hAnsi="宋体"/>
        </w:rPr>
        <w:t>社会资本合作</w:t>
      </w:r>
      <w:r>
        <w:rPr>
          <w:rFonts w:hint="eastAsia"/>
          <w:lang w:eastAsia="zh-CN"/>
        </w:rPr>
        <w:t>融资引导基金</w:t>
      </w:r>
      <w:r>
        <w:rPr>
          <w:rFonts w:hint="eastAsia" w:ascii="宋体" w:hAnsi="宋体"/>
        </w:rPr>
        <w:t>撬动投资规模1028.09亿元</w:t>
      </w:r>
      <w:r>
        <w:rPr>
          <w:rFonts w:hint="eastAsia"/>
          <w:lang w:val="en-US" w:eastAsia="zh-CN"/>
        </w:rPr>
        <w:t>PPP</w:t>
      </w:r>
      <w:r>
        <w:rPr>
          <w:rFonts w:hint="eastAsia" w:ascii="宋体" w:hAnsi="宋体"/>
        </w:rPr>
        <w:t>项目落地，有力地支持了铁路、公路、机场、重大水利工程等重大项目建设，补齐重大民生工程短板和完善综合交通运输体系，为构建“双循环”发展新格局提供有利支撑。</w:t>
      </w:r>
      <w:r>
        <w:rPr>
          <w:rFonts w:hint="eastAsia" w:ascii="宋体" w:hAnsi="宋体"/>
          <w:b/>
          <w:bCs/>
        </w:rPr>
        <w:t>三是创新驱动促进产业转型。</w:t>
      </w:r>
      <w:r>
        <w:rPr>
          <w:rFonts w:hint="eastAsia"/>
          <w:lang w:eastAsia="zh-CN"/>
        </w:rPr>
        <w:t>全省财政科技累计支出达208.07亿元，有力地支持创新驱动发展战略深入实施。</w:t>
      </w:r>
      <w:r>
        <w:rPr>
          <w:rFonts w:hint="eastAsia" w:ascii="宋体" w:hAnsi="宋体"/>
        </w:rPr>
        <w:t>累计筹措安排省级重点产业发展专项资金21.69亿元，中小企业和民营经济发展专项资金13.57亿元，出资70.8亿元设立吉林省中小企业和民营经济发展基金以及省产业投资引导基金，支持重点产业、重点行业和新兴产业发展。</w:t>
      </w:r>
      <w:r>
        <w:rPr>
          <w:rFonts w:hint="eastAsia" w:ascii="宋体" w:hAnsi="宋体"/>
          <w:b/>
          <w:bCs/>
        </w:rPr>
        <w:t>四是转移支付保障县域均衡。</w:t>
      </w:r>
      <w:r>
        <w:rPr>
          <w:rFonts w:hint="eastAsia" w:ascii="宋体" w:hAnsi="宋体"/>
        </w:rPr>
        <w:t>省级不断加大对困难市</w:t>
      </w:r>
      <w:r>
        <w:rPr>
          <w:rFonts w:hint="eastAsia"/>
          <w:lang w:eastAsia="zh-CN"/>
        </w:rPr>
        <w:t>（州）、县（市）（以下简称市县）</w:t>
      </w:r>
      <w:r>
        <w:rPr>
          <w:rFonts w:hint="eastAsia" w:ascii="宋体" w:hAnsi="宋体"/>
        </w:rPr>
        <w:t>的支持力度，累计补助市县转移支付0.98万亿</w:t>
      </w:r>
      <w:r>
        <w:rPr>
          <w:rFonts w:hint="eastAsia"/>
          <w:lang w:eastAsia="zh-CN"/>
        </w:rPr>
        <w:t>元</w:t>
      </w:r>
      <w:r>
        <w:rPr>
          <w:rFonts w:hint="eastAsia" w:ascii="宋体" w:hAnsi="宋体"/>
        </w:rPr>
        <w:t>，促进地区间财力均衡配置，精准支持市县落实国家省重大任务，促进基本公共服务均等化。</w:t>
      </w:r>
      <w:r>
        <w:rPr>
          <w:rFonts w:hint="eastAsia" w:ascii="宋体" w:hAnsi="宋体"/>
          <w:b/>
          <w:bCs/>
        </w:rPr>
        <w:t>五是强农惠农促进农业农村发展。</w:t>
      </w:r>
      <w:r>
        <w:rPr>
          <w:rFonts w:hint="eastAsia" w:ascii="宋体" w:hAnsi="宋体"/>
        </w:rPr>
        <w:t>累计筹措拨付各项支农资金</w:t>
      </w:r>
      <w:r>
        <w:rPr>
          <w:rFonts w:hint="eastAsia"/>
          <w:lang w:val="en-US" w:eastAsia="zh-CN"/>
        </w:rPr>
        <w:t>1130</w:t>
      </w:r>
      <w:r>
        <w:rPr>
          <w:rFonts w:hint="eastAsia" w:ascii="宋体" w:hAnsi="宋体"/>
        </w:rPr>
        <w:t>亿元，主要支持农业生产发展、落实各项惠农补贴政策、农业保险覆盖范围逐年扩大、构建农业风险防范体系、推进美丽乡村建设、落实国家农村改革政策。</w:t>
      </w:r>
    </w:p>
    <w:p>
      <w:pPr>
        <w:pStyle w:val="5"/>
        <w:rPr>
          <w:rFonts w:ascii="宋体" w:hAnsi="宋体" w:cs="楷体"/>
          <w:color w:val="auto"/>
          <w:szCs w:val="32"/>
          <w:highlight w:val="none"/>
        </w:rPr>
      </w:pPr>
      <w:bookmarkStart w:id="17" w:name="_Toc17603"/>
      <w:bookmarkStart w:id="18" w:name="_Toc8821"/>
      <w:bookmarkStart w:id="19" w:name="_Toc30780"/>
      <w:bookmarkStart w:id="20" w:name="_Toc28287"/>
      <w:bookmarkStart w:id="21" w:name="_Toc27317"/>
      <w:bookmarkStart w:id="22" w:name="_Toc14693"/>
      <w:r>
        <w:rPr>
          <w:rFonts w:hint="eastAsia" w:ascii="宋体" w:hAnsi="宋体" w:cs="楷体"/>
          <w:color w:val="auto"/>
          <w:szCs w:val="32"/>
          <w:highlight w:val="none"/>
        </w:rPr>
        <w:t>（三）强化政策保障和资金支持，坚决打赢三大攻坚战</w:t>
      </w:r>
      <w:bookmarkEnd w:id="17"/>
      <w:bookmarkEnd w:id="18"/>
      <w:bookmarkEnd w:id="19"/>
      <w:bookmarkEnd w:id="20"/>
      <w:bookmarkEnd w:id="21"/>
      <w:bookmarkEnd w:id="22"/>
    </w:p>
    <w:p>
      <w:pPr>
        <w:bidi w:val="0"/>
        <w:rPr>
          <w:rFonts w:ascii="宋体" w:hAnsi="宋体"/>
          <w:color w:val="auto"/>
          <w:highlight w:val="none"/>
        </w:rPr>
      </w:pPr>
      <w:bookmarkStart w:id="23" w:name="_Toc29663"/>
      <w:r>
        <w:rPr>
          <w:rFonts w:hint="eastAsia"/>
          <w:b/>
          <w:bCs/>
        </w:rPr>
        <w:t>一是严守风险底线支持打好防范化解重大风险攻坚战。</w:t>
      </w:r>
      <w:r>
        <w:rPr>
          <w:rFonts w:hint="eastAsia"/>
        </w:rPr>
        <w:t>坚决落实党中央、国务院决策部署，依法依规对地方政府债务实行限额管理和预算管理，严控高风险地区新增债务限额增量和隐性债务增量，积极稳妥化解存量政府隐性债务，全面清理整改违法违规举债融资担保行为，加大债务风险评估和预警指标监测</w:t>
      </w:r>
      <w:r>
        <w:rPr>
          <w:rFonts w:hint="eastAsia"/>
          <w:lang w:eastAsia="zh-CN"/>
        </w:rPr>
        <w:t>以及</w:t>
      </w:r>
      <w:r>
        <w:rPr>
          <w:rFonts w:hint="eastAsia"/>
        </w:rPr>
        <w:t>隐性债务数据统计分析监测力度，有效防范地方政府债务风险。“十三五”期末，全省政府债务余额</w:t>
      </w:r>
      <w:r>
        <w:rPr>
          <w:rFonts w:hint="eastAsia"/>
          <w:lang w:val="en-US" w:eastAsia="zh-CN"/>
        </w:rPr>
        <w:t>5221.42</w:t>
      </w:r>
      <w:r>
        <w:rPr>
          <w:rFonts w:hint="eastAsia"/>
        </w:rPr>
        <w:t>亿元，严格控制在国家核定的</w:t>
      </w:r>
      <w:r>
        <w:rPr>
          <w:rFonts w:hint="eastAsia"/>
          <w:lang w:val="en-US" w:eastAsia="zh-CN"/>
        </w:rPr>
        <w:t>5782.07</w:t>
      </w:r>
      <w:r>
        <w:rPr>
          <w:rFonts w:hint="eastAsia"/>
        </w:rPr>
        <w:t>亿元政府债务限额内，地方政府债务风险总体可控。</w:t>
      </w:r>
      <w:r>
        <w:rPr>
          <w:rFonts w:hint="eastAsia"/>
          <w:b/>
          <w:bCs/>
        </w:rPr>
        <w:t>二是强化财政保障支持打好精准脱贫攻坚战。</w:t>
      </w:r>
      <w:r>
        <w:rPr>
          <w:rFonts w:hint="eastAsia"/>
        </w:rPr>
        <w:t>“十三五”期间，全省各级财政部门不断健全与脱贫攻坚任务相适应的投入保障机制，加大扶贫资金投入力度、创新支持方式、加强扶贫资金监管，着力提高资金使用效益。省财政共筹措拨付各级财政专项扶贫资金153.9亿元；统筹整合各类财政涉农资金194.7亿元，各贫困县可支配财政扶贫资金从试点前0.5亿元提高到4.4亿元；安排用于脱贫攻坚方面的政府债券资金46.4亿元，重点支持易地扶贫搬迁、贫困村提升工程等基础设施项目建设；建立扶贫资金动态监控系统，全面实施扶贫项目资金绩效管理，压实绩效管理责任，提高扶贫资金使用效益。</w:t>
      </w:r>
      <w:r>
        <w:rPr>
          <w:rFonts w:hint="eastAsia"/>
          <w:b/>
          <w:bCs/>
        </w:rPr>
        <w:t>三是坚持绿色发展支持打好污染防治攻坚战。</w:t>
      </w:r>
      <w:r>
        <w:rPr>
          <w:rFonts w:hint="eastAsia"/>
        </w:rPr>
        <w:t>全省累计筹措安排生态环保方面资金1040亿元，支持打好蓝天、碧水、青山、黑土地和草原湿地“五大保卫战”，辽河、饮马河、查干湖重点流域水污染状况明显改善，大气污染防治、黑土地保护等重点工作深入推进，长白山区山水林田湖草生态保护修复国家试点获得国家绩效考评良好等次。</w:t>
      </w:r>
      <w:bookmarkEnd w:id="23"/>
    </w:p>
    <w:p>
      <w:pPr>
        <w:pStyle w:val="5"/>
        <w:rPr>
          <w:rFonts w:ascii="宋体" w:hAnsi="宋体" w:cs="楷体"/>
          <w:color w:val="auto"/>
          <w:szCs w:val="32"/>
          <w:highlight w:val="none"/>
        </w:rPr>
      </w:pPr>
      <w:bookmarkStart w:id="24" w:name="_Toc5099"/>
      <w:bookmarkStart w:id="25" w:name="_Toc29630"/>
      <w:bookmarkStart w:id="26" w:name="_Toc28449"/>
      <w:bookmarkStart w:id="27" w:name="_Toc29009"/>
      <w:bookmarkStart w:id="28" w:name="_Toc14861"/>
      <w:bookmarkStart w:id="29" w:name="_Toc12522"/>
      <w:r>
        <w:rPr>
          <w:rFonts w:hint="eastAsia" w:ascii="宋体" w:hAnsi="宋体" w:cs="楷体"/>
          <w:color w:val="auto"/>
          <w:szCs w:val="32"/>
          <w:highlight w:val="none"/>
        </w:rPr>
        <w:t>（四）坚持尽力而为量力而行，提高保障和改善民生水平</w:t>
      </w:r>
      <w:bookmarkEnd w:id="24"/>
      <w:bookmarkEnd w:id="25"/>
      <w:bookmarkEnd w:id="26"/>
      <w:bookmarkEnd w:id="27"/>
      <w:bookmarkEnd w:id="28"/>
      <w:bookmarkEnd w:id="29"/>
    </w:p>
    <w:p>
      <w:pPr>
        <w:bidi w:val="0"/>
        <w:rPr>
          <w:rFonts w:ascii="宋体" w:hAnsi="宋体"/>
          <w:color w:val="auto"/>
          <w:highlight w:val="none"/>
        </w:rPr>
      </w:pPr>
      <w:bookmarkStart w:id="30" w:name="_Toc3693"/>
      <w:r>
        <w:rPr>
          <w:rFonts w:hint="eastAsia"/>
          <w:b/>
          <w:bCs/>
        </w:rPr>
        <w:t>一是支持就业创业保根本。</w:t>
      </w:r>
      <w:r>
        <w:rPr>
          <w:rFonts w:hint="eastAsia"/>
        </w:rPr>
        <w:t>累计筹措拨付就业创业资金198亿元，支持实施我省职业技能提升专项行动、失业保险援企稳岗、“三支一扶”计划等顺利开展，促进高校毕业生、下岗失业人员、农民工、退役军人等重点群体多渠道就业创业。</w:t>
      </w:r>
      <w:r>
        <w:rPr>
          <w:rFonts w:hint="eastAsia"/>
          <w:b/>
          <w:bCs/>
        </w:rPr>
        <w:t>二是支持医疗卫生促健康。</w:t>
      </w:r>
      <w:r>
        <w:rPr>
          <w:rFonts w:hint="eastAsia"/>
        </w:rPr>
        <w:t>累计筹措卫生健康支出1415.9亿元，全力推进“健康吉林”建设，持续加大对医药卫生体制改革、中医药传承创新发展、全民健康素养等诸多健康领域的财政支持力度。新农合和城镇居民医保全面整合为统一的城乡居民基本医疗保险，省财政累计筹措拨付城乡居民医疗保险补助资金372.5亿元，支持城乡居民医疗保险财政补助标准从2016年的每人每年420元提高到2020年的550元。新冠肺炎疫情发生以来，全省各级财政累计筹措到位资金88.5亿元，全面保障疫情防控各类经费需要。</w:t>
      </w:r>
      <w:r>
        <w:rPr>
          <w:rFonts w:hint="eastAsia"/>
          <w:b/>
          <w:bCs/>
        </w:rPr>
        <w:t>三是提高社保标准稳安乐。</w:t>
      </w:r>
      <w:r>
        <w:rPr>
          <w:rFonts w:hint="eastAsia"/>
        </w:rPr>
        <w:t>累计筹措企业职工、城乡居民和机关企事业单位养老保险补助支出2070.2亿元，困难群众救助补助支出345.8亿元，城乡居民医疗保险支出427.2亿元，医疗救助支出32.4亿元，用于支持改善社会保障事业，各项民生保障标准不断提高。</w:t>
      </w:r>
      <w:r>
        <w:rPr>
          <w:rFonts w:hint="eastAsia"/>
          <w:b/>
          <w:bCs/>
        </w:rPr>
        <w:t>四是支持科教文体快发展。</w:t>
      </w:r>
      <w:r>
        <w:rPr>
          <w:rFonts w:hint="eastAsia"/>
        </w:rPr>
        <w:t>严格落实财政教育投入“两个只增不减”要求，全省财政教育支出累计达2458.8亿元，主要用于构建覆盖各教育阶段的财政经费保障机制，提高义务教育、普通高中和特殊教育公用经费标准和高校生均拨款水平；落实并逐步完善学生资助政策，健全完善贫困学生资助体系；聚焦教育领域短板和弱项，持续改善贫困、民族、边境县（市）学校教育办学条件。全省财政文化旅游体育与传媒支出累计达356.6亿元，支持实施文化惠民工程，丰富公共文化产品供给，促进冰雪旅游融合发展，支持体育强省建设。</w:t>
      </w:r>
      <w:bookmarkEnd w:id="30"/>
    </w:p>
    <w:p>
      <w:pPr>
        <w:pStyle w:val="5"/>
        <w:rPr>
          <w:rFonts w:hint="eastAsia" w:ascii="宋体" w:hAnsi="宋体" w:eastAsia="楷体" w:cs="楷体"/>
          <w:color w:val="auto"/>
          <w:szCs w:val="32"/>
          <w:highlight w:val="none"/>
          <w:lang w:eastAsia="zh-CN"/>
        </w:rPr>
      </w:pPr>
      <w:bookmarkStart w:id="31" w:name="_Toc28292"/>
      <w:bookmarkStart w:id="32" w:name="_Toc14061"/>
      <w:bookmarkStart w:id="33" w:name="_Toc16245"/>
      <w:bookmarkStart w:id="34" w:name="_Toc8667"/>
      <w:bookmarkStart w:id="35" w:name="_Toc12487"/>
      <w:bookmarkStart w:id="36" w:name="_Toc28232"/>
      <w:r>
        <w:rPr>
          <w:rFonts w:hint="eastAsia" w:ascii="宋体" w:hAnsi="宋体" w:cs="楷体"/>
          <w:color w:val="auto"/>
          <w:szCs w:val="32"/>
          <w:highlight w:val="none"/>
        </w:rPr>
        <w:t>（五）深化财政管理改革，提升财政管理水平</w:t>
      </w:r>
      <w:bookmarkEnd w:id="31"/>
      <w:bookmarkEnd w:id="32"/>
      <w:bookmarkEnd w:id="33"/>
      <w:bookmarkEnd w:id="34"/>
      <w:bookmarkEnd w:id="35"/>
      <w:bookmarkEnd w:id="36"/>
    </w:p>
    <w:p>
      <w:pPr>
        <w:bidi w:val="0"/>
        <w:rPr>
          <w:rFonts w:ascii="宋体" w:hAnsi="宋体"/>
          <w:color w:val="auto"/>
          <w:highlight w:val="none"/>
        </w:rPr>
      </w:pPr>
      <w:bookmarkStart w:id="37" w:name="_Toc15730"/>
      <w:r>
        <w:rPr>
          <w:rFonts w:hint="eastAsia"/>
          <w:b/>
          <w:bCs/>
        </w:rPr>
        <w:t>一是深化预算管理制度改革。</w:t>
      </w:r>
      <w:r>
        <w:rPr>
          <w:rFonts w:hint="eastAsia"/>
        </w:rPr>
        <w:t>完善政府预算体系，加强“四本”预算的统筹衔接，实现全口径预算管理；建立跨年度预算平衡机制，实行中期财政规划管理，改进年度预算控制方式；调整完善省级部门基本支出定额标准体系，强化预算管理基础工作；清理盘活财政存量资金，提高财政资金使用效益。全面推进预决算公开，除涉及国家秘密信息外，全省政府预决算和部门预决算全部向社会公开。</w:t>
      </w:r>
      <w:r>
        <w:rPr>
          <w:rFonts w:hint="eastAsia"/>
          <w:b/>
          <w:bCs/>
        </w:rPr>
        <w:t>二是加强预算绩效管理。</w:t>
      </w:r>
      <w:r>
        <w:rPr>
          <w:rFonts w:hint="eastAsia"/>
        </w:rPr>
        <w:t>建立绩效目标管理、绩效监控、绩效评价、评价结果应用的全过程预算绩效管理机制；项目支出和</w:t>
      </w:r>
      <w:r>
        <w:rPr>
          <w:rFonts w:hint="eastAsia"/>
          <w:lang w:eastAsia="zh-CN"/>
        </w:rPr>
        <w:t>部门</w:t>
      </w:r>
      <w:r>
        <w:rPr>
          <w:rFonts w:hint="eastAsia"/>
        </w:rPr>
        <w:t>整体支出绩效</w:t>
      </w:r>
      <w:r>
        <w:rPr>
          <w:rFonts w:hint="eastAsia"/>
          <w:lang w:eastAsia="zh-CN"/>
        </w:rPr>
        <w:t>管理</w:t>
      </w:r>
      <w:r>
        <w:rPr>
          <w:rFonts w:hint="eastAsia"/>
        </w:rPr>
        <w:t>范围逐年扩大，实施全方位预算绩效管理；选择政府性基金预算和国有资本经营预算部分项目开展绩效评价，基本实现预算绩效管理全覆盖。</w:t>
      </w:r>
      <w:r>
        <w:rPr>
          <w:rFonts w:hint="eastAsia"/>
          <w:b/>
          <w:bCs/>
        </w:rPr>
        <w:t>三是深化财政体制改革。</w:t>
      </w:r>
      <w:r>
        <w:rPr>
          <w:rFonts w:hint="eastAsia"/>
        </w:rPr>
        <w:t>深入推进财政事权和支出责任划分改革，完成了医疗卫生、教育、科技、交通运输、生态环境等领域省与市县财政事权和支出责任划分改革；统一规范省与市县收入划分政策，出台全面推开营改增试点后调整省与市县收入划分过渡方案，提升省级财力调节能力，充分调动省与市县两个积极性；健全转移支付制度，优化省对市县转移支付结构，建立一般性转移支付稳定增长机制，提高一般性转移支付所占比重。“十三五”期末，省对市县下达一般性转移支付1928.9亿元，较“十二五”期末增加1031.7亿元，增长115%。</w:t>
      </w:r>
      <w:r>
        <w:rPr>
          <w:rFonts w:hint="eastAsia"/>
          <w:b/>
          <w:bCs/>
        </w:rPr>
        <w:t>四是深化政府采购制度改革。</w:t>
      </w:r>
      <w:r>
        <w:rPr>
          <w:rFonts w:hint="eastAsia"/>
        </w:rPr>
        <w:t>推进“互联网+政府采购”，加快电子商城建设，“十三五”时期，全省已有10个市、县按照省本级电子商城建设模式，依托“政采云”平台完成了电子商城建设工作，全省共有4495个供应商入驻，上架108.05万余个商品，完成交易5.05万笔，交易金额达2.07亿余元。</w:t>
      </w:r>
      <w:r>
        <w:rPr>
          <w:rFonts w:hint="eastAsia"/>
          <w:b/>
          <w:bCs/>
        </w:rPr>
        <w:t>五是深化政府会计制度和政府综合财务报告改革。</w:t>
      </w:r>
      <w:r>
        <w:rPr>
          <w:rFonts w:hint="eastAsia"/>
        </w:rPr>
        <w:t>加强《政府会计制度》《财政总预算会计制度》等政府会计准则制度的宣传贯彻力度，积极破解权责发生制的会计确认等一系列难题，有效实现政府财务会计与政府预算会计的总体协同。建立政府综合财务报告体系，不断扩容试点范围，推进信息化建设，规范财报编制，稳步推进政府综合财务报告改革。</w:t>
      </w:r>
      <w:bookmarkEnd w:id="37"/>
    </w:p>
    <w:p>
      <w:pPr>
        <w:pStyle w:val="4"/>
        <w:ind w:firstLine="640" w:firstLineChars="200"/>
        <w:rPr>
          <w:rFonts w:ascii="宋体" w:hAnsi="宋体"/>
          <w:color w:val="auto"/>
          <w:highlight w:val="none"/>
        </w:rPr>
      </w:pPr>
      <w:bookmarkStart w:id="38" w:name="_Toc21612"/>
      <w:bookmarkStart w:id="39" w:name="_Toc11464"/>
      <w:bookmarkStart w:id="40" w:name="_Toc30717"/>
      <w:bookmarkStart w:id="41" w:name="_Toc23831"/>
      <w:bookmarkStart w:id="42" w:name="_Toc14275"/>
      <w:r>
        <w:rPr>
          <w:rFonts w:hint="eastAsia" w:ascii="宋体" w:hAnsi="宋体"/>
          <w:color w:val="auto"/>
          <w:highlight w:val="none"/>
        </w:rPr>
        <w:t>二、“十四五”时期财政发展面临的形势</w:t>
      </w:r>
      <w:bookmarkEnd w:id="38"/>
      <w:bookmarkEnd w:id="39"/>
      <w:bookmarkEnd w:id="40"/>
      <w:bookmarkEnd w:id="41"/>
      <w:bookmarkEnd w:id="42"/>
    </w:p>
    <w:p>
      <w:pPr>
        <w:rPr>
          <w:rFonts w:ascii="宋体" w:hAnsi="宋体"/>
          <w:color w:val="auto"/>
          <w:highlight w:val="none"/>
        </w:rPr>
      </w:pPr>
      <w:bookmarkStart w:id="43" w:name="_Toc13614"/>
      <w:r>
        <w:rPr>
          <w:rFonts w:hint="eastAsia" w:ascii="宋体" w:hAnsi="宋体"/>
          <w:color w:val="auto"/>
          <w:highlight w:val="none"/>
        </w:rPr>
        <w:t>当前和今后一个时期，</w:t>
      </w:r>
      <w:r>
        <w:rPr>
          <w:rFonts w:hint="eastAsia"/>
          <w:color w:val="auto"/>
          <w:highlight w:val="none"/>
          <w:lang w:eastAsia="zh-CN"/>
        </w:rPr>
        <w:t>我国仍处于重要战略机遇期，但机遇和挑战都有新的变化，机遇和挑战之大都前所未有，总体上机遇大于挑战。</w:t>
      </w:r>
      <w:r>
        <w:rPr>
          <w:rFonts w:hint="eastAsia" w:ascii="宋体" w:hAnsi="宋体"/>
          <w:color w:val="auto"/>
          <w:highlight w:val="none"/>
        </w:rPr>
        <w:t>“十四五”时期，受吉林省经济发展阶段、产业结构、地理区位、人口流出等因素影响，吉林省</w:t>
      </w:r>
      <w:r>
        <w:rPr>
          <w:rFonts w:hint="eastAsia"/>
          <w:color w:val="auto"/>
          <w:highlight w:val="none"/>
          <w:lang w:eastAsia="zh-CN"/>
        </w:rPr>
        <w:t>各项</w:t>
      </w:r>
      <w:r>
        <w:rPr>
          <w:rFonts w:hint="eastAsia" w:ascii="宋体" w:hAnsi="宋体"/>
          <w:color w:val="auto"/>
          <w:highlight w:val="none"/>
        </w:rPr>
        <w:t>改革任务依然十分艰巨</w:t>
      </w:r>
      <w:r>
        <w:rPr>
          <w:rFonts w:hint="eastAsia"/>
          <w:color w:val="auto"/>
          <w:highlight w:val="none"/>
          <w:lang w:eastAsia="zh-CN"/>
        </w:rPr>
        <w:t>。但东北振兴的政策机遇、国家重大战略的对接机遇、产业升级的趋势机遇与老工业基地振兴优势、国家重要商品粮基础优势、生态资源优势</w:t>
      </w:r>
      <w:r>
        <w:rPr>
          <w:rFonts w:hint="eastAsia" w:ascii="宋体" w:hAnsi="宋体"/>
          <w:color w:val="auto"/>
          <w:highlight w:val="none"/>
        </w:rPr>
        <w:t>为吉林省全面全方位振兴提供了必要的先决条件。</w:t>
      </w:r>
    </w:p>
    <w:p>
      <w:pPr>
        <w:pStyle w:val="5"/>
        <w:rPr>
          <w:rFonts w:ascii="宋体" w:hAnsi="宋体"/>
          <w:color w:val="auto"/>
          <w:highlight w:val="none"/>
        </w:rPr>
      </w:pPr>
      <w:bookmarkStart w:id="44" w:name="_Toc28612"/>
      <w:bookmarkStart w:id="45" w:name="_Toc32194"/>
      <w:bookmarkStart w:id="46" w:name="_Toc27999"/>
      <w:bookmarkStart w:id="47" w:name="_Toc22515"/>
      <w:bookmarkStart w:id="48" w:name="_Toc3400"/>
      <w:r>
        <w:rPr>
          <w:rFonts w:hint="eastAsia" w:ascii="宋体" w:hAnsi="宋体"/>
          <w:color w:val="auto"/>
          <w:highlight w:val="none"/>
        </w:rPr>
        <w:t>（一）</w:t>
      </w:r>
      <w:r>
        <w:rPr>
          <w:rFonts w:hint="eastAsia" w:ascii="宋体" w:hAnsi="宋体" w:eastAsia="楷体" w:cs="Times New Roman"/>
          <w:color w:val="auto"/>
          <w:sz w:val="32"/>
          <w:highlight w:val="none"/>
          <w:lang w:val="en-US" w:eastAsia="zh-CN" w:bidi="ar-SA"/>
        </w:rPr>
        <w:t>财政发展面临重要机遇</w:t>
      </w:r>
      <w:bookmarkEnd w:id="43"/>
      <w:bookmarkEnd w:id="44"/>
      <w:bookmarkEnd w:id="45"/>
      <w:bookmarkEnd w:id="46"/>
      <w:bookmarkEnd w:id="47"/>
      <w:bookmarkEnd w:id="48"/>
    </w:p>
    <w:p>
      <w:pPr>
        <w:rPr>
          <w:rFonts w:ascii="宋体" w:hAnsi="宋体"/>
          <w:color w:val="auto"/>
          <w:highlight w:val="none"/>
        </w:rPr>
      </w:pPr>
      <w:r>
        <w:rPr>
          <w:rFonts w:hint="eastAsia" w:ascii="宋体" w:hAnsi="宋体"/>
          <w:color w:val="auto"/>
          <w:highlight w:val="none"/>
        </w:rPr>
        <w:t>“十四五”</w:t>
      </w:r>
      <w:r>
        <w:rPr>
          <w:rFonts w:hint="eastAsia"/>
          <w:color w:val="auto"/>
          <w:highlight w:val="none"/>
          <w:lang w:eastAsia="zh-CN"/>
        </w:rPr>
        <w:t>时期，吉林省</w:t>
      </w:r>
      <w:r>
        <w:rPr>
          <w:rFonts w:hint="eastAsia" w:ascii="宋体" w:hAnsi="宋体"/>
          <w:color w:val="auto"/>
          <w:highlight w:val="none"/>
        </w:rPr>
        <w:t>面临东北振兴等一系列政策机遇，拥有生态资源等众多独特优势，利好因素持续汇聚，经济社会发展长期向好，为吉林省全面全方位振兴提供了必要的先决条件，为财政改革发展奠定良好基础。吉林省财政应紧紧抓住创新发展的关键机遇期，结合吉林地域特点和要素优势，以“财政改革转机制、财政管理求效益、财政发展谋空间、财政制度强约束”为重点，突出政府预算、税费、体制分配、风险防控等突出问题，保证财政收支均衡，推进数字财政建设，发挥财政支持经济、稳定社会、保障民生的关键作用，推动吉林财政向更高质量发展。</w:t>
      </w:r>
    </w:p>
    <w:p>
      <w:pPr>
        <w:pStyle w:val="5"/>
        <w:bidi w:val="0"/>
        <w:rPr>
          <w:rFonts w:hint="eastAsia" w:ascii="宋体" w:hAnsi="宋体"/>
          <w:lang w:eastAsia="zh-CN"/>
        </w:rPr>
      </w:pPr>
      <w:bookmarkStart w:id="49" w:name="_Toc27672"/>
      <w:bookmarkStart w:id="50" w:name="_Toc31405"/>
      <w:bookmarkStart w:id="51" w:name="_Toc1195"/>
      <w:r>
        <w:rPr>
          <w:rFonts w:hint="eastAsia" w:ascii="宋体" w:hAnsi="宋体"/>
          <w:lang w:eastAsia="zh-CN"/>
        </w:rPr>
        <w:t>（二）财政发展任务仍然艰巨</w:t>
      </w:r>
      <w:bookmarkEnd w:id="49"/>
      <w:bookmarkEnd w:id="50"/>
      <w:bookmarkEnd w:id="51"/>
    </w:p>
    <w:p>
      <w:pPr>
        <w:rPr>
          <w:rFonts w:hint="eastAsia" w:ascii="宋体" w:hAnsi="宋体"/>
          <w:color w:val="auto"/>
          <w:highlight w:val="none"/>
          <w:lang w:eastAsia="zh-CN"/>
        </w:rPr>
      </w:pPr>
      <w:r>
        <w:rPr>
          <w:rFonts w:hint="eastAsia" w:ascii="宋体" w:hAnsi="宋体"/>
          <w:color w:val="auto"/>
          <w:highlight w:val="none"/>
          <w:lang w:eastAsia="zh-CN"/>
        </w:rPr>
        <w:t>深化预算管理制度改革进入攻坚期。需要进一步强化政府预算约束，合理确定财政支出水平，增强财政支出可持续性；需要有效发挥财政杠杆作用，加大重点领域保障力度，增强基础设施服务经济社会发展功能；需要适度举借地方政府债务，防范财政运行风险，有序化解隐性债务存量；需要加快推进预算管理一体化建设，全面提高预算透明度和财政资金使用效率。</w:t>
      </w:r>
    </w:p>
    <w:p>
      <w:pPr>
        <w:rPr>
          <w:rFonts w:hint="eastAsia" w:ascii="宋体" w:hAnsi="宋体"/>
          <w:color w:val="auto"/>
          <w:highlight w:val="none"/>
          <w:lang w:eastAsia="zh-CN"/>
        </w:rPr>
      </w:pPr>
      <w:r>
        <w:rPr>
          <w:rFonts w:hint="eastAsia" w:ascii="宋体" w:hAnsi="宋体"/>
          <w:color w:val="auto"/>
          <w:highlight w:val="none"/>
          <w:lang w:eastAsia="zh-CN"/>
        </w:rPr>
        <w:t>深入落实国家制度性结构性减税降费政策进入关键期。需要抓住税制改革和清理收费基金的政策窗口，合理调整我省税收结构，促进传统优势产业实现转型升级；全面落实对小微企业和个体工商户的税费减免政策，提升企业生存能力和成长空间；落实完善促进企业加大技术研发的税收优惠政策，支持产业向高端化高质化方向发展。</w:t>
      </w:r>
    </w:p>
    <w:p>
      <w:pPr>
        <w:rPr>
          <w:rFonts w:hint="eastAsia" w:ascii="宋体" w:hAnsi="宋体"/>
          <w:color w:val="auto"/>
          <w:highlight w:val="none"/>
          <w:lang w:eastAsia="zh-CN"/>
        </w:rPr>
      </w:pPr>
      <w:r>
        <w:rPr>
          <w:rFonts w:hint="eastAsia" w:ascii="宋体" w:hAnsi="宋体"/>
          <w:color w:val="auto"/>
          <w:highlight w:val="none"/>
          <w:lang w:eastAsia="zh-CN"/>
        </w:rPr>
        <w:t>财政事权与支出责任划分改革进入深化期。需要按照基本公共服务均等化原则和“一主</w:t>
      </w:r>
      <w:r>
        <w:rPr>
          <w:rFonts w:hint="eastAsia"/>
          <w:color w:val="auto"/>
          <w:highlight w:val="none"/>
          <w:lang w:eastAsia="zh-CN"/>
        </w:rPr>
        <w:t>、</w:t>
      </w:r>
      <w:r>
        <w:rPr>
          <w:rFonts w:hint="eastAsia" w:ascii="宋体" w:hAnsi="宋体"/>
          <w:color w:val="auto"/>
          <w:highlight w:val="none"/>
          <w:lang w:eastAsia="zh-CN"/>
        </w:rPr>
        <w:t>六双”</w:t>
      </w:r>
      <w:r>
        <w:rPr>
          <w:rFonts w:hint="eastAsia"/>
          <w:color w:val="auto"/>
          <w:highlight w:val="none"/>
          <w:lang w:eastAsia="zh-CN"/>
        </w:rPr>
        <w:t>高质量发展战略</w:t>
      </w:r>
      <w:r>
        <w:rPr>
          <w:rFonts w:hint="eastAsia" w:ascii="宋体" w:hAnsi="宋体"/>
          <w:color w:val="auto"/>
          <w:highlight w:val="none"/>
          <w:lang w:eastAsia="zh-CN"/>
        </w:rPr>
        <w:t>，调整省与市县的财力分配机制，稳步增强市县财政发展能力。</w:t>
      </w:r>
    </w:p>
    <w:p>
      <w:pPr>
        <w:pStyle w:val="5"/>
        <w:bidi w:val="0"/>
        <w:rPr>
          <w:rFonts w:hint="eastAsia" w:ascii="宋体" w:hAnsi="宋体"/>
          <w:lang w:eastAsia="zh-CN"/>
        </w:rPr>
      </w:pPr>
      <w:bookmarkStart w:id="52" w:name="_Toc10357"/>
      <w:bookmarkStart w:id="53" w:name="_Toc2973"/>
      <w:bookmarkStart w:id="54" w:name="_Toc30336"/>
      <w:r>
        <w:rPr>
          <w:rFonts w:hint="eastAsia" w:ascii="宋体" w:hAnsi="宋体"/>
          <w:lang w:eastAsia="zh-CN"/>
        </w:rPr>
        <w:t>（三）财政收支形势预测分析</w:t>
      </w:r>
      <w:bookmarkEnd w:id="52"/>
      <w:bookmarkEnd w:id="53"/>
      <w:bookmarkEnd w:id="54"/>
    </w:p>
    <w:p>
      <w:pPr>
        <w:rPr>
          <w:rFonts w:hint="eastAsia" w:ascii="宋体" w:hAnsi="宋体"/>
          <w:color w:val="auto"/>
          <w:highlight w:val="none"/>
          <w:lang w:eastAsia="zh-CN"/>
        </w:rPr>
      </w:pPr>
      <w:r>
        <w:rPr>
          <w:rFonts w:hint="eastAsia" w:ascii="宋体" w:hAnsi="宋体"/>
          <w:b/>
          <w:bCs/>
          <w:color w:val="auto"/>
          <w:highlight w:val="none"/>
          <w:lang w:eastAsia="zh-CN"/>
        </w:rPr>
        <w:t>财政收入：总量不断增加，增速波动上行。</w:t>
      </w:r>
      <w:r>
        <w:rPr>
          <w:rFonts w:hint="eastAsia" w:ascii="宋体" w:hAnsi="宋体"/>
          <w:color w:val="auto"/>
          <w:highlight w:val="none"/>
          <w:lang w:eastAsia="zh-CN"/>
        </w:rPr>
        <w:t>经济基础不断夯实，东北振兴的政策机遇、新发展格局的融入机遇等利好因素持续汇集，地区生产总值将保持年均6.5%的中高速增长，将为财政收入平稳健康运行提供更为坚实的基础支撑；政策红利不断释放，我省运用财税支持政策，减轻企业税费负担，发展壮大实体经济特别是做大做强制造业，增强企业创新驱动力，推进新基建“761”工程和服务业转型提质，提升我省税源基础规模和质量；不确定影响依然存在，国际环境日趋复杂，新冠肺炎疫情影响广泛深远，我省经济社会发展还不够均衡和充分等因素都有可能对我省的财政运行产生较大影响。总体分析，“十四五”时期我省财政收入总量将大于“十三五”时期，增速也将高于“十三五”时期年均增速；受疫情导致的低基数效应影响，“十四五”开局财政收入增速较高，后期逐步回落到合理区间，与全省经济运行态势相匹配。</w:t>
      </w:r>
    </w:p>
    <w:p>
      <w:pPr>
        <w:rPr>
          <w:rFonts w:ascii="宋体" w:hAnsi="宋体"/>
          <w:color w:val="auto"/>
          <w:highlight w:val="none"/>
        </w:rPr>
      </w:pPr>
      <w:r>
        <w:rPr>
          <w:rFonts w:hint="eastAsia" w:ascii="宋体" w:hAnsi="宋体"/>
          <w:b/>
          <w:bCs/>
          <w:color w:val="auto"/>
          <w:highlight w:val="none"/>
          <w:lang w:eastAsia="zh-CN"/>
        </w:rPr>
        <w:t>财政支出：需求刚性扩大，增幅明显收窄。</w:t>
      </w:r>
      <w:r>
        <w:rPr>
          <w:rFonts w:hint="eastAsia" w:ascii="宋体" w:hAnsi="宋体"/>
          <w:color w:val="auto"/>
          <w:highlight w:val="none"/>
          <w:lang w:eastAsia="zh-CN"/>
        </w:rPr>
        <w:t>“十四五”时期是我国全面建设社会主义现代化国家新征程的开局起步期，也是吉林全面振兴全方位振兴的关键时期。支持促进经济加快转型升级，激发创造活力，促进汽车、医药、新材料等领域加快发展，融入新发展格局，对接国家重大战略等实现高质量发展需求依然较多。支持维护国家生态安全、粮食安全、国防安全、能源安全、产业安全任务仍然很重。提高人民生活品质，全面推进乡村振兴，完善社会保障体系，提高民生保障水平，同时，防范财政运行风险，应急处置风险等需求也较大。总体分析，“十四五”时期我省财政支出需求将持续增加，考虑到财政收入波动因素，特别是疫情影响仍存在不确定性，预期“十四五”前半期支出增速较低，“十四五”后半期增速提升，整体上将略低于“十三五”时期年均增速。</w:t>
      </w:r>
    </w:p>
    <w:p>
      <w:pPr>
        <w:pStyle w:val="4"/>
        <w:ind w:firstLine="640" w:firstLineChars="200"/>
        <w:rPr>
          <w:rFonts w:ascii="宋体" w:hAnsi="宋体"/>
          <w:color w:val="auto"/>
          <w:highlight w:val="none"/>
        </w:rPr>
      </w:pPr>
      <w:bookmarkStart w:id="55" w:name="_Toc18943"/>
      <w:bookmarkStart w:id="56" w:name="_Toc15011"/>
      <w:bookmarkStart w:id="57" w:name="_Toc14002"/>
      <w:bookmarkStart w:id="58" w:name="_Toc15831"/>
      <w:bookmarkStart w:id="59" w:name="_Toc9455"/>
      <w:bookmarkStart w:id="60" w:name="_Toc4044"/>
      <w:r>
        <w:rPr>
          <w:rFonts w:hint="eastAsia" w:ascii="宋体" w:hAnsi="宋体"/>
          <w:color w:val="auto"/>
          <w:highlight w:val="none"/>
        </w:rPr>
        <w:t>三、“十四五”时期财政发展指导思想、基本原则和主要目标</w:t>
      </w:r>
      <w:bookmarkEnd w:id="55"/>
      <w:bookmarkEnd w:id="56"/>
      <w:bookmarkEnd w:id="57"/>
      <w:bookmarkEnd w:id="58"/>
      <w:bookmarkEnd w:id="59"/>
      <w:bookmarkEnd w:id="60"/>
    </w:p>
    <w:p>
      <w:pPr>
        <w:pStyle w:val="5"/>
        <w:rPr>
          <w:rFonts w:ascii="宋体" w:hAnsi="宋体"/>
          <w:color w:val="auto"/>
          <w:highlight w:val="none"/>
        </w:rPr>
      </w:pPr>
      <w:bookmarkStart w:id="61" w:name="_Toc24946"/>
      <w:bookmarkStart w:id="62" w:name="_Toc16994"/>
      <w:bookmarkStart w:id="63" w:name="_Toc403"/>
      <w:bookmarkStart w:id="64" w:name="_Toc10778"/>
      <w:bookmarkStart w:id="65" w:name="_Toc29226"/>
      <w:bookmarkStart w:id="66" w:name="_Toc10621"/>
      <w:r>
        <w:rPr>
          <w:rFonts w:hint="eastAsia" w:ascii="宋体" w:hAnsi="宋体"/>
          <w:color w:val="auto"/>
          <w:highlight w:val="none"/>
        </w:rPr>
        <w:t>（一）指导思想</w:t>
      </w:r>
      <w:bookmarkEnd w:id="61"/>
      <w:bookmarkEnd w:id="62"/>
      <w:bookmarkEnd w:id="63"/>
      <w:bookmarkEnd w:id="64"/>
      <w:bookmarkEnd w:id="65"/>
      <w:bookmarkEnd w:id="66"/>
    </w:p>
    <w:p>
      <w:pPr>
        <w:rPr>
          <w:rFonts w:ascii="宋体" w:hAnsi="宋体"/>
          <w:color w:val="auto"/>
          <w:highlight w:val="none"/>
        </w:rPr>
      </w:pPr>
      <w:bookmarkStart w:id="67" w:name="_Toc30812"/>
      <w:r>
        <w:rPr>
          <w:rFonts w:hint="eastAsia"/>
          <w:color w:val="auto"/>
          <w:highlight w:val="none"/>
          <w:lang w:eastAsia="zh-CN"/>
        </w:rPr>
        <w:t>高举中国特色社会主义伟大旗帜，深入学习贯彻</w:t>
      </w:r>
      <w:r>
        <w:rPr>
          <w:rFonts w:hint="eastAsia" w:ascii="宋体" w:hAnsi="宋体"/>
          <w:color w:val="auto"/>
          <w:highlight w:val="none"/>
        </w:rPr>
        <w:t>党的十九大和十九届二中、三中、四中、五中全会精神，</w:t>
      </w:r>
      <w:r>
        <w:rPr>
          <w:rFonts w:hint="eastAsia"/>
          <w:color w:val="auto"/>
          <w:highlight w:val="none"/>
          <w:lang w:eastAsia="zh-CN"/>
        </w:rPr>
        <w:t>坚持以马克思列宁主义、毛泽东思想、邓小平理论、“三个代表”重要思想、科学发展观、</w:t>
      </w:r>
      <w:r>
        <w:rPr>
          <w:rFonts w:hint="eastAsia" w:ascii="宋体" w:hAnsi="宋体"/>
          <w:color w:val="auto"/>
          <w:highlight w:val="none"/>
        </w:rPr>
        <w:t>习近平新时代中国特色社会主义思想为指导，</w:t>
      </w:r>
      <w:r>
        <w:rPr>
          <w:rFonts w:hint="eastAsia"/>
          <w:color w:val="auto"/>
          <w:highlight w:val="none"/>
          <w:lang w:eastAsia="zh-CN"/>
        </w:rPr>
        <w:t>全面贯彻党的基本理论、基本路线、基本方略，</w:t>
      </w:r>
      <w:r>
        <w:rPr>
          <w:rFonts w:hint="eastAsia" w:ascii="宋体" w:hAnsi="宋体"/>
          <w:color w:val="auto"/>
          <w:highlight w:val="none"/>
        </w:rPr>
        <w:t>紧紧围绕统筹推进“五位一体”总体布局和协调推进“四个全面”战略布</w:t>
      </w:r>
      <w:r>
        <w:rPr>
          <w:rFonts w:hint="eastAsia"/>
          <w:color w:val="auto"/>
          <w:highlight w:val="none"/>
          <w:lang w:eastAsia="zh-CN"/>
        </w:rPr>
        <w:t>局，</w:t>
      </w:r>
      <w:r>
        <w:rPr>
          <w:rFonts w:hint="eastAsia" w:ascii="宋体" w:hAnsi="宋体"/>
          <w:color w:val="auto"/>
          <w:highlight w:val="none"/>
        </w:rPr>
        <w:t>坚持稳中求进工作总基调，立足新发展阶段，贯彻新发展理念，融入新发展格局，以推动高质量发展为主题，以深化供给侧结构性改革为主线，以改革创新为根本动力，以满足人民日益增长的美好生活需要为根本目的，坚持系统观念，统筹发展和安全，紧紧抓住推进东北振兴发展的历史机遇，</w:t>
      </w:r>
      <w:r>
        <w:rPr>
          <w:rFonts w:hint="eastAsia"/>
          <w:color w:val="auto"/>
          <w:highlight w:val="none"/>
          <w:lang w:eastAsia="zh-CN"/>
        </w:rPr>
        <w:t>全面实施</w:t>
      </w:r>
      <w:r>
        <w:rPr>
          <w:rFonts w:hint="eastAsia" w:ascii="宋体" w:hAnsi="宋体"/>
          <w:color w:val="auto"/>
          <w:highlight w:val="none"/>
        </w:rPr>
        <w:t>“一主、六双”</w:t>
      </w:r>
      <w:r>
        <w:rPr>
          <w:rFonts w:hint="eastAsia"/>
          <w:color w:val="auto"/>
          <w:highlight w:val="none"/>
          <w:lang w:eastAsia="zh-CN"/>
        </w:rPr>
        <w:t>高质量发展战略</w:t>
      </w:r>
      <w:r>
        <w:rPr>
          <w:rFonts w:hint="eastAsia" w:ascii="宋体" w:hAnsi="宋体"/>
          <w:color w:val="auto"/>
          <w:highlight w:val="none"/>
        </w:rPr>
        <w:t>，持续推动</w:t>
      </w:r>
      <w:r>
        <w:rPr>
          <w:rFonts w:hint="eastAsia"/>
          <w:color w:val="auto"/>
          <w:highlight w:val="none"/>
          <w:lang w:eastAsia="zh-CN"/>
        </w:rPr>
        <w:t>生态强省建设、</w:t>
      </w:r>
      <w:r>
        <w:rPr>
          <w:rFonts w:hint="eastAsia" w:ascii="宋体" w:hAnsi="宋体"/>
          <w:color w:val="auto"/>
          <w:highlight w:val="none"/>
        </w:rPr>
        <w:t>中东西“三大板块”协调发展。坚持宏观政策要稳、微观政策要活、社会政策要托底的总体思路，扎实做好“六稳”工作、全面落实“六保”任务，精准有效贯彻实施</w:t>
      </w:r>
      <w:r>
        <w:rPr>
          <w:rFonts w:hint="eastAsia" w:ascii="宋体" w:hAnsi="宋体"/>
          <w:color w:val="auto"/>
          <w:highlight w:val="none"/>
          <w:lang w:eastAsia="zh-CN"/>
        </w:rPr>
        <w:t>宏观</w:t>
      </w:r>
      <w:r>
        <w:rPr>
          <w:rFonts w:hint="eastAsia" w:ascii="宋体" w:hAnsi="宋体"/>
          <w:color w:val="auto"/>
          <w:highlight w:val="none"/>
        </w:rPr>
        <w:t>政策，努力保持经济运行在合理区间，更好地发挥现代财税体制在资源配置、财力保障和宏观调控方面的基础作用，全力支持新时代吉林全面振兴全方位振兴、全面建设社会主义现代化新吉林开好局、起好步。</w:t>
      </w:r>
    </w:p>
    <w:p>
      <w:pPr>
        <w:pStyle w:val="5"/>
        <w:rPr>
          <w:rFonts w:ascii="宋体" w:hAnsi="宋体"/>
          <w:color w:val="auto"/>
          <w:highlight w:val="none"/>
        </w:rPr>
      </w:pPr>
      <w:bookmarkStart w:id="68" w:name="_Toc18079"/>
      <w:bookmarkStart w:id="69" w:name="_Toc21113"/>
      <w:bookmarkStart w:id="70" w:name="_Toc9336"/>
      <w:bookmarkStart w:id="71" w:name="_Toc26060"/>
      <w:bookmarkStart w:id="72" w:name="_Toc26386"/>
      <w:r>
        <w:rPr>
          <w:rFonts w:hint="eastAsia" w:ascii="宋体" w:hAnsi="宋体"/>
          <w:color w:val="auto"/>
          <w:highlight w:val="none"/>
        </w:rPr>
        <w:t>（二）基本原则</w:t>
      </w:r>
      <w:bookmarkEnd w:id="67"/>
      <w:bookmarkEnd w:id="68"/>
      <w:bookmarkEnd w:id="69"/>
      <w:bookmarkEnd w:id="70"/>
      <w:bookmarkEnd w:id="71"/>
      <w:bookmarkEnd w:id="72"/>
    </w:p>
    <w:p>
      <w:pPr>
        <w:rPr>
          <w:rFonts w:ascii="宋体" w:hAnsi="宋体"/>
          <w:color w:val="auto"/>
          <w:highlight w:val="none"/>
        </w:rPr>
      </w:pPr>
      <w:r>
        <w:rPr>
          <w:rFonts w:hint="eastAsia" w:ascii="宋体" w:hAnsi="宋体"/>
          <w:color w:val="auto"/>
          <w:highlight w:val="none"/>
        </w:rPr>
        <w:t>“十四五”时期财税改革发展坚持以下基本原则：</w:t>
      </w:r>
    </w:p>
    <w:p>
      <w:pPr>
        <w:ind w:firstLine="643"/>
        <w:rPr>
          <w:rFonts w:ascii="宋体" w:hAnsi="宋体"/>
          <w:color w:val="auto"/>
          <w:highlight w:val="none"/>
        </w:rPr>
      </w:pPr>
      <w:r>
        <w:rPr>
          <w:rFonts w:hint="default" w:ascii="Times New Roman" w:hAnsi="Times New Roman" w:cs="Times New Roman"/>
          <w:b/>
          <w:bCs/>
          <w:color w:val="auto"/>
          <w:highlight w:val="none"/>
        </w:rPr>
        <w:t>——</w:t>
      </w:r>
      <w:r>
        <w:rPr>
          <w:rFonts w:hint="eastAsia" w:ascii="宋体" w:hAnsi="宋体"/>
          <w:b/>
          <w:bCs/>
          <w:color w:val="auto"/>
          <w:highlight w:val="none"/>
        </w:rPr>
        <w:t>坚持党的</w:t>
      </w:r>
      <w:r>
        <w:rPr>
          <w:rFonts w:hint="eastAsia" w:ascii="宋体" w:hAnsi="宋体"/>
          <w:b/>
          <w:bCs/>
          <w:color w:val="auto"/>
          <w:highlight w:val="none"/>
          <w:lang w:eastAsia="zh-CN"/>
        </w:rPr>
        <w:t>全面</w:t>
      </w:r>
      <w:r>
        <w:rPr>
          <w:rFonts w:hint="eastAsia" w:ascii="宋体" w:hAnsi="宋体"/>
          <w:b/>
          <w:bCs/>
          <w:color w:val="auto"/>
          <w:highlight w:val="none"/>
        </w:rPr>
        <w:t>领导。</w:t>
      </w:r>
      <w:r>
        <w:rPr>
          <w:rFonts w:hint="eastAsia" w:ascii="宋体" w:hAnsi="宋体"/>
          <w:color w:val="auto"/>
          <w:highlight w:val="none"/>
        </w:rPr>
        <w:t>深入学习贯彻习近平新时代中国特色社会主义思想，坚决用党的创新理论指导新时代财政工作，坚决按照党中央指明的政治方向、确定的前进路线开展财政工作，不断提高把握新发展阶段、贯彻新发展理念、构建新发展格局的能力和水平，切实体现“以政统财、以财保政”要求，有效发挥财政在国家治理中的基础和重要支柱作用。</w:t>
      </w:r>
    </w:p>
    <w:p>
      <w:pPr>
        <w:ind w:firstLine="643"/>
        <w:rPr>
          <w:rFonts w:ascii="宋体" w:hAnsi="宋体"/>
          <w:color w:val="auto"/>
          <w:highlight w:val="none"/>
        </w:rPr>
      </w:pPr>
      <w:r>
        <w:rPr>
          <w:rFonts w:hint="default" w:ascii="Times New Roman" w:hAnsi="Times New Roman" w:cs="Times New Roman"/>
          <w:b/>
          <w:bCs/>
          <w:color w:val="auto"/>
          <w:highlight w:val="none"/>
        </w:rPr>
        <w:t>——</w:t>
      </w:r>
      <w:r>
        <w:rPr>
          <w:rFonts w:hint="eastAsia" w:ascii="宋体" w:hAnsi="宋体"/>
          <w:b/>
          <w:bCs/>
          <w:color w:val="auto"/>
          <w:highlight w:val="none"/>
        </w:rPr>
        <w:t>坚持以人民为中心。</w:t>
      </w:r>
      <w:r>
        <w:rPr>
          <w:rFonts w:hint="eastAsia" w:ascii="宋体" w:hAnsi="宋体"/>
          <w:color w:val="auto"/>
          <w:highlight w:val="none"/>
        </w:rPr>
        <w:t>牢固树立宗旨意识，坚持人民主体地位，始终做到发展为了人民、发展依靠人民、发展成果由人民共享。坚持问题导向，持续优化财政支出结构，抓住人民最关心最直接最现实的利益问题，尽力而为、量力而行，加快补齐短板弱项，推动健全基本公共服务体系，支持保障群众基本生活，把以人民为中心的发展思想落实到各项财政政策措施和实际工作之中。</w:t>
      </w:r>
    </w:p>
    <w:p>
      <w:pPr>
        <w:ind w:firstLine="643"/>
        <w:rPr>
          <w:rFonts w:ascii="宋体" w:hAnsi="宋体"/>
          <w:color w:val="auto"/>
          <w:highlight w:val="none"/>
        </w:rPr>
      </w:pPr>
      <w:r>
        <w:rPr>
          <w:rFonts w:hint="default" w:ascii="Times New Roman" w:hAnsi="Times New Roman" w:cs="Times New Roman"/>
          <w:b/>
          <w:bCs/>
          <w:color w:val="auto"/>
          <w:highlight w:val="none"/>
        </w:rPr>
        <w:t>——</w:t>
      </w:r>
      <w:r>
        <w:rPr>
          <w:rFonts w:hint="eastAsia" w:ascii="宋体" w:hAnsi="宋体"/>
          <w:b/>
          <w:bCs/>
          <w:color w:val="auto"/>
          <w:highlight w:val="none"/>
        </w:rPr>
        <w:t>坚持</w:t>
      </w:r>
      <w:r>
        <w:rPr>
          <w:rFonts w:hint="eastAsia" w:ascii="宋体" w:hAnsi="宋体"/>
          <w:b/>
          <w:bCs/>
          <w:color w:val="auto"/>
          <w:highlight w:val="none"/>
          <w:lang w:eastAsia="zh-CN"/>
        </w:rPr>
        <w:t>贯彻</w:t>
      </w:r>
      <w:r>
        <w:rPr>
          <w:rFonts w:hint="eastAsia" w:ascii="宋体" w:hAnsi="宋体"/>
          <w:b/>
          <w:bCs/>
          <w:color w:val="auto"/>
          <w:highlight w:val="none"/>
        </w:rPr>
        <w:t>新发展理念。</w:t>
      </w:r>
      <w:r>
        <w:rPr>
          <w:rFonts w:hint="eastAsia" w:ascii="宋体" w:hAnsi="宋体"/>
          <w:color w:val="auto"/>
          <w:highlight w:val="none"/>
        </w:rPr>
        <w:t>聚焦全面振兴全方位振兴吉林谋划财政工作，以推动高质量发展为主题，在财政工作全过程和各方面，完整、准确、全面贯彻新发展理念，不断健全支持创新、协调、绿色、开放、共享发展的财政政策体系，推进深化供给侧结构性改革，支持转变发展方式，健全创新财政支持机制，服务加快融入新发展格局。</w:t>
      </w:r>
    </w:p>
    <w:p>
      <w:pPr>
        <w:ind w:firstLine="643"/>
        <w:rPr>
          <w:rFonts w:ascii="宋体" w:hAnsi="宋体"/>
          <w:color w:val="auto"/>
          <w:highlight w:val="none"/>
        </w:rPr>
      </w:pPr>
      <w:r>
        <w:rPr>
          <w:rFonts w:hint="default" w:ascii="Times New Roman" w:hAnsi="Times New Roman" w:cs="Times New Roman"/>
          <w:b/>
          <w:bCs/>
          <w:color w:val="auto"/>
          <w:highlight w:val="none"/>
        </w:rPr>
        <w:t>——</w:t>
      </w:r>
      <w:r>
        <w:rPr>
          <w:rFonts w:hint="eastAsia" w:ascii="宋体" w:hAnsi="宋体"/>
          <w:b/>
          <w:bCs/>
          <w:color w:val="auto"/>
          <w:highlight w:val="none"/>
        </w:rPr>
        <w:t>坚持</w:t>
      </w:r>
      <w:r>
        <w:rPr>
          <w:rFonts w:hint="eastAsia"/>
          <w:b/>
          <w:bCs/>
          <w:color w:val="auto"/>
          <w:highlight w:val="none"/>
          <w:lang w:eastAsia="zh-CN"/>
        </w:rPr>
        <w:t>全面</w:t>
      </w:r>
      <w:r>
        <w:rPr>
          <w:rFonts w:hint="eastAsia" w:ascii="宋体" w:hAnsi="宋体"/>
          <w:b/>
          <w:bCs/>
          <w:color w:val="auto"/>
          <w:highlight w:val="none"/>
        </w:rPr>
        <w:t>深化改革。</w:t>
      </w:r>
      <w:r>
        <w:rPr>
          <w:rFonts w:hint="eastAsia" w:ascii="宋体" w:hAnsi="宋体"/>
          <w:color w:val="auto"/>
          <w:highlight w:val="none"/>
        </w:rPr>
        <w:t>紧紧围绕坚持和完善中国特色社会主义制度、推进国家治理体系和治理能力现代化的全面深化改革总目标要求，更加注重改革的系统性、整体性、协同性，持续深入推进财税体制改革，破除制约高质量发展、高品质生活的体制机制障碍，强化有利于提高资源配置效率、有利于调动全社会积极性的的重大财税改革举措，积极构建符合高水平社会主义市场经济体制要求的现代财税体制。</w:t>
      </w:r>
    </w:p>
    <w:p>
      <w:pPr>
        <w:ind w:firstLine="643"/>
        <w:rPr>
          <w:rFonts w:ascii="宋体" w:hAnsi="宋体"/>
          <w:color w:val="auto"/>
          <w:highlight w:val="none"/>
        </w:rPr>
      </w:pPr>
      <w:r>
        <w:rPr>
          <w:rFonts w:hint="default" w:ascii="Times New Roman" w:hAnsi="Times New Roman" w:cs="Times New Roman"/>
          <w:b/>
          <w:bCs/>
          <w:color w:val="auto"/>
          <w:highlight w:val="none"/>
        </w:rPr>
        <w:t>——</w:t>
      </w:r>
      <w:r>
        <w:rPr>
          <w:rFonts w:hint="eastAsia" w:ascii="宋体" w:hAnsi="宋体"/>
          <w:b/>
          <w:bCs/>
          <w:color w:val="auto"/>
          <w:highlight w:val="none"/>
        </w:rPr>
        <w:t>坚持系统观念。</w:t>
      </w:r>
      <w:r>
        <w:rPr>
          <w:rFonts w:hint="eastAsia" w:ascii="宋体" w:hAnsi="宋体"/>
          <w:color w:val="auto"/>
          <w:highlight w:val="none"/>
        </w:rPr>
        <w:t>坚持从系统观念出发谋划和解决财政面临的矛盾和问题，全面协调推进财税改革发展各项工作。加强财税工作的前瞻性思考、全局性谋划、战略性布局、整体性推进，统筹国内国际两个大局，服务发展安全两件大事，全面把握政府与市场、省与市县等重大关系，注重防范化解重大风险挑战，推动实现发展质量、结构、规模、速度、效益、安全相统一。加强财税与经济、政治、文化、社会、生态文明等领域的政策衔接，加强财政部门与其他部门的工作协同，完善工作机制，形成工作合力。</w:t>
      </w:r>
    </w:p>
    <w:p>
      <w:pPr>
        <w:pStyle w:val="5"/>
        <w:rPr>
          <w:rFonts w:ascii="宋体" w:hAnsi="宋体"/>
          <w:color w:val="auto"/>
          <w:highlight w:val="none"/>
        </w:rPr>
      </w:pPr>
      <w:bookmarkStart w:id="73" w:name="_Toc15089"/>
      <w:bookmarkStart w:id="74" w:name="_Toc14457"/>
      <w:bookmarkStart w:id="75" w:name="_Toc5294"/>
      <w:bookmarkStart w:id="76" w:name="_Toc3565"/>
      <w:bookmarkStart w:id="77" w:name="_Toc29111"/>
      <w:r>
        <w:rPr>
          <w:rFonts w:hint="eastAsia" w:ascii="宋体" w:hAnsi="宋体"/>
          <w:color w:val="auto"/>
          <w:highlight w:val="none"/>
        </w:rPr>
        <w:t>（三）基本理念</w:t>
      </w:r>
      <w:bookmarkEnd w:id="73"/>
      <w:bookmarkEnd w:id="74"/>
      <w:bookmarkEnd w:id="75"/>
      <w:bookmarkEnd w:id="76"/>
      <w:bookmarkEnd w:id="77"/>
    </w:p>
    <w:p>
      <w:pPr>
        <w:rPr>
          <w:rFonts w:ascii="宋体" w:hAnsi="宋体"/>
          <w:color w:val="auto"/>
          <w:highlight w:val="none"/>
        </w:rPr>
      </w:pPr>
      <w:r>
        <w:rPr>
          <w:rFonts w:hint="eastAsia" w:ascii="宋体" w:hAnsi="宋体"/>
          <w:color w:val="auto"/>
          <w:highlight w:val="none"/>
        </w:rPr>
        <w:t>“十四五”时期财政工作体现以下基本理念：</w:t>
      </w:r>
    </w:p>
    <w:p>
      <w:pPr>
        <w:ind w:firstLine="643"/>
        <w:rPr>
          <w:rFonts w:ascii="宋体" w:hAnsi="宋体"/>
          <w:color w:val="auto"/>
          <w:highlight w:val="none"/>
        </w:rPr>
      </w:pPr>
      <w:r>
        <w:rPr>
          <w:rFonts w:hint="eastAsia" w:ascii="宋体" w:hAnsi="宋体"/>
          <w:b/>
          <w:bCs/>
          <w:color w:val="auto"/>
          <w:highlight w:val="none"/>
        </w:rPr>
        <w:t>积极有为、平稳运行。</w:t>
      </w:r>
      <w:r>
        <w:rPr>
          <w:rFonts w:hint="eastAsia" w:ascii="宋体" w:hAnsi="宋体"/>
          <w:color w:val="auto"/>
          <w:highlight w:val="none"/>
        </w:rPr>
        <w:t>坚持从“质”和“量”方面双向发力，不断提高财政政策的精准性和有效性，在扩大内需和供给升级的结合部发力，把资金投向先进制造、民生建设、基础设施短板等领域。进一步优化财政资金使用结构和方式，更加突出政策重点，把钱用在刀刃上。进一步整合资金，扎实做好保居民就业、保基本民生、保市场主体、保粮食能源安全、保产业链供应链稳定、保基层运转等各项工作，确保积极的财政政策更加积极有为。继续创新和完善宏观调控，注重财政政策与就业、消费、投资、产业、区域政策协调配合，精准发力，提高宏观调控的前瞻性、针对性和有效性。</w:t>
      </w:r>
    </w:p>
    <w:p>
      <w:pPr>
        <w:ind w:firstLine="643"/>
        <w:rPr>
          <w:rFonts w:ascii="宋体" w:hAnsi="宋体"/>
          <w:color w:val="auto"/>
          <w:highlight w:val="none"/>
        </w:rPr>
      </w:pPr>
      <w:r>
        <w:rPr>
          <w:rFonts w:hint="eastAsia" w:ascii="宋体" w:hAnsi="宋体"/>
          <w:b/>
          <w:bCs/>
          <w:color w:val="auto"/>
          <w:highlight w:val="none"/>
        </w:rPr>
        <w:t>统筹平衡、量入为出。</w:t>
      </w:r>
      <w:r>
        <w:rPr>
          <w:rFonts w:hint="eastAsia" w:ascii="宋体" w:hAnsi="宋体"/>
          <w:color w:val="auto"/>
          <w:highlight w:val="none"/>
        </w:rPr>
        <w:t>继续落实各项减税降费措施，注重用足用活各项财税优惠政策，切实减轻企业负担，支持市场主体纾困发展。加强收入征管，保持财政收入平稳增长。硬化预算约束，严控预算追加事项，树立零基预算理念，根据事业发展实际需要和财政支出政策、经费支出标准、财力可能精准核定安排预算，着力打破预算支出僵化固化格局。强化财政支持重大政策的科学论证，增强财政政策和支出安排的前瞻性和可持续性。坚持量财办事，在优先保障重点支出的基础上，精打细算，量力而行，兼顾好事业发展需要和财政可持续发展。</w:t>
      </w:r>
    </w:p>
    <w:p>
      <w:pPr>
        <w:ind w:firstLine="643"/>
        <w:rPr>
          <w:rFonts w:ascii="宋体" w:hAnsi="宋体"/>
          <w:color w:val="auto"/>
          <w:highlight w:val="none"/>
        </w:rPr>
      </w:pPr>
      <w:r>
        <w:rPr>
          <w:rFonts w:hint="eastAsia" w:ascii="宋体" w:hAnsi="宋体"/>
          <w:b/>
          <w:bCs/>
          <w:color w:val="auto"/>
          <w:highlight w:val="none"/>
        </w:rPr>
        <w:t>勤俭节约、讲求绩效。</w:t>
      </w:r>
      <w:r>
        <w:rPr>
          <w:rFonts w:hint="eastAsia" w:ascii="宋体" w:hAnsi="宋体"/>
          <w:color w:val="auto"/>
          <w:highlight w:val="none"/>
        </w:rPr>
        <w:t>坚决落实政府“过紧日子”要求，严控一般性支出，从严控制行政事业单位开支、严控“三公经费预算”，取消低效无效支出，清理收回长期沉淀资金。实行中期财政规划管理，改进年度预算控制方式，提高财政政策的前瞻性、有效性和可持续性。将绩效理念和方法深度融入预算编制、执行、监督全过程。加快建立完善全方位、全过程、全覆盖的预算绩效管理体系。强化预算绩效激励约束机制，推进绩效结果应用和公开，着力提升财政资金使用效益，不断优化财政资源配置能力。</w:t>
      </w:r>
    </w:p>
    <w:p>
      <w:pPr>
        <w:ind w:firstLine="643"/>
        <w:rPr>
          <w:rFonts w:ascii="宋体" w:hAnsi="宋体"/>
          <w:color w:val="auto"/>
          <w:highlight w:val="none"/>
        </w:rPr>
      </w:pPr>
      <w:r>
        <w:rPr>
          <w:rFonts w:hint="eastAsia" w:ascii="宋体" w:hAnsi="宋体"/>
          <w:b/>
          <w:bCs/>
          <w:color w:val="auto"/>
          <w:highlight w:val="none"/>
        </w:rPr>
        <w:t>保障民生、兜牢底线。</w:t>
      </w:r>
      <w:r>
        <w:rPr>
          <w:rFonts w:hint="eastAsia" w:ascii="宋体" w:hAnsi="宋体"/>
          <w:color w:val="auto"/>
          <w:highlight w:val="none"/>
        </w:rPr>
        <w:t>充分考虑财政经济发展水平，在财力可支撑的基础上，尽力而为、量力而行，继续加强基本民生保障，支持普惠性、基础性、兜底性民生建设，着力补齐民生短板，破解民生难题，兜牢民生底线，逐步实现对公共服务的全覆盖，促进城乡公共资源均衡配置。在持续增加民生投入的同时，致力于“花钱买机制”，着力推动完善相关领域的支出政策和机制设计，增强民生政策的公平性和可持续性。</w:t>
      </w:r>
    </w:p>
    <w:p>
      <w:pPr>
        <w:ind w:firstLine="643"/>
        <w:rPr>
          <w:rFonts w:hint="eastAsia" w:ascii="宋体" w:hAnsi="宋体" w:eastAsia="仿宋"/>
          <w:color w:val="auto"/>
          <w:highlight w:val="none"/>
          <w:lang w:val="en-US" w:eastAsia="zh-CN"/>
        </w:rPr>
      </w:pPr>
      <w:r>
        <w:rPr>
          <w:rFonts w:hint="eastAsia" w:ascii="宋体" w:hAnsi="宋体"/>
          <w:b/>
          <w:bCs/>
          <w:color w:val="auto"/>
          <w:highlight w:val="none"/>
        </w:rPr>
        <w:t>深化改革、协同发展。</w:t>
      </w:r>
      <w:r>
        <w:rPr>
          <w:rFonts w:hint="eastAsia" w:ascii="宋体" w:hAnsi="宋体"/>
          <w:color w:val="auto"/>
          <w:highlight w:val="none"/>
        </w:rPr>
        <w:t>深入推进省与市县财政事权和支出责任化分改革，深化税收制度改革，落实中央消费税征收环节后移和地方税、直接税体系调整政策，稳步推进省与市县收入划分改革，推进基本公共服务均等化。健全转移支付制度，增强县（市）基本民生政策兜底保障能力，促进区域协同发展</w:t>
      </w:r>
      <w:r>
        <w:rPr>
          <w:rFonts w:hint="eastAsia" w:ascii="宋体" w:hAnsi="宋体"/>
          <w:color w:val="auto"/>
          <w:highlight w:val="none"/>
          <w:lang w:eastAsia="zh-CN"/>
        </w:rPr>
        <w:t>。</w:t>
      </w:r>
    </w:p>
    <w:p>
      <w:pPr>
        <w:ind w:firstLine="643"/>
        <w:rPr>
          <w:rFonts w:ascii="宋体" w:hAnsi="宋体"/>
          <w:color w:val="auto"/>
          <w:highlight w:val="none"/>
        </w:rPr>
      </w:pPr>
      <w:r>
        <w:rPr>
          <w:rFonts w:hint="eastAsia" w:ascii="宋体" w:hAnsi="宋体"/>
          <w:b/>
          <w:bCs/>
          <w:color w:val="auto"/>
          <w:highlight w:val="none"/>
        </w:rPr>
        <w:t>加强管理、依法理财。</w:t>
      </w:r>
      <w:r>
        <w:rPr>
          <w:rFonts w:hint="eastAsia" w:ascii="宋体" w:hAnsi="宋体"/>
          <w:color w:val="auto"/>
          <w:highlight w:val="none"/>
        </w:rPr>
        <w:t>推动财政管理的制度化、规范化、数字化、一体化建设，深入贯彻落实预算法等法律法规，以法治精神、法治思维、法治方式推动财政各项工作。充分发挥法治的引领、规范和保障作用，加强财政资金动态监控，落实财政资金直达机制，完善国有资产统一监管，健全国有金融资本管理制度体系，持续推进财政大内控制度建设，依法理财，严肃财经纪律，规范财政执法行为。</w:t>
      </w:r>
    </w:p>
    <w:p>
      <w:pPr>
        <w:ind w:firstLine="643"/>
        <w:rPr>
          <w:rFonts w:ascii="宋体" w:hAnsi="宋体"/>
          <w:color w:val="auto"/>
          <w:highlight w:val="none"/>
        </w:rPr>
      </w:pPr>
      <w:r>
        <w:rPr>
          <w:rFonts w:hint="eastAsia" w:ascii="宋体" w:hAnsi="宋体"/>
          <w:b/>
          <w:bCs/>
          <w:color w:val="auto"/>
          <w:highlight w:val="none"/>
        </w:rPr>
        <w:t>防范风险、安全持续。</w:t>
      </w:r>
      <w:r>
        <w:rPr>
          <w:rFonts w:hint="eastAsia" w:ascii="宋体" w:hAnsi="宋体"/>
          <w:color w:val="auto"/>
          <w:highlight w:val="none"/>
        </w:rPr>
        <w:t>健全常态化风险监控机制，在做好化解地方政府隐性债务风险工作同时，切实兜牢基层“三保”底线，坚持“三保”支出在财政支出中的优先顺序，强化预算安排事前审核，确保“三保”预算逐项足额编列，高度警惕和防范各类风险向财政转移集聚，确保财政可持续发展。</w:t>
      </w:r>
    </w:p>
    <w:p>
      <w:pPr>
        <w:pStyle w:val="5"/>
        <w:rPr>
          <w:rFonts w:ascii="宋体" w:hAnsi="宋体"/>
          <w:color w:val="auto"/>
          <w:highlight w:val="none"/>
        </w:rPr>
      </w:pPr>
      <w:bookmarkStart w:id="78" w:name="_Toc793"/>
      <w:bookmarkStart w:id="79" w:name="_Toc2202"/>
      <w:bookmarkStart w:id="80" w:name="_Toc17891"/>
      <w:bookmarkStart w:id="81" w:name="_Toc24672"/>
      <w:bookmarkStart w:id="82" w:name="_Toc24773"/>
      <w:bookmarkStart w:id="83" w:name="_Toc16618"/>
      <w:r>
        <w:rPr>
          <w:rFonts w:hint="eastAsia" w:ascii="宋体" w:hAnsi="宋体"/>
          <w:color w:val="auto"/>
          <w:highlight w:val="none"/>
        </w:rPr>
        <w:t>（四）主要目标</w:t>
      </w:r>
      <w:bookmarkEnd w:id="78"/>
      <w:bookmarkEnd w:id="79"/>
      <w:bookmarkEnd w:id="80"/>
      <w:bookmarkEnd w:id="81"/>
      <w:bookmarkEnd w:id="82"/>
      <w:bookmarkEnd w:id="83"/>
    </w:p>
    <w:p>
      <w:pPr>
        <w:ind w:firstLine="643"/>
        <w:rPr>
          <w:rFonts w:ascii="宋体" w:hAnsi="宋体"/>
          <w:color w:val="auto"/>
          <w:highlight w:val="none"/>
        </w:rPr>
      </w:pPr>
      <w:bookmarkStart w:id="84" w:name="_Toc8373"/>
      <w:bookmarkStart w:id="85" w:name="_Toc5442"/>
      <w:bookmarkStart w:id="86" w:name="_Toc22835"/>
      <w:bookmarkStart w:id="87" w:name="_Toc30656"/>
      <w:bookmarkStart w:id="88" w:name="_Toc28956"/>
      <w:r>
        <w:rPr>
          <w:rStyle w:val="24"/>
          <w:rFonts w:hint="eastAsia" w:ascii="宋体" w:hAnsi="宋体"/>
          <w:color w:val="auto"/>
          <w:highlight w:val="none"/>
        </w:rPr>
        <w:t>1.收入</w:t>
      </w:r>
      <w:r>
        <w:rPr>
          <w:rStyle w:val="24"/>
          <w:rFonts w:hint="eastAsia"/>
          <w:color w:val="auto"/>
          <w:highlight w:val="none"/>
          <w:lang w:eastAsia="zh-CN"/>
        </w:rPr>
        <w:t>目标</w:t>
      </w:r>
      <w:r>
        <w:rPr>
          <w:rStyle w:val="24"/>
          <w:rFonts w:hint="eastAsia" w:ascii="宋体" w:hAnsi="宋体"/>
          <w:color w:val="auto"/>
          <w:highlight w:val="none"/>
        </w:rPr>
        <w:t>。</w:t>
      </w:r>
      <w:bookmarkEnd w:id="84"/>
      <w:bookmarkEnd w:id="85"/>
      <w:bookmarkEnd w:id="86"/>
      <w:bookmarkEnd w:id="87"/>
      <w:bookmarkEnd w:id="88"/>
      <w:r>
        <w:rPr>
          <w:rFonts w:hint="eastAsia" w:ascii="宋体" w:hAnsi="宋体"/>
          <w:color w:val="auto"/>
          <w:highlight w:val="none"/>
        </w:rPr>
        <w:t>在国家战略大背景下，我省全面振兴全方位振兴将率先实现突破，预期全省地区生产总值年均增长6.5%。随着财税体制改革深入推进，现代财政制度框架基本建立，我省财政实力将进一步增强。但受产业结构限制和落实减税降费等因素影响，财政收入增速将持续在中低位运行。综合判断，鉴于2020年受疫情等因素影响，财政收入基数较低，2021年我省财政收入将出现恢复性增长，之后逐步回归常态化增长，与GDP增速基本匹配，预期年均增长6%左右，到2025年财政收入规模将超过1450亿元。</w:t>
      </w:r>
    </w:p>
    <w:p>
      <w:pPr>
        <w:ind w:firstLine="643"/>
        <w:rPr>
          <w:rFonts w:ascii="宋体" w:hAnsi="宋体"/>
          <w:color w:val="auto"/>
          <w:highlight w:val="none"/>
        </w:rPr>
      </w:pPr>
      <w:bookmarkStart w:id="89" w:name="_Toc31441"/>
      <w:bookmarkStart w:id="90" w:name="_Toc20602"/>
      <w:bookmarkStart w:id="91" w:name="_Toc31523"/>
      <w:bookmarkStart w:id="92" w:name="_Toc10516"/>
      <w:bookmarkStart w:id="93" w:name="_Toc23040"/>
      <w:r>
        <w:rPr>
          <w:rStyle w:val="24"/>
          <w:rFonts w:hint="eastAsia" w:ascii="宋体" w:hAnsi="宋体"/>
          <w:color w:val="auto"/>
          <w:highlight w:val="none"/>
        </w:rPr>
        <w:t>2.支出</w:t>
      </w:r>
      <w:r>
        <w:rPr>
          <w:rStyle w:val="24"/>
          <w:rFonts w:hint="eastAsia"/>
          <w:color w:val="auto"/>
          <w:highlight w:val="none"/>
          <w:lang w:eastAsia="zh-CN"/>
        </w:rPr>
        <w:t>目标</w:t>
      </w:r>
      <w:r>
        <w:rPr>
          <w:rStyle w:val="24"/>
          <w:rFonts w:hint="eastAsia" w:ascii="宋体" w:hAnsi="宋体"/>
          <w:color w:val="auto"/>
          <w:highlight w:val="none"/>
        </w:rPr>
        <w:t>。</w:t>
      </w:r>
      <w:bookmarkEnd w:id="89"/>
      <w:bookmarkEnd w:id="90"/>
      <w:bookmarkEnd w:id="91"/>
      <w:bookmarkEnd w:id="92"/>
      <w:bookmarkEnd w:id="93"/>
      <w:r>
        <w:rPr>
          <w:rFonts w:hint="eastAsia" w:ascii="宋体" w:hAnsi="宋体"/>
          <w:color w:val="auto"/>
          <w:highlight w:val="none"/>
        </w:rPr>
        <w:t>结合我省“十四五”时期地方级财政收入、中央转移支付、债务发行空间及可盘活存量资金水平总体变化预期，综合考虑我省推动高质量发展、强化民生保障等刚性支出需求，整体判断“十四五”时期我省财政支出大规模扩张的财力来源相对不足。由于支出基数已处于较高水平，预计“十四五”时期我省财政支出增速将会低于“十三五”时期，保持在4%左右的中低速增长。</w:t>
      </w:r>
    </w:p>
    <w:p>
      <w:pPr>
        <w:ind w:firstLine="643"/>
        <w:rPr>
          <w:rFonts w:ascii="宋体" w:hAnsi="宋体"/>
          <w:color w:val="auto"/>
          <w:highlight w:val="none"/>
        </w:rPr>
      </w:pPr>
      <w:bookmarkStart w:id="94" w:name="_Toc8871"/>
      <w:bookmarkStart w:id="95" w:name="_Toc31196"/>
      <w:bookmarkStart w:id="96" w:name="_Toc13012"/>
      <w:bookmarkStart w:id="97" w:name="_Toc8768"/>
      <w:bookmarkStart w:id="98" w:name="_Toc5643"/>
      <w:r>
        <w:rPr>
          <w:rStyle w:val="24"/>
          <w:rFonts w:hint="eastAsia" w:ascii="宋体" w:hAnsi="宋体"/>
          <w:color w:val="auto"/>
          <w:highlight w:val="none"/>
        </w:rPr>
        <w:t>3.改革目标。</w:t>
      </w:r>
      <w:bookmarkEnd w:id="94"/>
      <w:bookmarkEnd w:id="95"/>
      <w:bookmarkEnd w:id="96"/>
      <w:bookmarkEnd w:id="97"/>
      <w:bookmarkEnd w:id="98"/>
      <w:r>
        <w:rPr>
          <w:rFonts w:hint="eastAsia" w:ascii="宋体" w:hAnsi="宋体"/>
          <w:color w:val="auto"/>
          <w:highlight w:val="none"/>
        </w:rPr>
        <w:t>结合建立现代财税体制要求，统筹考虑财政面临的形势和条件，“十四五”期间财税改革发展努力实现以下主要目标：</w:t>
      </w:r>
    </w:p>
    <w:p>
      <w:pPr>
        <w:rPr>
          <w:rFonts w:ascii="宋体" w:hAnsi="宋体"/>
          <w:color w:val="auto"/>
          <w:highlight w:val="none"/>
        </w:rPr>
      </w:pPr>
      <w:r>
        <w:rPr>
          <w:rFonts w:hint="eastAsia" w:ascii="宋体" w:hAnsi="宋体"/>
          <w:b/>
          <w:bCs/>
          <w:color w:val="auto"/>
          <w:highlight w:val="none"/>
        </w:rPr>
        <w:t>现代财政制度更加成熟定型。</w:t>
      </w:r>
      <w:r>
        <w:rPr>
          <w:rFonts w:hint="eastAsia" w:ascii="宋体" w:hAnsi="宋体"/>
          <w:color w:val="auto"/>
          <w:highlight w:val="none"/>
        </w:rPr>
        <w:t>预算管理制度改革取得重要进展，预算约束和绩效管理更加强化，省对市县转移支付制度更加完善，基层公共服务保障能力显著增强，权责清晰、财力协调、区域均衡的财政关系更加成熟。</w:t>
      </w:r>
    </w:p>
    <w:p>
      <w:pPr>
        <w:rPr>
          <w:rFonts w:ascii="宋体" w:hAnsi="宋体"/>
          <w:color w:val="auto"/>
          <w:highlight w:val="none"/>
        </w:rPr>
      </w:pPr>
      <w:r>
        <w:rPr>
          <w:rFonts w:hint="eastAsia" w:ascii="宋体" w:hAnsi="宋体"/>
          <w:b/>
          <w:bCs/>
          <w:color w:val="auto"/>
          <w:highlight w:val="none"/>
        </w:rPr>
        <w:t>财政资源配置效率不断提高。</w:t>
      </w:r>
      <w:r>
        <w:rPr>
          <w:rFonts w:hint="eastAsia" w:ascii="宋体" w:hAnsi="宋体"/>
          <w:color w:val="auto"/>
          <w:highlight w:val="none"/>
        </w:rPr>
        <w:t>全面体现“以政统财、以财保政”要求,各项支出安排科学合理，资金投入精准有效。财政资源统筹进一步强化，重大政策和重大项目的财力保障水平明显提升。</w:t>
      </w:r>
    </w:p>
    <w:p>
      <w:pPr>
        <w:rPr>
          <w:rFonts w:ascii="宋体" w:hAnsi="宋体"/>
          <w:color w:val="auto"/>
          <w:highlight w:val="none"/>
        </w:rPr>
      </w:pPr>
      <w:r>
        <w:rPr>
          <w:rFonts w:hint="eastAsia" w:ascii="宋体" w:hAnsi="宋体"/>
          <w:b/>
          <w:bCs/>
          <w:color w:val="auto"/>
          <w:highlight w:val="none"/>
        </w:rPr>
        <w:t>财政治理能力充分彰显。</w:t>
      </w:r>
      <w:r>
        <w:rPr>
          <w:rFonts w:hint="eastAsia" w:ascii="宋体" w:hAnsi="宋体"/>
          <w:color w:val="auto"/>
          <w:highlight w:val="none"/>
        </w:rPr>
        <w:t>全面实施预算绩效管理，基本建成现代财政国库管理制度体系，国资国企改革深入推进，政府采购制度更加完善，财政监管格局更加优化，财政信息化建设进一步加强，人才队伍素质全面提升。</w:t>
      </w:r>
    </w:p>
    <w:p>
      <w:pPr>
        <w:rPr>
          <w:rFonts w:ascii="宋体" w:hAnsi="宋体"/>
          <w:color w:val="auto"/>
          <w:highlight w:val="none"/>
        </w:rPr>
      </w:pPr>
      <w:r>
        <w:rPr>
          <w:rFonts w:hint="eastAsia" w:ascii="宋体" w:hAnsi="宋体"/>
          <w:b/>
          <w:bCs/>
          <w:color w:val="auto"/>
          <w:highlight w:val="none"/>
        </w:rPr>
        <w:t>财政政策导向作用精准发挥。</w:t>
      </w:r>
      <w:r>
        <w:rPr>
          <w:rFonts w:hint="eastAsia" w:ascii="宋体" w:hAnsi="宋体"/>
          <w:color w:val="auto"/>
          <w:highlight w:val="none"/>
        </w:rPr>
        <w:t>财政政策研究能力进一步增强，政策供给更加精准，财政政策与货币、投资、消费等政策的协同发力更加顺畅，财政资金引导和撬动作用得到充分发挥，市场主体活力得到有效激发，财政支持经济高质量发展成效明显。</w:t>
      </w:r>
    </w:p>
    <w:p>
      <w:pPr>
        <w:rPr>
          <w:rFonts w:ascii="宋体" w:hAnsi="宋体"/>
          <w:color w:val="auto"/>
          <w:highlight w:val="none"/>
        </w:rPr>
      </w:pPr>
      <w:r>
        <w:rPr>
          <w:rFonts w:hint="eastAsia" w:ascii="宋体" w:hAnsi="宋体"/>
          <w:b/>
          <w:bCs/>
          <w:color w:val="auto"/>
          <w:highlight w:val="none"/>
        </w:rPr>
        <w:t>财政可持续发展能力显著增强。</w:t>
      </w:r>
      <w:r>
        <w:rPr>
          <w:rFonts w:hint="eastAsia" w:ascii="宋体" w:hAnsi="宋体"/>
          <w:color w:val="auto"/>
          <w:highlight w:val="none"/>
        </w:rPr>
        <w:t>财政收入与经济社会发展同步稳定增长，支出力度适当。政府债务管理制度更加健全，管理规范、责任清晰、公开透明、风险可控的政府举债融资机制基本建立，隐性债务增量得到坚决遏制，地方政府债务风险得到积极稳妥化解。</w:t>
      </w:r>
    </w:p>
    <w:p>
      <w:pPr>
        <w:pStyle w:val="4"/>
        <w:ind w:firstLine="640" w:firstLineChars="200"/>
        <w:rPr>
          <w:rFonts w:ascii="宋体" w:hAnsi="宋体"/>
          <w:color w:val="auto"/>
          <w:szCs w:val="32"/>
          <w:highlight w:val="none"/>
        </w:rPr>
      </w:pPr>
      <w:bookmarkStart w:id="99" w:name="_Toc105"/>
      <w:bookmarkStart w:id="100" w:name="_Toc9203"/>
      <w:bookmarkStart w:id="101" w:name="_Toc16043"/>
      <w:bookmarkStart w:id="102" w:name="_Toc8931"/>
      <w:bookmarkStart w:id="103" w:name="_Toc12314"/>
      <w:bookmarkStart w:id="104" w:name="_Toc219"/>
      <w:r>
        <w:rPr>
          <w:rFonts w:hint="eastAsia" w:ascii="宋体" w:hAnsi="宋体"/>
          <w:color w:val="auto"/>
          <w:szCs w:val="32"/>
          <w:highlight w:val="none"/>
          <w:lang w:eastAsia="zh-CN"/>
        </w:rPr>
        <w:t>四</w:t>
      </w:r>
      <w:r>
        <w:rPr>
          <w:rFonts w:hint="eastAsia" w:ascii="宋体" w:hAnsi="宋体"/>
          <w:color w:val="auto"/>
          <w:szCs w:val="32"/>
          <w:highlight w:val="none"/>
        </w:rPr>
        <w:t>、持续深化预算管理改革</w:t>
      </w:r>
      <w:bookmarkEnd w:id="99"/>
      <w:bookmarkEnd w:id="100"/>
      <w:bookmarkEnd w:id="101"/>
      <w:bookmarkEnd w:id="102"/>
      <w:bookmarkEnd w:id="103"/>
      <w:bookmarkEnd w:id="104"/>
    </w:p>
    <w:p>
      <w:pPr>
        <w:rPr>
          <w:rFonts w:ascii="宋体" w:hAnsi="宋体"/>
          <w:color w:val="auto"/>
          <w:highlight w:val="none"/>
        </w:rPr>
      </w:pPr>
      <w:bookmarkStart w:id="105" w:name="_Toc27148"/>
      <w:r>
        <w:rPr>
          <w:rFonts w:hint="eastAsia" w:ascii="宋体" w:hAnsi="宋体"/>
          <w:color w:val="auto"/>
          <w:highlight w:val="none"/>
          <w:lang w:eastAsia="zh-CN"/>
        </w:rPr>
        <w:t>进一步完善预算管理制度，加强财政资源</w:t>
      </w:r>
      <w:r>
        <w:rPr>
          <w:rFonts w:hint="eastAsia" w:ascii="宋体" w:hAnsi="宋体"/>
          <w:color w:val="auto"/>
          <w:highlight w:val="none"/>
        </w:rPr>
        <w:t>统筹力度、推进财政支出标准化</w:t>
      </w:r>
      <w:r>
        <w:rPr>
          <w:rFonts w:hint="eastAsia" w:ascii="宋体" w:hAnsi="宋体"/>
          <w:color w:val="auto"/>
          <w:highlight w:val="none"/>
          <w:lang w:eastAsia="zh-CN"/>
        </w:rPr>
        <w:t>建设</w:t>
      </w:r>
      <w:r>
        <w:rPr>
          <w:rFonts w:hint="eastAsia" w:ascii="宋体" w:hAnsi="宋体"/>
          <w:color w:val="auto"/>
          <w:highlight w:val="none"/>
        </w:rPr>
        <w:t>、</w:t>
      </w:r>
      <w:r>
        <w:rPr>
          <w:rFonts w:hint="eastAsia" w:ascii="宋体" w:hAnsi="宋体"/>
          <w:color w:val="auto"/>
          <w:highlight w:val="none"/>
          <w:lang w:eastAsia="zh-CN"/>
        </w:rPr>
        <w:t>加强财政中期规划应用、强化预算约束，全面</w:t>
      </w:r>
      <w:r>
        <w:rPr>
          <w:rFonts w:hint="eastAsia" w:ascii="宋体" w:hAnsi="宋体"/>
          <w:color w:val="auto"/>
          <w:highlight w:val="none"/>
        </w:rPr>
        <w:t>提升</w:t>
      </w:r>
      <w:r>
        <w:rPr>
          <w:rFonts w:hint="eastAsia" w:ascii="宋体" w:hAnsi="宋体"/>
          <w:color w:val="auto"/>
          <w:highlight w:val="none"/>
          <w:lang w:eastAsia="zh-CN"/>
        </w:rPr>
        <w:t>预算管理的严肃性、精准性、科学性和规范性</w:t>
      </w:r>
      <w:r>
        <w:rPr>
          <w:rFonts w:hint="eastAsia" w:ascii="宋体" w:hAnsi="宋体"/>
          <w:color w:val="auto"/>
          <w:highlight w:val="none"/>
        </w:rPr>
        <w:t>。</w:t>
      </w:r>
    </w:p>
    <w:p>
      <w:pPr>
        <w:pStyle w:val="5"/>
        <w:rPr>
          <w:rFonts w:ascii="宋体" w:hAnsi="宋体"/>
          <w:color w:val="auto"/>
          <w:highlight w:val="none"/>
        </w:rPr>
      </w:pPr>
      <w:bookmarkStart w:id="106" w:name="_Toc9374"/>
      <w:bookmarkStart w:id="107" w:name="_Toc728"/>
      <w:bookmarkStart w:id="108" w:name="_Toc32423"/>
      <w:bookmarkStart w:id="109" w:name="_Toc9961"/>
      <w:bookmarkStart w:id="110" w:name="_Toc1945"/>
      <w:r>
        <w:rPr>
          <w:rFonts w:hint="eastAsia" w:ascii="宋体" w:hAnsi="宋体"/>
          <w:color w:val="auto"/>
          <w:highlight w:val="none"/>
        </w:rPr>
        <w:t>（一）加强财政资源统筹</w:t>
      </w:r>
      <w:bookmarkEnd w:id="105"/>
      <w:bookmarkEnd w:id="106"/>
      <w:bookmarkEnd w:id="107"/>
      <w:bookmarkEnd w:id="108"/>
      <w:bookmarkEnd w:id="109"/>
      <w:bookmarkEnd w:id="110"/>
    </w:p>
    <w:p>
      <w:pPr>
        <w:rPr>
          <w:rFonts w:ascii="宋体" w:hAnsi="宋体"/>
          <w:color w:val="auto"/>
          <w:highlight w:val="none"/>
        </w:rPr>
      </w:pPr>
      <w:r>
        <w:rPr>
          <w:rFonts w:hint="eastAsia" w:ascii="宋体" w:hAnsi="宋体"/>
          <w:color w:val="auto"/>
          <w:highlight w:val="none"/>
        </w:rPr>
        <w:t>进一步完善政府预算体系，适时适度提高国有资本经营预算调入一般公共预算的比例，强化三本预算统筹管理。加强公共资源综合管理，逐步将所有预算资金纳入财政部门统一分配；全面取消一般公共预算中以收定支、专款专用的规定；加大国家切块下达资金与省级专项资金的统筹力度；加大部门其他收入与财政拨款的统筹力度。</w:t>
      </w:r>
    </w:p>
    <w:p>
      <w:pPr>
        <w:pStyle w:val="5"/>
        <w:rPr>
          <w:rFonts w:ascii="宋体" w:hAnsi="宋体"/>
          <w:color w:val="auto"/>
          <w:highlight w:val="none"/>
        </w:rPr>
      </w:pPr>
      <w:bookmarkStart w:id="111" w:name="_Toc24595"/>
      <w:bookmarkStart w:id="112" w:name="_Toc9225"/>
      <w:bookmarkStart w:id="113" w:name="_Toc8361"/>
      <w:bookmarkStart w:id="114" w:name="_Toc23787"/>
      <w:bookmarkStart w:id="115" w:name="_Toc2960"/>
      <w:bookmarkStart w:id="116" w:name="_Toc29210"/>
      <w:r>
        <w:rPr>
          <w:rFonts w:hint="eastAsia" w:ascii="宋体" w:hAnsi="宋体"/>
          <w:color w:val="auto"/>
          <w:highlight w:val="none"/>
          <w:lang w:eastAsia="zh-CN"/>
        </w:rPr>
        <w:t>（二）</w:t>
      </w:r>
      <w:r>
        <w:rPr>
          <w:rFonts w:hint="eastAsia" w:ascii="宋体" w:hAnsi="宋体"/>
          <w:color w:val="auto"/>
          <w:highlight w:val="none"/>
        </w:rPr>
        <w:t>健全科学规范的财政支出体系</w:t>
      </w:r>
      <w:bookmarkEnd w:id="111"/>
      <w:bookmarkEnd w:id="112"/>
      <w:bookmarkEnd w:id="113"/>
      <w:bookmarkEnd w:id="114"/>
      <w:bookmarkEnd w:id="115"/>
      <w:bookmarkEnd w:id="116"/>
    </w:p>
    <w:p>
      <w:pPr>
        <w:rPr>
          <w:rFonts w:ascii="宋体" w:hAnsi="宋体"/>
          <w:color w:val="auto"/>
          <w:highlight w:val="none"/>
        </w:rPr>
      </w:pPr>
      <w:r>
        <w:rPr>
          <w:rFonts w:hint="eastAsia" w:ascii="宋体" w:hAnsi="宋体"/>
          <w:color w:val="auto"/>
          <w:highlight w:val="none"/>
        </w:rPr>
        <w:t>落实政府“过紧日子”要求，坚持量入为出，强化运用零基预算理念，合理确定预算支出规模，建立激励节俭的长效机制。调整完善重点支出预算编制程序，全面落实取消重点支出与财政收支和地区生产总值挂钩机制</w:t>
      </w:r>
      <w:r>
        <w:rPr>
          <w:rFonts w:hint="eastAsia"/>
          <w:color w:val="auto"/>
          <w:highlight w:val="none"/>
          <w:lang w:eastAsia="zh-CN"/>
        </w:rPr>
        <w:t>。</w:t>
      </w:r>
      <w:r>
        <w:rPr>
          <w:rFonts w:hint="eastAsia" w:ascii="宋体" w:hAnsi="宋体"/>
          <w:color w:val="auto"/>
          <w:highlight w:val="none"/>
        </w:rPr>
        <w:t>进一步完善基本支出标准体系；推进项目支出标准体系建设</w:t>
      </w:r>
      <w:r>
        <w:rPr>
          <w:rFonts w:hint="eastAsia"/>
          <w:color w:val="auto"/>
          <w:highlight w:val="none"/>
          <w:lang w:eastAsia="zh-CN"/>
        </w:rPr>
        <w:t>。</w:t>
      </w:r>
      <w:r>
        <w:rPr>
          <w:rFonts w:hint="eastAsia" w:ascii="宋体" w:hAnsi="宋体"/>
          <w:color w:val="auto"/>
          <w:highlight w:val="none"/>
        </w:rPr>
        <w:t>建立与国家基础标准和经济社会发展水平相适应的地方基本公共服务保障标准体系；科学制定民生支出保障标准</w:t>
      </w:r>
      <w:r>
        <w:rPr>
          <w:rFonts w:hint="eastAsia"/>
          <w:color w:val="auto"/>
          <w:highlight w:val="none"/>
          <w:lang w:eastAsia="zh-CN"/>
        </w:rPr>
        <w:t>。</w:t>
      </w:r>
      <w:r>
        <w:rPr>
          <w:rFonts w:hint="eastAsia" w:ascii="宋体" w:hAnsi="宋体"/>
          <w:color w:val="auto"/>
          <w:highlight w:val="none"/>
        </w:rPr>
        <w:t>建立健全预算支出评审制度，切实发挥预算评审对预算编制的支撑作用。</w:t>
      </w:r>
    </w:p>
    <w:p>
      <w:pPr>
        <w:pStyle w:val="5"/>
        <w:rPr>
          <w:rFonts w:ascii="宋体" w:hAnsi="宋体"/>
          <w:color w:val="auto"/>
          <w:highlight w:val="none"/>
        </w:rPr>
      </w:pPr>
      <w:bookmarkStart w:id="117" w:name="_Toc26187"/>
      <w:bookmarkStart w:id="118" w:name="_Toc6425"/>
      <w:bookmarkStart w:id="119" w:name="_Toc5964"/>
      <w:bookmarkStart w:id="120" w:name="_Toc27467"/>
      <w:bookmarkStart w:id="121" w:name="_Toc17645"/>
      <w:bookmarkStart w:id="122" w:name="_Toc32535"/>
      <w:r>
        <w:rPr>
          <w:rFonts w:hint="eastAsia" w:ascii="宋体" w:hAnsi="宋体"/>
          <w:color w:val="auto"/>
          <w:highlight w:val="none"/>
          <w:lang w:eastAsia="zh-CN"/>
        </w:rPr>
        <w:t>（三）</w:t>
      </w:r>
      <w:r>
        <w:rPr>
          <w:rFonts w:hint="eastAsia" w:ascii="宋体" w:hAnsi="宋体"/>
          <w:color w:val="auto"/>
          <w:highlight w:val="none"/>
        </w:rPr>
        <w:t>完善中期财政规划管理</w:t>
      </w:r>
      <w:bookmarkEnd w:id="117"/>
      <w:bookmarkEnd w:id="118"/>
      <w:bookmarkEnd w:id="119"/>
      <w:bookmarkEnd w:id="120"/>
      <w:bookmarkEnd w:id="121"/>
      <w:bookmarkEnd w:id="122"/>
    </w:p>
    <w:p>
      <w:pPr>
        <w:rPr>
          <w:rFonts w:ascii="宋体" w:hAnsi="宋体"/>
          <w:color w:val="auto"/>
          <w:highlight w:val="none"/>
        </w:rPr>
      </w:pPr>
      <w:r>
        <w:rPr>
          <w:rFonts w:hint="eastAsia" w:ascii="宋体" w:hAnsi="宋体"/>
          <w:color w:val="auto"/>
          <w:highlight w:val="none"/>
        </w:rPr>
        <w:t>坚持规划定方向，财政作保障</w:t>
      </w:r>
      <w:r>
        <w:rPr>
          <w:rFonts w:hint="eastAsia"/>
          <w:color w:val="auto"/>
          <w:highlight w:val="none"/>
          <w:lang w:eastAsia="zh-CN"/>
        </w:rPr>
        <w:t>，</w:t>
      </w:r>
      <w:r>
        <w:rPr>
          <w:rFonts w:hint="eastAsia" w:ascii="宋体" w:hAnsi="宋体"/>
          <w:color w:val="auto"/>
          <w:highlight w:val="none"/>
        </w:rPr>
        <w:t>紧扣国家和省重大决策部署编制中期财政规划，切实体现“以政统财、以财保政”的要求，加强中期财政规划和年度预算、政府投资计划与</w:t>
      </w:r>
      <w:r>
        <w:rPr>
          <w:rFonts w:hint="eastAsia"/>
          <w:color w:val="auto"/>
          <w:highlight w:val="none"/>
          <w:lang w:eastAsia="zh-CN"/>
        </w:rPr>
        <w:t>“</w:t>
      </w:r>
      <w:r>
        <w:rPr>
          <w:rFonts w:hint="eastAsia" w:ascii="宋体" w:hAnsi="宋体"/>
          <w:color w:val="auto"/>
          <w:highlight w:val="none"/>
        </w:rPr>
        <w:t>十四五</w:t>
      </w:r>
      <w:r>
        <w:rPr>
          <w:rFonts w:hint="eastAsia"/>
          <w:color w:val="auto"/>
          <w:highlight w:val="none"/>
          <w:lang w:eastAsia="zh-CN"/>
        </w:rPr>
        <w:t>”</w:t>
      </w:r>
      <w:r>
        <w:rPr>
          <w:rFonts w:hint="eastAsia" w:ascii="宋体" w:hAnsi="宋体"/>
          <w:color w:val="auto"/>
          <w:highlight w:val="none"/>
        </w:rPr>
        <w:t>经济社会发展规划的衔接协调，财政性资金优先投向发展规划确定的重大任务和重大工程项目</w:t>
      </w:r>
      <w:r>
        <w:rPr>
          <w:rFonts w:hint="eastAsia"/>
          <w:color w:val="auto"/>
          <w:highlight w:val="none"/>
          <w:lang w:eastAsia="zh-CN"/>
        </w:rPr>
        <w:t>，</w:t>
      </w:r>
      <w:r>
        <w:rPr>
          <w:rFonts w:hint="eastAsia" w:ascii="宋体" w:hAnsi="宋体"/>
          <w:color w:val="auto"/>
          <w:highlight w:val="none"/>
        </w:rPr>
        <w:t>加强对重大战略、重要任务、重点改革的财力保障研究。强化中长期支出责任管理，在制定中长期规划时，审慎考虑财政承受能力、增强民生政策措施的有效性和可持续性、中长期支出事项和跨年度项目在全生命周期内对财政支出的影响、地方政府偿债能力等要素，合理平滑财政支出压力，有效降低财政运行风险。</w:t>
      </w:r>
    </w:p>
    <w:p>
      <w:pPr>
        <w:pStyle w:val="5"/>
        <w:rPr>
          <w:rFonts w:ascii="宋体" w:hAnsi="宋体"/>
          <w:color w:val="auto"/>
          <w:highlight w:val="none"/>
        </w:rPr>
      </w:pPr>
      <w:bookmarkStart w:id="123" w:name="_Toc30208"/>
      <w:bookmarkStart w:id="124" w:name="_Toc22296"/>
      <w:bookmarkStart w:id="125" w:name="_Toc15863"/>
      <w:bookmarkStart w:id="126" w:name="_Toc30993"/>
      <w:bookmarkStart w:id="127" w:name="_Toc18595"/>
      <w:bookmarkStart w:id="128" w:name="_Toc22671"/>
      <w:r>
        <w:rPr>
          <w:rFonts w:hint="eastAsia" w:ascii="宋体" w:hAnsi="宋体"/>
          <w:color w:val="auto"/>
          <w:highlight w:val="none"/>
          <w:lang w:eastAsia="zh-CN"/>
        </w:rPr>
        <w:t>（四）</w:t>
      </w:r>
      <w:r>
        <w:rPr>
          <w:rFonts w:hint="eastAsia" w:ascii="宋体" w:hAnsi="宋体"/>
          <w:color w:val="auto"/>
          <w:highlight w:val="none"/>
        </w:rPr>
        <w:t>强化预算约束</w:t>
      </w:r>
      <w:bookmarkEnd w:id="123"/>
      <w:bookmarkEnd w:id="124"/>
      <w:bookmarkEnd w:id="125"/>
      <w:bookmarkEnd w:id="126"/>
      <w:bookmarkEnd w:id="127"/>
      <w:bookmarkEnd w:id="128"/>
    </w:p>
    <w:p>
      <w:pPr>
        <w:bidi w:val="0"/>
      </w:pPr>
      <w:r>
        <w:rPr>
          <w:rFonts w:hint="eastAsia"/>
        </w:rPr>
        <w:t>严格执行人大批准的预算，坚持先有预算后有支出，严禁超预算、无预算安排支出，对预算指标实行统一规范的核算管理。严格控制预算追加事项，科学设定预算调剂、预算执行等的管理流程、审批权限</w:t>
      </w:r>
      <w:r>
        <w:rPr>
          <w:rFonts w:hint="eastAsia"/>
          <w:lang w:eastAsia="zh-CN"/>
        </w:rPr>
        <w:t>。规范按权责发生制列支事项，财政国库集中支付结余不再按权责发生制列支。</w:t>
      </w:r>
      <w:r>
        <w:rPr>
          <w:rFonts w:hint="eastAsia"/>
        </w:rPr>
        <w:t>进一步加强地方财政暂付性款项管理。</w:t>
      </w:r>
    </w:p>
    <w:p>
      <w:pPr>
        <w:pStyle w:val="5"/>
        <w:rPr>
          <w:rFonts w:ascii="宋体" w:hAnsi="宋体"/>
          <w:color w:val="auto"/>
          <w:highlight w:val="none"/>
        </w:rPr>
      </w:pPr>
      <w:bookmarkStart w:id="129" w:name="_Toc1738"/>
      <w:bookmarkStart w:id="130" w:name="_Toc5747"/>
      <w:bookmarkStart w:id="131" w:name="_Toc16252"/>
      <w:bookmarkStart w:id="132" w:name="_Toc10448"/>
      <w:bookmarkStart w:id="133" w:name="_Toc9945"/>
      <w:bookmarkStart w:id="134" w:name="_Toc22799"/>
      <w:r>
        <w:rPr>
          <w:rFonts w:hint="eastAsia" w:ascii="宋体" w:hAnsi="宋体"/>
          <w:color w:val="auto"/>
          <w:highlight w:val="none"/>
          <w:lang w:eastAsia="zh-CN"/>
        </w:rPr>
        <w:t>（五）</w:t>
      </w:r>
      <w:r>
        <w:rPr>
          <w:rFonts w:hint="eastAsia" w:ascii="宋体" w:hAnsi="宋体"/>
          <w:color w:val="auto"/>
          <w:highlight w:val="none"/>
        </w:rPr>
        <w:t>深入推进预算公开</w:t>
      </w:r>
      <w:bookmarkEnd w:id="129"/>
      <w:bookmarkEnd w:id="130"/>
      <w:bookmarkEnd w:id="131"/>
      <w:bookmarkEnd w:id="132"/>
      <w:bookmarkEnd w:id="133"/>
      <w:bookmarkEnd w:id="134"/>
    </w:p>
    <w:p>
      <w:pPr>
        <w:rPr>
          <w:rFonts w:ascii="宋体" w:hAnsi="宋体"/>
          <w:color w:val="auto"/>
          <w:highlight w:val="none"/>
        </w:rPr>
      </w:pPr>
      <w:r>
        <w:rPr>
          <w:rFonts w:hint="eastAsia" w:ascii="宋体" w:hAnsi="宋体"/>
          <w:color w:val="auto"/>
          <w:highlight w:val="none"/>
        </w:rPr>
        <w:t>指导省级部门做好部门及所属单位预决算公开工作，指导市县财政部门预决算公开标准化、规范化。优化预算公开范围，加大各级政府预决算公开力度，推动财政政策公开；进一步规范预算公开内容，推进转移支付资金管理办法及绩效目标、预算安排情况，部门和部门所属单位项目预算安排、使用情况等项目信息依法依规向社会公开。</w:t>
      </w:r>
    </w:p>
    <w:p>
      <w:pPr>
        <w:pStyle w:val="4"/>
        <w:ind w:firstLine="640" w:firstLineChars="200"/>
        <w:rPr>
          <w:rFonts w:ascii="宋体" w:hAnsi="宋体"/>
          <w:color w:val="auto"/>
          <w:szCs w:val="32"/>
          <w:highlight w:val="none"/>
        </w:rPr>
      </w:pPr>
      <w:bookmarkStart w:id="135" w:name="_Toc10541"/>
      <w:bookmarkStart w:id="136" w:name="_Toc21363"/>
      <w:bookmarkStart w:id="137" w:name="_Toc18026"/>
      <w:bookmarkStart w:id="138" w:name="_Toc8006"/>
      <w:bookmarkStart w:id="139" w:name="_Toc31395"/>
      <w:bookmarkStart w:id="140" w:name="_Toc17994"/>
      <w:r>
        <w:rPr>
          <w:rFonts w:hint="eastAsia" w:ascii="宋体" w:hAnsi="宋体"/>
          <w:color w:val="auto"/>
          <w:szCs w:val="32"/>
          <w:highlight w:val="none"/>
          <w:lang w:eastAsia="zh-CN"/>
        </w:rPr>
        <w:t>五</w:t>
      </w:r>
      <w:r>
        <w:rPr>
          <w:rFonts w:hint="eastAsia" w:ascii="宋体" w:hAnsi="宋体"/>
          <w:color w:val="auto"/>
          <w:szCs w:val="32"/>
          <w:highlight w:val="none"/>
        </w:rPr>
        <w:t>、全面深化预算绩效管理改革</w:t>
      </w:r>
      <w:bookmarkEnd w:id="135"/>
      <w:bookmarkEnd w:id="136"/>
      <w:bookmarkEnd w:id="137"/>
      <w:bookmarkEnd w:id="138"/>
      <w:bookmarkEnd w:id="139"/>
      <w:bookmarkEnd w:id="140"/>
    </w:p>
    <w:p>
      <w:pPr>
        <w:rPr>
          <w:rFonts w:hint="eastAsia" w:ascii="宋体" w:hAnsi="宋体"/>
          <w:color w:val="auto"/>
          <w:highlight w:val="none"/>
        </w:rPr>
      </w:pPr>
      <w:bookmarkStart w:id="141" w:name="_Toc21418"/>
      <w:bookmarkStart w:id="142" w:name="_Toc24295"/>
      <w:r>
        <w:rPr>
          <w:rFonts w:hint="eastAsia" w:ascii="宋体" w:hAnsi="宋体"/>
          <w:color w:val="auto"/>
          <w:highlight w:val="none"/>
        </w:rPr>
        <w:t>稳步推动预算和绩效管理一体化</w:t>
      </w:r>
      <w:r>
        <w:rPr>
          <w:rFonts w:hint="eastAsia" w:ascii="宋体" w:hAnsi="宋体"/>
          <w:color w:val="auto"/>
          <w:highlight w:val="none"/>
          <w:lang w:eastAsia="zh-CN"/>
        </w:rPr>
        <w:t>和</w:t>
      </w:r>
      <w:r>
        <w:rPr>
          <w:rFonts w:hint="eastAsia" w:ascii="宋体" w:hAnsi="宋体"/>
          <w:color w:val="auto"/>
          <w:highlight w:val="none"/>
        </w:rPr>
        <w:t>绩效评价体系</w:t>
      </w:r>
      <w:r>
        <w:rPr>
          <w:rFonts w:hint="eastAsia" w:ascii="宋体" w:hAnsi="宋体"/>
          <w:color w:val="auto"/>
          <w:highlight w:val="none"/>
          <w:lang w:eastAsia="zh-CN"/>
        </w:rPr>
        <w:t>建设，发挥大数据在绩效管理的基础性作用，</w:t>
      </w:r>
      <w:r>
        <w:rPr>
          <w:rFonts w:hint="eastAsia" w:ascii="宋体" w:hAnsi="宋体"/>
          <w:color w:val="auto"/>
          <w:highlight w:val="none"/>
        </w:rPr>
        <w:t>不断推进预算绩效管理规范化、制度化、法制化进程，</w:t>
      </w:r>
      <w:r>
        <w:rPr>
          <w:rFonts w:hint="eastAsia" w:ascii="宋体" w:hAnsi="宋体"/>
          <w:color w:val="auto"/>
          <w:highlight w:val="none"/>
          <w:lang w:eastAsia="zh-CN"/>
        </w:rPr>
        <w:t>形成特有的绩效文化</w:t>
      </w:r>
      <w:r>
        <w:rPr>
          <w:rFonts w:hint="eastAsia" w:ascii="宋体" w:hAnsi="宋体"/>
          <w:color w:val="auto"/>
          <w:highlight w:val="none"/>
        </w:rPr>
        <w:t>。</w:t>
      </w:r>
    </w:p>
    <w:p>
      <w:pPr>
        <w:pStyle w:val="5"/>
        <w:rPr>
          <w:rFonts w:ascii="宋体" w:hAnsi="宋体"/>
          <w:color w:val="auto"/>
          <w:highlight w:val="none"/>
        </w:rPr>
      </w:pPr>
      <w:bookmarkStart w:id="143" w:name="_Toc12820"/>
      <w:bookmarkStart w:id="144" w:name="_Toc3304"/>
      <w:bookmarkStart w:id="145" w:name="_Toc31537"/>
      <w:bookmarkStart w:id="146" w:name="_Toc2815"/>
      <w:bookmarkStart w:id="147" w:name="_Toc11372"/>
      <w:r>
        <w:rPr>
          <w:rFonts w:hint="eastAsia" w:ascii="宋体" w:hAnsi="宋体"/>
          <w:color w:val="auto"/>
          <w:highlight w:val="none"/>
        </w:rPr>
        <w:t>（一）全面构建管理框架，服务高质量发展</w:t>
      </w:r>
      <w:bookmarkEnd w:id="141"/>
      <w:bookmarkEnd w:id="143"/>
      <w:bookmarkEnd w:id="144"/>
      <w:bookmarkEnd w:id="145"/>
      <w:bookmarkEnd w:id="146"/>
      <w:bookmarkEnd w:id="147"/>
    </w:p>
    <w:p>
      <w:pPr>
        <w:rPr>
          <w:rFonts w:ascii="宋体" w:hAnsi="宋体"/>
          <w:color w:val="auto"/>
          <w:highlight w:val="none"/>
        </w:rPr>
      </w:pPr>
      <w:r>
        <w:rPr>
          <w:rFonts w:hint="eastAsia" w:ascii="宋体" w:hAnsi="宋体"/>
          <w:color w:val="auto"/>
          <w:highlight w:val="none"/>
        </w:rPr>
        <w:t>建立健全结构合理、体系完备、便于实施的制度框架，将预算绩效管理覆盖到所有财政性资金，努力实现预算和绩效管理一体化，巩固提高省级预算绩效管理水平，加大市县工作力度，推动全省预算绩效管理改革实现跨越发展。</w:t>
      </w:r>
    </w:p>
    <w:p>
      <w:pPr>
        <w:pStyle w:val="5"/>
        <w:rPr>
          <w:rFonts w:ascii="宋体" w:hAnsi="宋体"/>
          <w:color w:val="auto"/>
          <w:highlight w:val="none"/>
        </w:rPr>
      </w:pPr>
      <w:bookmarkStart w:id="148" w:name="_Toc5429"/>
      <w:bookmarkStart w:id="149" w:name="_Toc9233"/>
      <w:bookmarkStart w:id="150" w:name="_Toc6114"/>
      <w:bookmarkStart w:id="151" w:name="_Toc8603"/>
      <w:bookmarkStart w:id="152" w:name="_Toc19768"/>
      <w:bookmarkStart w:id="153" w:name="_Toc8341"/>
      <w:r>
        <w:rPr>
          <w:rFonts w:hint="eastAsia" w:ascii="宋体" w:hAnsi="宋体"/>
          <w:color w:val="auto"/>
          <w:highlight w:val="none"/>
          <w:lang w:eastAsia="zh-CN"/>
        </w:rPr>
        <w:t>（二）</w:t>
      </w:r>
      <w:r>
        <w:rPr>
          <w:rFonts w:hint="eastAsia" w:ascii="宋体" w:hAnsi="宋体"/>
          <w:color w:val="auto"/>
          <w:highlight w:val="none"/>
        </w:rPr>
        <w:t>加强评估评价，增强政策可行性和财政可持续性</w:t>
      </w:r>
      <w:bookmarkEnd w:id="148"/>
      <w:bookmarkEnd w:id="149"/>
      <w:bookmarkEnd w:id="150"/>
      <w:bookmarkEnd w:id="151"/>
      <w:bookmarkEnd w:id="152"/>
      <w:bookmarkEnd w:id="153"/>
    </w:p>
    <w:p>
      <w:pPr>
        <w:rPr>
          <w:rFonts w:ascii="宋体" w:hAnsi="宋体"/>
          <w:color w:val="auto"/>
          <w:highlight w:val="none"/>
        </w:rPr>
      </w:pPr>
      <w:r>
        <w:rPr>
          <w:rFonts w:hint="eastAsia" w:ascii="宋体" w:hAnsi="宋体"/>
          <w:color w:val="auto"/>
          <w:highlight w:val="none"/>
        </w:rPr>
        <w:t>完善事前绩效评估机制，加强成本效益分析。积极开展重大政府投资项目、新增政府债券项目事前评估，逐步将应评估事项全部纳入评估范围；突出提升绩效评价质量，进一步加强评价科学化、标准化建设，完善评价工作流程，规范评价行为，逐步建立分类绩效评价体系。</w:t>
      </w:r>
    </w:p>
    <w:p>
      <w:pPr>
        <w:pStyle w:val="5"/>
        <w:rPr>
          <w:rFonts w:ascii="宋体" w:hAnsi="宋体"/>
          <w:color w:val="auto"/>
          <w:highlight w:val="none"/>
        </w:rPr>
      </w:pPr>
      <w:bookmarkStart w:id="154" w:name="_Toc30089"/>
      <w:bookmarkStart w:id="155" w:name="_Toc31194"/>
      <w:bookmarkStart w:id="156" w:name="_Toc2970"/>
      <w:bookmarkStart w:id="157" w:name="_Toc30824"/>
      <w:bookmarkStart w:id="158" w:name="_Toc26242"/>
      <w:bookmarkStart w:id="159" w:name="_Toc25613"/>
      <w:r>
        <w:rPr>
          <w:rFonts w:hint="eastAsia" w:ascii="宋体" w:hAnsi="宋体"/>
          <w:color w:val="auto"/>
          <w:highlight w:val="none"/>
          <w:lang w:eastAsia="zh-CN"/>
        </w:rPr>
        <w:t>（三）</w:t>
      </w:r>
      <w:r>
        <w:rPr>
          <w:rFonts w:hint="eastAsia" w:ascii="宋体" w:hAnsi="宋体"/>
          <w:color w:val="auto"/>
          <w:highlight w:val="none"/>
        </w:rPr>
        <w:t>深入开展部门整体支出绩效管理，提升履职效能</w:t>
      </w:r>
      <w:bookmarkEnd w:id="154"/>
      <w:bookmarkEnd w:id="155"/>
      <w:bookmarkEnd w:id="156"/>
      <w:bookmarkEnd w:id="157"/>
      <w:bookmarkEnd w:id="158"/>
      <w:bookmarkEnd w:id="159"/>
    </w:p>
    <w:p>
      <w:pPr>
        <w:rPr>
          <w:rFonts w:ascii="宋体" w:hAnsi="宋体"/>
          <w:color w:val="auto"/>
          <w:highlight w:val="none"/>
        </w:rPr>
      </w:pPr>
      <w:r>
        <w:rPr>
          <w:rFonts w:hint="eastAsia" w:ascii="宋体" w:hAnsi="宋体"/>
          <w:color w:val="auto"/>
          <w:highlight w:val="none"/>
        </w:rPr>
        <w:t>建立以部门履职效能为核心，涵盖预算资金管理、绩效管理水平、转移支付资金管理监督等方面，定量为主、定性为辅的部门整体支出绩效指标框架，并与政府绩效考核相融合。根据部门特点及业务性质，分类开展部门整体支出绩效管理。同时积极推动人大和审计进行外部监督，压实部门绩效管理主体责任，不断提高部门履职尽责能力水平。</w:t>
      </w:r>
    </w:p>
    <w:p>
      <w:pPr>
        <w:pStyle w:val="5"/>
        <w:rPr>
          <w:rFonts w:ascii="宋体" w:hAnsi="宋体"/>
          <w:color w:val="auto"/>
          <w:highlight w:val="none"/>
        </w:rPr>
      </w:pPr>
      <w:bookmarkStart w:id="160" w:name="_Toc18226"/>
      <w:bookmarkStart w:id="161" w:name="_Toc32725"/>
      <w:bookmarkStart w:id="162" w:name="_Toc32377"/>
      <w:bookmarkStart w:id="163" w:name="_Toc19535"/>
      <w:bookmarkStart w:id="164" w:name="_Toc10858"/>
      <w:bookmarkStart w:id="165" w:name="_Toc32450"/>
      <w:r>
        <w:rPr>
          <w:rFonts w:hint="eastAsia" w:ascii="宋体" w:hAnsi="宋体"/>
          <w:color w:val="auto"/>
          <w:highlight w:val="none"/>
          <w:lang w:eastAsia="zh-CN"/>
        </w:rPr>
        <w:t>（四）</w:t>
      </w:r>
      <w:r>
        <w:rPr>
          <w:rFonts w:hint="eastAsia" w:ascii="宋体" w:hAnsi="宋体"/>
          <w:color w:val="auto"/>
          <w:highlight w:val="none"/>
        </w:rPr>
        <w:t>突出结果应用，强化激励和责任约束</w:t>
      </w:r>
      <w:bookmarkEnd w:id="160"/>
      <w:bookmarkEnd w:id="161"/>
      <w:bookmarkEnd w:id="162"/>
      <w:bookmarkEnd w:id="163"/>
      <w:bookmarkEnd w:id="164"/>
      <w:bookmarkEnd w:id="165"/>
    </w:p>
    <w:p>
      <w:pPr>
        <w:rPr>
          <w:rFonts w:ascii="宋体" w:hAnsi="宋体"/>
          <w:color w:val="auto"/>
          <w:highlight w:val="none"/>
        </w:rPr>
      </w:pPr>
      <w:r>
        <w:rPr>
          <w:rFonts w:hint="eastAsia" w:ascii="宋体" w:hAnsi="宋体"/>
          <w:color w:val="auto"/>
          <w:highlight w:val="none"/>
        </w:rPr>
        <w:t>创新绩效结果应用方式方法，事前、事中、事后的绩效结果既要应用尽用也要统筹综合运用。建立涵盖政府预算、部门整体支出、项目支出、绩效管理水平等“大绩效”结果应用机制；建立健全与人大监督、巡视巡察、审计监督的协同工作机制和结果公开机制，定期将结果报送人大、政府、组织部，作为领导干部选拔任用和绩效问责的重要依据。做到结果必应用、问题必追责。</w:t>
      </w:r>
    </w:p>
    <w:p>
      <w:pPr>
        <w:pStyle w:val="5"/>
        <w:bidi w:val="0"/>
      </w:pPr>
      <w:bookmarkStart w:id="166" w:name="_Toc17859"/>
      <w:bookmarkStart w:id="167" w:name="_Toc5127"/>
      <w:bookmarkStart w:id="168" w:name="_Toc24200"/>
      <w:bookmarkStart w:id="169" w:name="_Toc14627"/>
      <w:bookmarkStart w:id="170" w:name="_Toc16180"/>
      <w:bookmarkStart w:id="171" w:name="_Toc27202"/>
      <w:r>
        <w:rPr>
          <w:rFonts w:hint="eastAsia"/>
          <w:lang w:eastAsia="zh-CN"/>
        </w:rPr>
        <w:t>（五）</w:t>
      </w:r>
      <w:r>
        <w:rPr>
          <w:rFonts w:hint="eastAsia"/>
        </w:rPr>
        <w:t>发挥绩效大数据的基础性作用，助力科学决策</w:t>
      </w:r>
      <w:bookmarkEnd w:id="166"/>
      <w:bookmarkEnd w:id="167"/>
      <w:bookmarkEnd w:id="168"/>
      <w:bookmarkEnd w:id="169"/>
      <w:bookmarkEnd w:id="170"/>
      <w:bookmarkEnd w:id="171"/>
    </w:p>
    <w:p>
      <w:pPr>
        <w:rPr>
          <w:rFonts w:ascii="宋体" w:hAnsi="宋体"/>
          <w:color w:val="auto"/>
          <w:highlight w:val="none"/>
        </w:rPr>
      </w:pPr>
      <w:r>
        <w:rPr>
          <w:rFonts w:hint="eastAsia" w:ascii="宋体" w:hAnsi="宋体"/>
          <w:color w:val="auto"/>
          <w:highlight w:val="none"/>
        </w:rPr>
        <w:t>依托预算管理一体化信息系统，建立预算绩效大数据分析应用辅助体系。通过财政部门对不同数据进行收集处理或与各部门共建共享等方式，形成数量多、质量高的动态数据库；针对制定出台重大支出政策、财政收支分析、财政运行风险研判、项目支出标准化建设、辅助业务审核以及其他各项业务需求，开发个性化绩效分析模型，不断提高财政科学决策和管理水平，高效优化财政资源配置，大幅提高工作效率。</w:t>
      </w:r>
    </w:p>
    <w:p>
      <w:pPr>
        <w:pStyle w:val="5"/>
        <w:rPr>
          <w:rFonts w:ascii="宋体" w:hAnsi="宋体"/>
          <w:color w:val="auto"/>
          <w:highlight w:val="none"/>
        </w:rPr>
      </w:pPr>
      <w:bookmarkStart w:id="172" w:name="_Toc10532"/>
      <w:bookmarkStart w:id="173" w:name="_Toc20852"/>
      <w:bookmarkStart w:id="174" w:name="_Toc418"/>
      <w:bookmarkStart w:id="175" w:name="_Toc31015"/>
      <w:bookmarkStart w:id="176" w:name="_Toc6169"/>
      <w:bookmarkStart w:id="177" w:name="_Toc9408"/>
      <w:r>
        <w:rPr>
          <w:rFonts w:hint="eastAsia" w:ascii="宋体" w:hAnsi="宋体"/>
          <w:color w:val="auto"/>
          <w:highlight w:val="none"/>
          <w:lang w:eastAsia="zh-CN"/>
        </w:rPr>
        <w:t>（六）</w:t>
      </w:r>
      <w:r>
        <w:rPr>
          <w:rFonts w:hint="eastAsia" w:ascii="宋体" w:hAnsi="宋体"/>
          <w:color w:val="auto"/>
          <w:highlight w:val="none"/>
        </w:rPr>
        <w:t>积极引领社会参与，打造绩效文化</w:t>
      </w:r>
      <w:bookmarkEnd w:id="172"/>
      <w:bookmarkEnd w:id="173"/>
      <w:bookmarkEnd w:id="174"/>
      <w:bookmarkEnd w:id="175"/>
      <w:bookmarkEnd w:id="176"/>
      <w:bookmarkEnd w:id="177"/>
    </w:p>
    <w:p>
      <w:pPr>
        <w:rPr>
          <w:rFonts w:ascii="宋体" w:hAnsi="宋体"/>
          <w:color w:val="auto"/>
          <w:highlight w:val="none"/>
        </w:rPr>
      </w:pPr>
      <w:r>
        <w:rPr>
          <w:rFonts w:hint="eastAsia" w:ascii="宋体" w:hAnsi="宋体"/>
          <w:color w:val="auto"/>
          <w:highlight w:val="none"/>
        </w:rPr>
        <w:t>不断推进预算绩效管理制度化、法制化、规范化进程，积极研究探索预算绩效管理政府规章建设，向“绩效法制”迈出扎实脚步；打造绩效管理研究智库，服务全省绩效管理改革；依托省内高校，探索设立绩效管理相关学科，培养绩效管理后续人才；支持创建行业协会，充分发挥协会作用，引导和规范专家学者、第三方机构开展绩效业务，不断提高执业水平；积极营造多维的舆论氛围，集聚文化共识、形成绩效自觉。</w:t>
      </w:r>
      <w:bookmarkEnd w:id="142"/>
    </w:p>
    <w:p>
      <w:pPr>
        <w:pStyle w:val="4"/>
        <w:ind w:firstLine="640" w:firstLineChars="200"/>
        <w:rPr>
          <w:rFonts w:ascii="宋体" w:hAnsi="宋体"/>
          <w:color w:val="auto"/>
          <w:szCs w:val="32"/>
          <w:highlight w:val="none"/>
        </w:rPr>
      </w:pPr>
      <w:bookmarkStart w:id="178" w:name="_Toc12838"/>
      <w:bookmarkStart w:id="179" w:name="_Toc4827"/>
      <w:bookmarkStart w:id="180" w:name="_Toc22575"/>
      <w:bookmarkStart w:id="181" w:name="_Toc20154"/>
      <w:bookmarkStart w:id="182" w:name="_Toc23887"/>
      <w:bookmarkStart w:id="183" w:name="_Toc24096"/>
      <w:r>
        <w:rPr>
          <w:rFonts w:hint="eastAsia" w:ascii="宋体" w:hAnsi="宋体"/>
          <w:color w:val="auto"/>
          <w:szCs w:val="32"/>
          <w:highlight w:val="none"/>
          <w:lang w:eastAsia="zh-CN"/>
        </w:rPr>
        <w:t>六</w:t>
      </w:r>
      <w:r>
        <w:rPr>
          <w:rFonts w:hint="eastAsia" w:ascii="宋体" w:hAnsi="宋体"/>
          <w:color w:val="auto"/>
          <w:szCs w:val="32"/>
          <w:highlight w:val="none"/>
        </w:rPr>
        <w:t>、深入推进财税体制改革</w:t>
      </w:r>
      <w:bookmarkEnd w:id="178"/>
      <w:bookmarkEnd w:id="179"/>
      <w:bookmarkEnd w:id="180"/>
      <w:bookmarkEnd w:id="181"/>
      <w:bookmarkEnd w:id="182"/>
      <w:bookmarkEnd w:id="183"/>
    </w:p>
    <w:p>
      <w:pPr>
        <w:bidi w:val="0"/>
        <w:rPr>
          <w:rFonts w:hint="eastAsia"/>
        </w:rPr>
      </w:pPr>
      <w:bookmarkStart w:id="184" w:name="_Toc1804"/>
      <w:r>
        <w:rPr>
          <w:rFonts w:hint="eastAsia"/>
        </w:rPr>
        <w:t>按照建立现代财税体制的方向，着力构建权责明晰、财力协调、区域均衡的</w:t>
      </w:r>
      <w:r>
        <w:rPr>
          <w:rFonts w:hint="eastAsia"/>
          <w:lang w:eastAsia="zh-CN"/>
        </w:rPr>
        <w:t>政府间</w:t>
      </w:r>
      <w:r>
        <w:rPr>
          <w:rFonts w:hint="eastAsia"/>
        </w:rPr>
        <w:t>财政关系，推动形成稳定的省与市县政府间事权、支出责任和财力相适应的制度，持续增强基层公共服务保障能力。</w:t>
      </w:r>
    </w:p>
    <w:p>
      <w:pPr>
        <w:pStyle w:val="5"/>
        <w:bidi w:val="0"/>
        <w:outlineLvl w:val="1"/>
        <w:rPr>
          <w:rFonts w:hint="eastAsia" w:ascii="宋体" w:hAnsi="宋体"/>
          <w:lang w:val="en-US" w:eastAsia="zh-CN"/>
        </w:rPr>
      </w:pPr>
      <w:bookmarkStart w:id="185" w:name="_Toc28722"/>
      <w:bookmarkStart w:id="186" w:name="_Toc25509"/>
      <w:r>
        <w:rPr>
          <w:rFonts w:hint="eastAsia" w:ascii="宋体" w:hAnsi="宋体"/>
          <w:lang w:val="en-US" w:eastAsia="zh-CN"/>
        </w:rPr>
        <w:t>（一）扎实推进分领域财政事权和支出责任划分改革</w:t>
      </w:r>
      <w:bookmarkEnd w:id="185"/>
      <w:bookmarkEnd w:id="186"/>
    </w:p>
    <w:p>
      <w:pPr>
        <w:bidi w:val="0"/>
        <w:rPr>
          <w:rFonts w:hint="eastAsia"/>
        </w:rPr>
      </w:pPr>
      <w:r>
        <w:rPr>
          <w:rFonts w:hint="eastAsia"/>
        </w:rPr>
        <w:t>推进分领域财政事权和支出责任划分改革，落实已出台的分领域财政事权和支出责任划分改革方案，推进知识产权保护、养老保险等领域财政事权和支出责任划分改革，适当上移并强化省级财政事权和支出责任；合理确定省和市县共同财政事权，指导市县推进本区域财政事权和支出责任划分改革，督促市县政府切实担负起“三保”主体责任。</w:t>
      </w:r>
    </w:p>
    <w:p>
      <w:pPr>
        <w:pStyle w:val="5"/>
        <w:bidi w:val="0"/>
        <w:outlineLvl w:val="1"/>
        <w:rPr>
          <w:rFonts w:hint="eastAsia" w:ascii="宋体" w:hAnsi="宋体"/>
          <w:lang w:val="en-US" w:eastAsia="zh-CN"/>
        </w:rPr>
      </w:pPr>
      <w:bookmarkStart w:id="187" w:name="_Toc4947"/>
      <w:bookmarkStart w:id="188" w:name="_Toc8532"/>
      <w:r>
        <w:rPr>
          <w:rFonts w:hint="eastAsia" w:ascii="宋体" w:hAnsi="宋体"/>
          <w:lang w:val="en-US" w:eastAsia="zh-CN"/>
        </w:rPr>
        <w:t>（二）调整省级和市县收入划分</w:t>
      </w:r>
      <w:bookmarkEnd w:id="187"/>
      <w:bookmarkEnd w:id="188"/>
    </w:p>
    <w:p>
      <w:pPr>
        <w:bidi w:val="0"/>
        <w:rPr>
          <w:rFonts w:hint="eastAsia"/>
        </w:rPr>
      </w:pPr>
      <w:r>
        <w:rPr>
          <w:rFonts w:hint="eastAsia"/>
        </w:rPr>
        <w:t>参照中央与地方收入划分政策，保持现有财力格局总体稳定，以税种属性为基础，遵循收入划分基本原则，进一步理顺省与市县收入划分，</w:t>
      </w:r>
      <w:r>
        <w:rPr>
          <w:rFonts w:hint="eastAsia"/>
          <w:lang w:eastAsia="zh-CN"/>
        </w:rPr>
        <w:t>适时完善</w:t>
      </w:r>
      <w:r>
        <w:rPr>
          <w:rFonts w:hint="eastAsia"/>
        </w:rPr>
        <w:t>省以下增值税留抵退税分担办法。恢复国有土地使用权出让收益省级分享政策，省级按比例分享国有土地使用权出让收入，统筹用于乡村振兴等方面。指导市县理顺政府间收入划分关系，维护市场统一、公平竞争和促进生产要素自由流动。</w:t>
      </w:r>
    </w:p>
    <w:p>
      <w:pPr>
        <w:pStyle w:val="5"/>
        <w:bidi w:val="0"/>
        <w:rPr>
          <w:rFonts w:hint="eastAsia" w:ascii="宋体" w:hAnsi="宋体"/>
          <w:lang w:val="en-US" w:eastAsia="zh-CN"/>
        </w:rPr>
      </w:pPr>
      <w:bookmarkStart w:id="189" w:name="_Toc22803"/>
      <w:bookmarkStart w:id="190" w:name="_Toc2684"/>
      <w:r>
        <w:rPr>
          <w:rFonts w:hint="eastAsia" w:ascii="宋体" w:hAnsi="宋体"/>
          <w:lang w:val="en-US" w:eastAsia="zh-CN"/>
        </w:rPr>
        <w:t>（三）完善省级对市县转移支付制度</w:t>
      </w:r>
      <w:bookmarkEnd w:id="189"/>
      <w:bookmarkEnd w:id="190"/>
    </w:p>
    <w:p>
      <w:pPr>
        <w:bidi w:val="0"/>
        <w:rPr>
          <w:rFonts w:hint="eastAsia"/>
        </w:rPr>
      </w:pPr>
      <w:r>
        <w:rPr>
          <w:rFonts w:hint="eastAsia"/>
        </w:rPr>
        <w:t>进一步厘清一般性转移支付和专项转移支付功能边界，规范项目设置，强化协调配合。充分发挥一般性转移支付作用，加大对财政困难地区的支持力度，促进地区间财力均衡配置；完善省级专项资金管理，推进转移支付大专项加任务清单管理模式，合理确定专项转移支付项目和规模，全面实施绩效管理，健全定期评估和退出机制，精准支持市县落实国家和省重大战略任务。</w:t>
      </w:r>
    </w:p>
    <w:p>
      <w:pPr>
        <w:pStyle w:val="5"/>
        <w:bidi w:val="0"/>
        <w:rPr>
          <w:rFonts w:hint="eastAsia" w:ascii="宋体" w:hAnsi="宋体"/>
          <w:lang w:val="en-US" w:eastAsia="zh-CN"/>
        </w:rPr>
      </w:pPr>
      <w:bookmarkStart w:id="191" w:name="_Toc26016"/>
      <w:bookmarkStart w:id="192" w:name="_Toc408"/>
      <w:r>
        <w:rPr>
          <w:rFonts w:hint="eastAsia" w:ascii="宋体" w:hAnsi="宋体"/>
          <w:lang w:val="en-US" w:eastAsia="zh-CN"/>
        </w:rPr>
        <w:t>（四）建立健全常态化财政资金直达机制</w:t>
      </w:r>
      <w:bookmarkEnd w:id="191"/>
      <w:bookmarkEnd w:id="192"/>
    </w:p>
    <w:p>
      <w:pPr>
        <w:bidi w:val="0"/>
        <w:rPr>
          <w:rFonts w:hint="eastAsia"/>
        </w:rPr>
      </w:pPr>
      <w:r>
        <w:rPr>
          <w:rFonts w:hint="eastAsia"/>
        </w:rPr>
        <w:t>稳步扩大直达资金范围，逐步实现民生补助资金全覆盖；完善直达资金分配审核流程；健全直达资金监控体系，加大违法违规行为处理处罚力度；确保资金直达使用单位、直接惠企利民，防止挤占挪用、沉淀闲置等。</w:t>
      </w:r>
    </w:p>
    <w:p>
      <w:pPr>
        <w:pStyle w:val="5"/>
        <w:bidi w:val="0"/>
        <w:rPr>
          <w:rFonts w:hint="eastAsia"/>
          <w:lang w:val="en-US" w:eastAsia="zh-CN"/>
        </w:rPr>
      </w:pPr>
      <w:bookmarkStart w:id="193" w:name="_Toc31854"/>
      <w:bookmarkStart w:id="194" w:name="_Toc30973"/>
      <w:r>
        <w:rPr>
          <w:rFonts w:hint="eastAsia"/>
          <w:lang w:val="en-US" w:eastAsia="zh-CN"/>
        </w:rPr>
        <w:t>（五）对接中央消费税征收环节后移等地方税、直接税体系调整政策</w:t>
      </w:r>
      <w:bookmarkEnd w:id="193"/>
      <w:bookmarkEnd w:id="194"/>
    </w:p>
    <w:p>
      <w:pPr>
        <w:bidi w:val="0"/>
      </w:pPr>
      <w:r>
        <w:rPr>
          <w:rFonts w:hint="eastAsia"/>
        </w:rPr>
        <w:t>完善对接中央下放税权的工作体制和机制，依法确定我省相关税种的具体税率、优惠政策等授权地方事项；结合我省产业转型升级和区域发展战略，研究争取相关税收政策和管理权限；按照中央下划消费税的</w:t>
      </w:r>
      <w:r>
        <w:rPr>
          <w:rFonts w:hint="eastAsia"/>
          <w:lang w:eastAsia="zh-CN"/>
        </w:rPr>
        <w:t>改革方案</w:t>
      </w:r>
      <w:r>
        <w:rPr>
          <w:rFonts w:hint="eastAsia"/>
        </w:rPr>
        <w:t>，强化对我省消费税税源的培育和管理，</w:t>
      </w:r>
      <w:r>
        <w:rPr>
          <w:rFonts w:hint="eastAsia"/>
          <w:lang w:eastAsia="zh-CN"/>
        </w:rPr>
        <w:t>依法</w:t>
      </w:r>
      <w:r>
        <w:rPr>
          <w:rFonts w:hint="eastAsia"/>
        </w:rPr>
        <w:t>做好消费税征收环节后移的地方配套政策储备。</w:t>
      </w:r>
      <w:r>
        <w:rPr>
          <w:rFonts w:hint="eastAsia"/>
          <w:lang w:eastAsia="zh-CN"/>
        </w:rPr>
        <w:t>落实</w:t>
      </w:r>
      <w:r>
        <w:rPr>
          <w:rFonts w:hint="eastAsia"/>
        </w:rPr>
        <w:t>所得税等直接税制度，通过税收减免政策，营造公平税收环境，提高低收入群体收入、扩大中等收入群体，激发社会消费活力。</w:t>
      </w:r>
    </w:p>
    <w:bookmarkEnd w:id="184"/>
    <w:p>
      <w:pPr>
        <w:pStyle w:val="4"/>
        <w:ind w:firstLine="640" w:firstLineChars="200"/>
        <w:rPr>
          <w:rFonts w:ascii="宋体" w:hAnsi="宋体"/>
          <w:color w:val="auto"/>
          <w:szCs w:val="32"/>
          <w:highlight w:val="none"/>
        </w:rPr>
      </w:pPr>
      <w:bookmarkStart w:id="195" w:name="_Toc10078"/>
      <w:bookmarkStart w:id="196" w:name="_Toc21107"/>
      <w:bookmarkStart w:id="197" w:name="_Toc12784"/>
      <w:bookmarkStart w:id="198" w:name="_Toc20812"/>
      <w:bookmarkStart w:id="199" w:name="_Toc15208"/>
      <w:bookmarkStart w:id="200" w:name="_Toc24404"/>
      <w:r>
        <w:rPr>
          <w:rFonts w:hint="eastAsia" w:ascii="宋体" w:hAnsi="宋体"/>
          <w:color w:val="auto"/>
          <w:szCs w:val="32"/>
          <w:highlight w:val="none"/>
          <w:lang w:eastAsia="zh-CN"/>
        </w:rPr>
        <w:t>七</w:t>
      </w:r>
      <w:r>
        <w:rPr>
          <w:rFonts w:hint="eastAsia" w:ascii="宋体" w:hAnsi="宋体"/>
          <w:color w:val="auto"/>
          <w:szCs w:val="32"/>
          <w:highlight w:val="none"/>
        </w:rPr>
        <w:t>、进一步加强政府债务管理</w:t>
      </w:r>
      <w:bookmarkEnd w:id="195"/>
      <w:bookmarkEnd w:id="196"/>
      <w:bookmarkEnd w:id="197"/>
      <w:bookmarkEnd w:id="198"/>
      <w:bookmarkEnd w:id="199"/>
      <w:bookmarkEnd w:id="200"/>
    </w:p>
    <w:p>
      <w:pPr>
        <w:rPr>
          <w:rFonts w:ascii="宋体" w:hAnsi="宋体" w:eastAsia="仿宋" w:cs="Times New Roman"/>
          <w:color w:val="auto"/>
          <w:kern w:val="2"/>
          <w:szCs w:val="24"/>
          <w:highlight w:val="none"/>
        </w:rPr>
      </w:pPr>
      <w:bookmarkStart w:id="201" w:name="_Toc27929"/>
      <w:bookmarkStart w:id="202" w:name="_Toc8080"/>
      <w:r>
        <w:rPr>
          <w:rFonts w:hint="eastAsia" w:ascii="宋体" w:hAnsi="宋体" w:cs="Times New Roman"/>
          <w:color w:val="auto"/>
          <w:highlight w:val="none"/>
        </w:rPr>
        <w:t>依法健全地方政府</w:t>
      </w:r>
      <w:r>
        <w:rPr>
          <w:rFonts w:hint="eastAsia" w:ascii="宋体" w:hAnsi="宋体" w:cs="Times New Roman"/>
          <w:color w:val="auto"/>
          <w:highlight w:val="none"/>
          <w:lang w:eastAsia="zh-CN"/>
        </w:rPr>
        <w:t>债务管理</w:t>
      </w:r>
      <w:r>
        <w:rPr>
          <w:rFonts w:hint="eastAsia" w:ascii="宋体" w:hAnsi="宋体" w:cs="Times New Roman"/>
          <w:color w:val="auto"/>
          <w:highlight w:val="none"/>
        </w:rPr>
        <w:t>机制，</w:t>
      </w:r>
      <w:r>
        <w:rPr>
          <w:rFonts w:hint="eastAsia" w:ascii="宋体" w:hAnsi="宋体" w:cs="Times New Roman"/>
          <w:color w:val="auto"/>
          <w:highlight w:val="none"/>
          <w:lang w:eastAsia="zh-CN"/>
        </w:rPr>
        <w:t>既</w:t>
      </w:r>
      <w:r>
        <w:rPr>
          <w:rFonts w:hint="eastAsia" w:ascii="宋体" w:hAnsi="宋体" w:cs="Times New Roman"/>
          <w:color w:val="auto"/>
          <w:highlight w:val="none"/>
        </w:rPr>
        <w:t>有效发挥</w:t>
      </w:r>
      <w:r>
        <w:rPr>
          <w:rFonts w:hint="eastAsia" w:ascii="宋体" w:hAnsi="宋体" w:cs="Times New Roman"/>
          <w:color w:val="auto"/>
          <w:highlight w:val="none"/>
          <w:lang w:eastAsia="zh-CN"/>
        </w:rPr>
        <w:t>举债融资拉动有效投资的</w:t>
      </w:r>
      <w:r>
        <w:rPr>
          <w:rFonts w:hint="eastAsia" w:ascii="宋体" w:hAnsi="宋体" w:cs="Times New Roman"/>
          <w:color w:val="auto"/>
          <w:highlight w:val="none"/>
        </w:rPr>
        <w:t>作用</w:t>
      </w:r>
      <w:r>
        <w:rPr>
          <w:rFonts w:hint="eastAsia" w:ascii="宋体" w:hAnsi="宋体" w:cs="Times New Roman"/>
          <w:color w:val="auto"/>
          <w:highlight w:val="none"/>
          <w:lang w:eastAsia="zh-CN"/>
        </w:rPr>
        <w:t>和效益</w:t>
      </w:r>
      <w:r>
        <w:rPr>
          <w:rFonts w:hint="eastAsia" w:ascii="宋体" w:hAnsi="宋体" w:cs="Times New Roman"/>
          <w:color w:val="auto"/>
          <w:highlight w:val="none"/>
        </w:rPr>
        <w:t>，</w:t>
      </w:r>
      <w:r>
        <w:rPr>
          <w:rFonts w:hint="eastAsia" w:ascii="宋体" w:hAnsi="宋体" w:cs="Times New Roman"/>
          <w:color w:val="auto"/>
          <w:highlight w:val="none"/>
          <w:lang w:eastAsia="zh-CN"/>
        </w:rPr>
        <w:t>又坚决</w:t>
      </w:r>
      <w:r>
        <w:rPr>
          <w:rFonts w:hint="eastAsia" w:ascii="宋体" w:hAnsi="宋体" w:cs="Times New Roman"/>
          <w:color w:val="auto"/>
          <w:highlight w:val="none"/>
        </w:rPr>
        <w:t>防范和化解</w:t>
      </w:r>
      <w:r>
        <w:rPr>
          <w:rFonts w:hint="eastAsia" w:ascii="宋体" w:hAnsi="宋体" w:cs="Times New Roman"/>
          <w:color w:val="auto"/>
          <w:highlight w:val="none"/>
          <w:lang w:eastAsia="zh-CN"/>
        </w:rPr>
        <w:t>地方政府债务</w:t>
      </w:r>
      <w:r>
        <w:rPr>
          <w:rFonts w:hint="eastAsia" w:ascii="宋体" w:hAnsi="宋体" w:cs="Times New Roman"/>
          <w:color w:val="auto"/>
          <w:highlight w:val="none"/>
        </w:rPr>
        <w:t>风险</w:t>
      </w:r>
      <w:r>
        <w:rPr>
          <w:rFonts w:hint="eastAsia" w:ascii="宋体" w:hAnsi="宋体" w:cs="Times New Roman"/>
          <w:color w:val="auto"/>
          <w:highlight w:val="none"/>
          <w:lang w:eastAsia="zh-CN"/>
        </w:rPr>
        <w:t>，增强财政可持续性</w:t>
      </w:r>
      <w:r>
        <w:rPr>
          <w:rFonts w:hint="eastAsia" w:ascii="宋体" w:hAnsi="宋体" w:cs="Times New Roman"/>
          <w:color w:val="auto"/>
          <w:highlight w:val="none"/>
        </w:rPr>
        <w:t>。</w:t>
      </w:r>
      <w:bookmarkEnd w:id="201"/>
    </w:p>
    <w:p>
      <w:pPr>
        <w:pStyle w:val="5"/>
        <w:bidi w:val="0"/>
        <w:rPr>
          <w:rFonts w:hint="eastAsia" w:ascii="宋体" w:hAnsi="宋体"/>
          <w:lang w:val="en-US" w:eastAsia="zh-CN"/>
        </w:rPr>
      </w:pPr>
      <w:bookmarkStart w:id="203" w:name="_Toc31125"/>
      <w:bookmarkStart w:id="204" w:name="_Toc16817"/>
      <w:bookmarkStart w:id="205" w:name="_Toc28353"/>
      <w:bookmarkStart w:id="206" w:name="_Toc12870"/>
      <w:bookmarkStart w:id="207" w:name="_Toc4273"/>
      <w:r>
        <w:rPr>
          <w:rFonts w:hint="eastAsia" w:ascii="宋体" w:hAnsi="宋体"/>
          <w:lang w:val="en-US" w:eastAsia="zh-CN"/>
        </w:rPr>
        <w:t>（一）健全地方政府依法适度举债机制</w:t>
      </w:r>
      <w:bookmarkEnd w:id="202"/>
      <w:bookmarkEnd w:id="203"/>
      <w:bookmarkEnd w:id="204"/>
      <w:bookmarkEnd w:id="205"/>
      <w:bookmarkEnd w:id="206"/>
      <w:bookmarkEnd w:id="207"/>
    </w:p>
    <w:p>
      <w:pPr>
        <w:bidi w:val="0"/>
        <w:rPr>
          <w:rFonts w:hint="eastAsia" w:ascii="宋体" w:hAnsi="宋体" w:eastAsia="仿宋" w:cs="Times New Roman"/>
          <w:color w:val="auto"/>
          <w:kern w:val="2"/>
          <w:sz w:val="32"/>
          <w:szCs w:val="32"/>
          <w:highlight w:val="none"/>
          <w:lang w:val="en-US" w:eastAsia="zh-CN" w:bidi="ar-SA"/>
        </w:rPr>
      </w:pPr>
      <w:bookmarkStart w:id="208" w:name="_Toc23307"/>
      <w:bookmarkStart w:id="209" w:name="_Toc18977"/>
      <w:bookmarkStart w:id="210" w:name="_Toc7017"/>
      <w:bookmarkStart w:id="211" w:name="_Toc19690"/>
      <w:bookmarkStart w:id="212" w:name="_Toc1670"/>
      <w:r>
        <w:rPr>
          <w:rStyle w:val="24"/>
          <w:rFonts w:hint="eastAsia" w:ascii="宋体" w:hAnsi="宋体"/>
        </w:rPr>
        <w:t>1.完善地方政府债务限额管理机制</w:t>
      </w:r>
      <w:bookmarkEnd w:id="208"/>
      <w:r>
        <w:rPr>
          <w:rStyle w:val="24"/>
          <w:rFonts w:hint="eastAsia" w:ascii="宋体" w:hAnsi="宋体"/>
        </w:rPr>
        <w:t>。</w:t>
      </w:r>
      <w:bookmarkEnd w:id="209"/>
      <w:bookmarkEnd w:id="210"/>
      <w:bookmarkEnd w:id="211"/>
      <w:bookmarkEnd w:id="212"/>
      <w:r>
        <w:rPr>
          <w:rFonts w:hint="eastAsia" w:ascii="宋体" w:hAnsi="宋体" w:eastAsia="仿宋" w:cs="Times New Roman"/>
          <w:color w:val="auto"/>
          <w:kern w:val="2"/>
          <w:sz w:val="32"/>
          <w:szCs w:val="32"/>
          <w:highlight w:val="none"/>
          <w:lang w:val="en-US" w:eastAsia="zh-CN" w:bidi="ar-SA"/>
        </w:rPr>
        <w:t>严格在国务院批准的限额内举借政府债务，并全部纳入预算管理。健全市县地方政府债务限额确定机制，坚持一般债务限额与一般公共预算收入相匹配，专项债务限额与政府性基金预算收入及项目收益相匹配，坚持举债规模与偿债能力相匹配，严格控制高风险市县新增债务限额。</w:t>
      </w:r>
    </w:p>
    <w:p>
      <w:pPr>
        <w:bidi w:val="0"/>
        <w:rPr>
          <w:rFonts w:ascii="宋体" w:hAnsi="宋体" w:cs="Times New Roman"/>
          <w:color w:val="auto"/>
          <w:highlight w:val="none"/>
        </w:rPr>
      </w:pPr>
      <w:bookmarkStart w:id="213" w:name="_Toc23220"/>
      <w:bookmarkStart w:id="214" w:name="_Toc18469"/>
      <w:bookmarkStart w:id="215" w:name="_Toc2862"/>
      <w:bookmarkStart w:id="216" w:name="_Toc1748"/>
      <w:bookmarkStart w:id="217" w:name="_Toc19781"/>
      <w:r>
        <w:rPr>
          <w:rStyle w:val="24"/>
          <w:rFonts w:hint="eastAsia"/>
        </w:rPr>
        <w:t>2.完善专项债券管理机制</w:t>
      </w:r>
      <w:bookmarkEnd w:id="213"/>
      <w:r>
        <w:rPr>
          <w:rStyle w:val="24"/>
          <w:rFonts w:hint="eastAsia"/>
        </w:rPr>
        <w:t>。</w:t>
      </w:r>
      <w:bookmarkEnd w:id="214"/>
      <w:bookmarkEnd w:id="215"/>
      <w:bookmarkEnd w:id="216"/>
      <w:bookmarkEnd w:id="217"/>
      <w:r>
        <w:rPr>
          <w:rFonts w:hint="eastAsia" w:ascii="宋体" w:hAnsi="宋体" w:cs="Times New Roman"/>
          <w:color w:val="auto"/>
          <w:highlight w:val="none"/>
        </w:rPr>
        <w:t>进一步完善地方政府专项债券项目需求申报协调机制</w:t>
      </w:r>
      <w:r>
        <w:rPr>
          <w:rFonts w:ascii="宋体" w:hAnsi="宋体" w:cs="Times New Roman"/>
          <w:color w:val="auto"/>
          <w:highlight w:val="none"/>
        </w:rPr>
        <w:t>,</w:t>
      </w:r>
      <w:r>
        <w:rPr>
          <w:rFonts w:hint="eastAsia" w:ascii="宋体" w:hAnsi="宋体" w:cs="Times New Roman"/>
          <w:color w:val="auto"/>
          <w:highlight w:val="none"/>
        </w:rPr>
        <w:t>加快建立专项债券项目</w:t>
      </w:r>
      <w:r>
        <w:rPr>
          <w:rFonts w:hint="eastAsia" w:ascii="宋体" w:hAnsi="宋体" w:cs="Times New Roman"/>
          <w:color w:val="auto"/>
          <w:highlight w:val="none"/>
          <w:lang w:eastAsia="zh-CN"/>
        </w:rPr>
        <w:t>储备制度，严格</w:t>
      </w:r>
      <w:r>
        <w:rPr>
          <w:rFonts w:hint="eastAsia" w:ascii="宋体" w:hAnsi="宋体" w:eastAsia="仿宋_GB2312" w:cs="仿宋_GB2312"/>
          <w:sz w:val="32"/>
          <w:szCs w:val="32"/>
          <w:highlight w:val="none"/>
          <w:lang w:val="en-US" w:eastAsia="zh-CN"/>
        </w:rPr>
        <w:t>用于有一定收益的政府公益性建设项目</w:t>
      </w:r>
      <w:r>
        <w:rPr>
          <w:rFonts w:hint="eastAsia" w:ascii="宋体" w:hAnsi="宋体" w:cs="Times New Roman"/>
          <w:color w:val="auto"/>
          <w:highlight w:val="none"/>
          <w:lang w:eastAsia="zh-CN"/>
        </w:rPr>
        <w:t>。</w:t>
      </w:r>
      <w:r>
        <w:rPr>
          <w:rFonts w:hint="eastAsia" w:ascii="宋体" w:hAnsi="宋体" w:cs="Times New Roman"/>
          <w:color w:val="auto"/>
          <w:highlight w:val="none"/>
        </w:rPr>
        <w:t>建立健全专项债券项目“借、用、还”全生命周期收支平衡机制，实现融资规模与项目收益平衡</w:t>
      </w:r>
      <w:r>
        <w:rPr>
          <w:rFonts w:hint="eastAsia" w:ascii="宋体" w:hAnsi="宋体" w:cs="Times New Roman"/>
          <w:color w:val="auto"/>
          <w:highlight w:val="none"/>
          <w:lang w:eastAsia="zh-CN"/>
        </w:rPr>
        <w:t>，</w:t>
      </w:r>
      <w:r>
        <w:rPr>
          <w:rFonts w:hint="eastAsia" w:ascii="宋体" w:hAnsi="宋体" w:eastAsia="仿宋_GB2312" w:cs="仿宋_GB2312"/>
          <w:sz w:val="32"/>
          <w:szCs w:val="32"/>
          <w:highlight w:val="none"/>
          <w:lang w:val="en-US" w:eastAsia="zh-CN"/>
        </w:rPr>
        <w:t>债券期限与项目周期相匹配，保障债券到期本息偿付。</w:t>
      </w:r>
      <w:r>
        <w:rPr>
          <w:rFonts w:hint="eastAsia" w:ascii="宋体" w:hAnsi="宋体" w:eastAsia="仿宋_GB2312" w:cs="仿宋_GB2312"/>
          <w:color w:val="auto"/>
          <w:kern w:val="2"/>
          <w:sz w:val="32"/>
          <w:szCs w:val="32"/>
          <w:highlight w:val="none"/>
          <w:lang w:val="en-US" w:eastAsia="zh-CN" w:bidi="ar-SA"/>
        </w:rPr>
        <w:t>建立地方政府专项债券项目穿透式监测管理机制，完善信息化手段，实现对专项债券项目全周期监管。</w:t>
      </w:r>
      <w:r>
        <w:rPr>
          <w:rFonts w:hint="eastAsia" w:ascii="宋体" w:hAnsi="宋体" w:cs="Times New Roman"/>
          <w:color w:val="auto"/>
          <w:highlight w:val="none"/>
        </w:rPr>
        <w:t>推进完善专项债券项目专业评审机制，严格专项债券项目评审发行管理。推进跨部门协调联动配合，实现项目信息互通，确保权责统一，信息资源对称。</w:t>
      </w:r>
    </w:p>
    <w:p>
      <w:pPr>
        <w:bidi w:val="0"/>
        <w:rPr>
          <w:rFonts w:ascii="宋体" w:hAnsi="宋体" w:cs="Times New Roman"/>
          <w:color w:val="auto"/>
          <w:highlight w:val="none"/>
        </w:rPr>
      </w:pPr>
      <w:bookmarkStart w:id="218" w:name="_Toc18329"/>
      <w:bookmarkStart w:id="219" w:name="_Toc7266"/>
      <w:bookmarkStart w:id="220" w:name="_Toc1067"/>
      <w:bookmarkStart w:id="221" w:name="_Toc4781"/>
      <w:bookmarkStart w:id="222" w:name="_Toc21667"/>
      <w:r>
        <w:rPr>
          <w:rStyle w:val="24"/>
          <w:rFonts w:hint="eastAsia" w:ascii="宋体" w:hAnsi="宋体"/>
        </w:rPr>
        <w:t>3.</w:t>
      </w:r>
      <w:r>
        <w:rPr>
          <w:rStyle w:val="24"/>
          <w:rFonts w:hint="eastAsia" w:ascii="宋体" w:hAnsi="宋体"/>
          <w:lang w:eastAsia="zh-CN"/>
        </w:rPr>
        <w:t>推进</w:t>
      </w:r>
      <w:r>
        <w:rPr>
          <w:rStyle w:val="24"/>
          <w:rFonts w:hint="eastAsia" w:ascii="宋体" w:hAnsi="宋体"/>
        </w:rPr>
        <w:t>地方政府专项债券</w:t>
      </w:r>
      <w:r>
        <w:rPr>
          <w:rStyle w:val="24"/>
          <w:rFonts w:hint="eastAsia" w:ascii="宋体" w:hAnsi="宋体"/>
          <w:lang w:eastAsia="zh-CN"/>
        </w:rPr>
        <w:t>项目</w:t>
      </w:r>
      <w:r>
        <w:rPr>
          <w:rStyle w:val="24"/>
          <w:rFonts w:hint="eastAsia" w:ascii="宋体" w:hAnsi="宋体"/>
        </w:rPr>
        <w:t>绩效管理</w:t>
      </w:r>
      <w:bookmarkEnd w:id="218"/>
      <w:r>
        <w:rPr>
          <w:rStyle w:val="24"/>
          <w:rFonts w:hint="eastAsia" w:ascii="宋体" w:hAnsi="宋体"/>
        </w:rPr>
        <w:t>。</w:t>
      </w:r>
      <w:bookmarkEnd w:id="219"/>
      <w:bookmarkEnd w:id="220"/>
      <w:bookmarkEnd w:id="221"/>
      <w:bookmarkEnd w:id="222"/>
      <w:r>
        <w:rPr>
          <w:rFonts w:hint="eastAsia" w:ascii="宋体" w:hAnsi="宋体" w:cs="Times New Roman"/>
          <w:color w:val="auto"/>
          <w:highlight w:val="none"/>
        </w:rPr>
        <w:t>持续加强地方政府专项债券项目绩效管理，</w:t>
      </w:r>
      <w:r>
        <w:rPr>
          <w:rFonts w:hint="eastAsia" w:ascii="宋体" w:hAnsi="宋体" w:cs="Times New Roman"/>
          <w:color w:val="auto"/>
          <w:highlight w:val="none"/>
          <w:lang w:eastAsia="zh-CN"/>
        </w:rPr>
        <w:t>在落实</w:t>
      </w:r>
      <w:r>
        <w:rPr>
          <w:rFonts w:hint="eastAsia" w:ascii="宋体" w:hAnsi="宋体" w:cs="Times New Roman"/>
          <w:color w:val="auto"/>
          <w:highlight w:val="none"/>
        </w:rPr>
        <w:t>有关管理措施和政策试点</w:t>
      </w:r>
      <w:r>
        <w:rPr>
          <w:rFonts w:hint="eastAsia" w:ascii="宋体" w:hAnsi="宋体" w:cs="Times New Roman"/>
          <w:color w:val="auto"/>
          <w:highlight w:val="none"/>
          <w:lang w:eastAsia="zh-CN"/>
        </w:rPr>
        <w:t>同时，</w:t>
      </w:r>
      <w:r>
        <w:rPr>
          <w:rFonts w:hint="eastAsia" w:ascii="宋体" w:hAnsi="宋体" w:cs="Times New Roman"/>
          <w:color w:val="auto"/>
          <w:highlight w:val="none"/>
        </w:rPr>
        <w:t>将</w:t>
      </w:r>
      <w:r>
        <w:rPr>
          <w:rFonts w:hint="eastAsia" w:ascii="宋体" w:hAnsi="宋体" w:cs="Times New Roman"/>
          <w:color w:val="auto"/>
          <w:highlight w:val="none"/>
          <w:lang w:eastAsia="zh-CN"/>
        </w:rPr>
        <w:t>各市县</w:t>
      </w:r>
      <w:r>
        <w:rPr>
          <w:rFonts w:hint="eastAsia" w:ascii="宋体" w:hAnsi="宋体" w:cs="Times New Roman"/>
          <w:color w:val="auto"/>
          <w:highlight w:val="none"/>
        </w:rPr>
        <w:t>专项债券项目绩效评价结果作为分配年度新增专项债务限额的重要因素，突出绩效评价结果的激励约束作用</w:t>
      </w:r>
      <w:r>
        <w:rPr>
          <w:rFonts w:hint="eastAsia" w:ascii="宋体" w:hAnsi="宋体" w:cs="Times New Roman"/>
          <w:color w:val="auto"/>
          <w:highlight w:val="none"/>
          <w:lang w:eastAsia="zh-CN"/>
        </w:rPr>
        <w:t>，</w:t>
      </w:r>
      <w:r>
        <w:rPr>
          <w:rFonts w:hint="eastAsia" w:ascii="宋体" w:hAnsi="宋体" w:cs="Times New Roman"/>
          <w:color w:val="auto"/>
          <w:highlight w:val="none"/>
        </w:rPr>
        <w:t>推动地方政府债务管理与绩效管理有效融合。</w:t>
      </w:r>
    </w:p>
    <w:p>
      <w:pPr>
        <w:bidi w:val="0"/>
        <w:rPr>
          <w:rFonts w:ascii="宋体" w:hAnsi="宋体" w:cs="Times New Roman"/>
          <w:color w:val="auto"/>
          <w:highlight w:val="none"/>
        </w:rPr>
      </w:pPr>
      <w:bookmarkStart w:id="223" w:name="_Toc30395"/>
      <w:bookmarkStart w:id="224" w:name="_Toc8903"/>
      <w:bookmarkStart w:id="225" w:name="_Toc1437"/>
      <w:bookmarkStart w:id="226" w:name="_Toc25266"/>
      <w:bookmarkStart w:id="227" w:name="_Toc7276"/>
      <w:r>
        <w:rPr>
          <w:rStyle w:val="24"/>
          <w:rFonts w:hint="eastAsia" w:ascii="宋体" w:hAnsi="宋体"/>
        </w:rPr>
        <w:t>4.健全地方政府债务信息公开及债券信息披露机制</w:t>
      </w:r>
      <w:bookmarkEnd w:id="223"/>
      <w:r>
        <w:rPr>
          <w:rStyle w:val="24"/>
          <w:rFonts w:hint="eastAsia" w:ascii="宋体" w:hAnsi="宋体"/>
        </w:rPr>
        <w:t>。</w:t>
      </w:r>
      <w:bookmarkEnd w:id="224"/>
      <w:bookmarkEnd w:id="225"/>
      <w:bookmarkEnd w:id="226"/>
      <w:bookmarkEnd w:id="227"/>
      <w:r>
        <w:rPr>
          <w:rFonts w:hint="eastAsia" w:ascii="宋体" w:hAnsi="宋体" w:cs="Times New Roman"/>
          <w:color w:val="auto"/>
          <w:highlight w:val="none"/>
        </w:rPr>
        <w:t>充分利用全国统一的地方政府债务信息公开平台，</w:t>
      </w:r>
      <w:r>
        <w:rPr>
          <w:rFonts w:hint="eastAsia" w:ascii="宋体" w:hAnsi="宋体" w:cs="Times New Roman"/>
          <w:color w:val="auto"/>
          <w:highlight w:val="none"/>
          <w:lang w:eastAsia="zh-CN"/>
        </w:rPr>
        <w:t>及时准确公开</w:t>
      </w:r>
      <w:r>
        <w:rPr>
          <w:rFonts w:hint="eastAsia" w:ascii="宋体" w:hAnsi="宋体" w:cs="Times New Roman"/>
          <w:color w:val="auto"/>
          <w:highlight w:val="none"/>
        </w:rPr>
        <w:t>地方政府债券存续期信息</w:t>
      </w:r>
      <w:r>
        <w:rPr>
          <w:rFonts w:hint="eastAsia" w:ascii="宋体" w:hAnsi="宋体" w:cs="Times New Roman"/>
          <w:color w:val="auto"/>
          <w:highlight w:val="none"/>
          <w:lang w:eastAsia="zh-CN"/>
        </w:rPr>
        <w:t>。</w:t>
      </w:r>
      <w:r>
        <w:rPr>
          <w:rFonts w:hint="eastAsia" w:ascii="宋体" w:hAnsi="宋体" w:cs="Times New Roman"/>
          <w:color w:val="auto"/>
          <w:highlight w:val="none"/>
        </w:rPr>
        <w:t>强化各级财政部门督导职责，严格落实各级债券资金使用部门责任，</w:t>
      </w:r>
      <w:r>
        <w:rPr>
          <w:rFonts w:hint="eastAsia" w:ascii="宋体" w:hAnsi="宋体" w:cs="Times New Roman"/>
          <w:color w:val="auto"/>
          <w:highlight w:val="none"/>
          <w:lang w:eastAsia="zh-CN"/>
        </w:rPr>
        <w:t>将信息披露</w:t>
      </w:r>
      <w:r>
        <w:rPr>
          <w:rFonts w:hint="eastAsia" w:ascii="宋体" w:hAnsi="宋体" w:cs="Times New Roman"/>
          <w:color w:val="auto"/>
          <w:highlight w:val="none"/>
        </w:rPr>
        <w:t>覆盖</w:t>
      </w:r>
      <w:r>
        <w:rPr>
          <w:rFonts w:hint="eastAsia" w:ascii="宋体" w:hAnsi="宋体" w:cs="Times New Roman"/>
          <w:color w:val="auto"/>
          <w:highlight w:val="none"/>
          <w:lang w:eastAsia="zh-CN"/>
        </w:rPr>
        <w:t>所有</w:t>
      </w:r>
      <w:r>
        <w:rPr>
          <w:rFonts w:hint="eastAsia" w:ascii="宋体" w:hAnsi="宋体" w:cs="Times New Roman"/>
          <w:color w:val="auto"/>
          <w:highlight w:val="none"/>
        </w:rPr>
        <w:t>债券参与主体和机构，</w:t>
      </w:r>
      <w:r>
        <w:rPr>
          <w:rFonts w:hint="eastAsia" w:ascii="宋体" w:hAnsi="宋体" w:cs="Times New Roman"/>
          <w:color w:val="auto"/>
          <w:highlight w:val="none"/>
          <w:lang w:eastAsia="zh-CN"/>
        </w:rPr>
        <w:t>贯通</w:t>
      </w:r>
      <w:r>
        <w:rPr>
          <w:rFonts w:hint="eastAsia" w:ascii="宋体" w:hAnsi="宋体" w:cs="Times New Roman"/>
          <w:color w:val="auto"/>
          <w:highlight w:val="none"/>
        </w:rPr>
        <w:t>地方政府债券管理全链条。</w:t>
      </w:r>
    </w:p>
    <w:p>
      <w:pPr>
        <w:bidi w:val="0"/>
      </w:pPr>
      <w:bookmarkStart w:id="228" w:name="_Toc7058"/>
      <w:bookmarkStart w:id="229" w:name="_Toc24485"/>
      <w:bookmarkStart w:id="230" w:name="_Toc3823"/>
      <w:bookmarkStart w:id="231" w:name="_Toc2180"/>
      <w:bookmarkStart w:id="232" w:name="_Toc16863"/>
      <w:r>
        <w:rPr>
          <w:rStyle w:val="24"/>
          <w:rFonts w:hint="eastAsia"/>
        </w:rPr>
        <w:t>5.完善地方政府债券发行机制</w:t>
      </w:r>
      <w:bookmarkEnd w:id="228"/>
      <w:r>
        <w:rPr>
          <w:rStyle w:val="24"/>
          <w:rFonts w:hint="eastAsia"/>
        </w:rPr>
        <w:t>。</w:t>
      </w:r>
      <w:bookmarkEnd w:id="229"/>
      <w:bookmarkEnd w:id="230"/>
      <w:bookmarkEnd w:id="231"/>
      <w:bookmarkEnd w:id="232"/>
      <w:r>
        <w:rPr>
          <w:rFonts w:hint="eastAsia"/>
        </w:rPr>
        <w:t>合理安排地方政府债券发行规模和节奏，逐步提升</w:t>
      </w:r>
      <w:r>
        <w:rPr>
          <w:rFonts w:hint="eastAsia"/>
          <w:lang w:eastAsia="zh-CN"/>
        </w:rPr>
        <w:t>债券</w:t>
      </w:r>
      <w:r>
        <w:rPr>
          <w:rFonts w:hint="eastAsia"/>
        </w:rPr>
        <w:t>发行规范化、市场化水平，拓宽发行渠道，丰富投资者结构，加强信息披露和信用评级，保障地方政府债券发行工作长期可持续开展。</w:t>
      </w:r>
    </w:p>
    <w:p>
      <w:pPr>
        <w:bidi w:val="0"/>
        <w:rPr>
          <w:rFonts w:ascii="宋体" w:hAnsi="宋体" w:cs="Times New Roman"/>
          <w:color w:val="auto"/>
          <w:highlight w:val="none"/>
        </w:rPr>
      </w:pPr>
      <w:bookmarkStart w:id="233" w:name="_Toc6985"/>
      <w:bookmarkStart w:id="234" w:name="_Toc1140"/>
      <w:bookmarkStart w:id="235" w:name="_Toc22466"/>
      <w:bookmarkStart w:id="236" w:name="_Toc17344"/>
      <w:bookmarkStart w:id="237" w:name="_Toc31156"/>
      <w:r>
        <w:rPr>
          <w:rStyle w:val="24"/>
          <w:rFonts w:hint="eastAsia" w:ascii="宋体" w:hAnsi="宋体"/>
        </w:rPr>
        <w:t>6.</w:t>
      </w:r>
      <w:r>
        <w:rPr>
          <w:rStyle w:val="24"/>
          <w:rFonts w:hint="eastAsia" w:ascii="宋体" w:hAnsi="宋体"/>
          <w:lang w:eastAsia="zh-CN"/>
        </w:rPr>
        <w:t>完善</w:t>
      </w:r>
      <w:r>
        <w:rPr>
          <w:rStyle w:val="24"/>
          <w:rFonts w:hint="eastAsia" w:ascii="宋体" w:hAnsi="宋体"/>
        </w:rPr>
        <w:t>债务风险</w:t>
      </w:r>
      <w:r>
        <w:rPr>
          <w:rStyle w:val="24"/>
          <w:rFonts w:hint="eastAsia" w:ascii="宋体" w:hAnsi="宋体"/>
          <w:lang w:eastAsia="zh-CN"/>
        </w:rPr>
        <w:t>评估</w:t>
      </w:r>
      <w:r>
        <w:rPr>
          <w:rStyle w:val="24"/>
          <w:rFonts w:hint="eastAsia" w:ascii="宋体" w:hAnsi="宋体"/>
        </w:rPr>
        <w:t>指标体系</w:t>
      </w:r>
      <w:bookmarkEnd w:id="233"/>
      <w:r>
        <w:rPr>
          <w:rStyle w:val="24"/>
          <w:rFonts w:hint="eastAsia" w:ascii="宋体" w:hAnsi="宋体"/>
        </w:rPr>
        <w:t>。</w:t>
      </w:r>
      <w:bookmarkEnd w:id="234"/>
      <w:bookmarkEnd w:id="235"/>
      <w:bookmarkEnd w:id="236"/>
      <w:bookmarkEnd w:id="237"/>
      <w:r>
        <w:rPr>
          <w:rFonts w:hint="eastAsia" w:ascii="宋体" w:hAnsi="宋体" w:cs="Times New Roman"/>
          <w:color w:val="auto"/>
          <w:highlight w:val="none"/>
          <w:lang w:eastAsia="zh-CN"/>
        </w:rPr>
        <w:t>完善</w:t>
      </w:r>
      <w:r>
        <w:rPr>
          <w:rFonts w:hint="eastAsia" w:ascii="宋体" w:hAnsi="宋体" w:cs="Times New Roman"/>
          <w:color w:val="auto"/>
          <w:highlight w:val="none"/>
        </w:rPr>
        <w:t>以债务率为主的政府债务风险评估指标体系，建立健全政府债务与项目资产、收益相对应的制度，综合评估政府偿债能力，加强风险评估预警结果应用，有效前移风险防控关口，依法落实到期法定债券偿还责任。</w:t>
      </w:r>
    </w:p>
    <w:p>
      <w:pPr>
        <w:pStyle w:val="5"/>
        <w:bidi w:val="0"/>
        <w:rPr>
          <w:rFonts w:hint="eastAsia" w:ascii="宋体" w:hAnsi="宋体"/>
          <w:lang w:val="en-US" w:eastAsia="zh-CN"/>
        </w:rPr>
      </w:pPr>
      <w:bookmarkStart w:id="238" w:name="_Toc30181"/>
      <w:bookmarkStart w:id="239" w:name="_Toc675"/>
      <w:bookmarkStart w:id="240" w:name="_Toc24211"/>
      <w:bookmarkStart w:id="241" w:name="_Toc30"/>
      <w:bookmarkStart w:id="242" w:name="_Toc12547"/>
      <w:bookmarkStart w:id="243" w:name="_Toc18100"/>
      <w:r>
        <w:rPr>
          <w:rFonts w:hint="eastAsia" w:ascii="宋体" w:hAnsi="宋体"/>
          <w:lang w:val="en-US" w:eastAsia="zh-CN"/>
        </w:rPr>
        <w:t>（二）发挥政府规范举债融资的积极作用</w:t>
      </w:r>
      <w:bookmarkEnd w:id="238"/>
      <w:bookmarkEnd w:id="239"/>
      <w:bookmarkEnd w:id="240"/>
      <w:bookmarkEnd w:id="241"/>
      <w:bookmarkEnd w:id="242"/>
      <w:bookmarkEnd w:id="243"/>
    </w:p>
    <w:p>
      <w:pPr>
        <w:bidi w:val="0"/>
        <w:rPr>
          <w:rFonts w:hint="eastAsia" w:ascii="宋体" w:hAnsi="宋体" w:eastAsia="仿宋" w:cs="Times New Roman"/>
          <w:color w:val="auto"/>
          <w:kern w:val="2"/>
          <w:sz w:val="32"/>
          <w:szCs w:val="32"/>
          <w:highlight w:val="none"/>
          <w:lang w:val="en-US" w:eastAsia="zh-CN" w:bidi="ar-SA"/>
        </w:rPr>
      </w:pPr>
      <w:bookmarkStart w:id="244" w:name="_Toc17797"/>
      <w:bookmarkStart w:id="245" w:name="_Toc16593"/>
      <w:bookmarkStart w:id="246" w:name="_Toc7974"/>
      <w:bookmarkStart w:id="247" w:name="_Toc6627"/>
      <w:bookmarkStart w:id="248" w:name="_Toc13847"/>
      <w:r>
        <w:rPr>
          <w:rStyle w:val="24"/>
          <w:rFonts w:hint="eastAsia" w:ascii="宋体" w:hAnsi="宋体"/>
        </w:rPr>
        <w:t>1.充分发挥地方政府债券资金稳投资、扩内需、补短板，拉动社会有效投资的积极作用</w:t>
      </w:r>
      <w:bookmarkEnd w:id="244"/>
      <w:r>
        <w:rPr>
          <w:rStyle w:val="24"/>
          <w:rFonts w:hint="eastAsia" w:ascii="宋体" w:hAnsi="宋体"/>
        </w:rPr>
        <w:t>。</w:t>
      </w:r>
      <w:bookmarkEnd w:id="245"/>
      <w:bookmarkEnd w:id="246"/>
      <w:bookmarkEnd w:id="247"/>
      <w:bookmarkEnd w:id="248"/>
      <w:r>
        <w:rPr>
          <w:rFonts w:hint="eastAsia" w:ascii="宋体" w:hAnsi="宋体" w:eastAsia="仿宋" w:cs="Times New Roman"/>
          <w:color w:val="auto"/>
          <w:kern w:val="2"/>
          <w:sz w:val="32"/>
          <w:szCs w:val="32"/>
          <w:highlight w:val="none"/>
          <w:lang w:val="en-US" w:eastAsia="zh-CN" w:bidi="ar-SA"/>
        </w:rPr>
        <w:t>按照“资金跟着项目走”的原则，对党中央、国务院确定的重点领域，以及省委省政府确定的重大项目继续予以有效支持，优先支持在建工程后续融资，加大对重点领域和薄弱环节的支持力度。合理扩大专项债券使用范围，探索研究具备专项债券发行使用条件的公益性项目。</w:t>
      </w:r>
    </w:p>
    <w:p>
      <w:pPr>
        <w:bidi w:val="0"/>
        <w:rPr>
          <w:rFonts w:ascii="宋体" w:hAnsi="宋体" w:cs="Times New Roman"/>
          <w:color w:val="auto"/>
          <w:highlight w:val="none"/>
        </w:rPr>
      </w:pPr>
      <w:bookmarkStart w:id="249" w:name="_Toc19650"/>
      <w:bookmarkStart w:id="250" w:name="_Toc11026"/>
      <w:bookmarkStart w:id="251" w:name="_Toc4876"/>
      <w:bookmarkStart w:id="252" w:name="_Toc507"/>
      <w:bookmarkStart w:id="253" w:name="_Toc23970"/>
      <w:r>
        <w:rPr>
          <w:rStyle w:val="24"/>
          <w:rFonts w:hint="eastAsia" w:ascii="宋体" w:hAnsi="宋体"/>
        </w:rPr>
        <w:t>2.进一步提高政府债券资金的使用效益</w:t>
      </w:r>
      <w:bookmarkEnd w:id="249"/>
      <w:r>
        <w:rPr>
          <w:rStyle w:val="24"/>
          <w:rFonts w:hint="eastAsia" w:ascii="宋体" w:hAnsi="宋体"/>
        </w:rPr>
        <w:t>。</w:t>
      </w:r>
      <w:bookmarkEnd w:id="250"/>
      <w:bookmarkEnd w:id="251"/>
      <w:bookmarkEnd w:id="252"/>
      <w:bookmarkEnd w:id="253"/>
      <w:r>
        <w:rPr>
          <w:rFonts w:hint="eastAsia" w:ascii="宋体" w:hAnsi="宋体" w:cs="Times New Roman"/>
          <w:color w:val="auto"/>
          <w:highlight w:val="none"/>
        </w:rPr>
        <w:t>督导市县做好项目前期准备工作，提高项目成熟度</w:t>
      </w:r>
      <w:r>
        <w:rPr>
          <w:rFonts w:hint="eastAsia" w:ascii="宋体" w:hAnsi="宋体" w:cs="Times New Roman"/>
          <w:color w:val="auto"/>
          <w:highlight w:val="none"/>
          <w:lang w:eastAsia="zh-CN"/>
        </w:rPr>
        <w:t>。</w:t>
      </w:r>
      <w:r>
        <w:rPr>
          <w:rFonts w:hint="eastAsia" w:ascii="宋体" w:hAnsi="宋体" w:cs="Times New Roman"/>
          <w:color w:val="auto"/>
          <w:highlight w:val="none"/>
        </w:rPr>
        <w:t>严格新增债券资金专户管理，确保债券资金直达项目</w:t>
      </w:r>
      <w:r>
        <w:rPr>
          <w:rFonts w:hint="eastAsia" w:ascii="宋体" w:hAnsi="宋体" w:cs="Times New Roman"/>
          <w:color w:val="auto"/>
          <w:highlight w:val="none"/>
          <w:lang w:eastAsia="zh-CN"/>
        </w:rPr>
        <w:t>。</w:t>
      </w:r>
      <w:r>
        <w:rPr>
          <w:rFonts w:hint="eastAsia" w:ascii="宋体" w:hAnsi="宋体" w:cs="Times New Roman"/>
          <w:color w:val="auto"/>
          <w:highlight w:val="none"/>
        </w:rPr>
        <w:t>加强债券资金通报力度，督导市县尽快将债券资金拨付使用到项目上。</w:t>
      </w:r>
    </w:p>
    <w:p>
      <w:pPr>
        <w:bidi w:val="0"/>
        <w:rPr>
          <w:rFonts w:ascii="宋体" w:hAnsi="宋体" w:cs="Times New Roman"/>
          <w:color w:val="auto"/>
          <w:highlight w:val="none"/>
        </w:rPr>
      </w:pPr>
      <w:bookmarkStart w:id="254" w:name="_Toc22351"/>
      <w:bookmarkStart w:id="255" w:name="_Toc16157"/>
      <w:bookmarkStart w:id="256" w:name="_Toc22127"/>
      <w:bookmarkStart w:id="257" w:name="_Toc6704"/>
      <w:bookmarkStart w:id="258" w:name="_Toc14441"/>
      <w:r>
        <w:rPr>
          <w:rStyle w:val="24"/>
          <w:rFonts w:hint="eastAsia" w:ascii="宋体" w:hAnsi="宋体"/>
        </w:rPr>
        <w:t>3.充分发挥专项债券资金的</w:t>
      </w:r>
      <w:bookmarkEnd w:id="254"/>
      <w:r>
        <w:rPr>
          <w:rStyle w:val="24"/>
          <w:rFonts w:hint="eastAsia" w:ascii="宋体" w:hAnsi="宋体"/>
          <w:lang w:eastAsia="zh-CN"/>
        </w:rPr>
        <w:t>拉动作用和协同效应</w:t>
      </w:r>
      <w:r>
        <w:rPr>
          <w:rStyle w:val="24"/>
          <w:rFonts w:hint="eastAsia" w:ascii="宋体" w:hAnsi="宋体"/>
        </w:rPr>
        <w:t>。</w:t>
      </w:r>
      <w:bookmarkEnd w:id="255"/>
      <w:bookmarkEnd w:id="256"/>
      <w:bookmarkEnd w:id="257"/>
      <w:bookmarkEnd w:id="258"/>
      <w:r>
        <w:rPr>
          <w:rFonts w:hint="eastAsia" w:ascii="宋体" w:hAnsi="宋体" w:cs="Times New Roman"/>
          <w:color w:val="auto"/>
          <w:highlight w:val="none"/>
        </w:rPr>
        <w:t>深入落实专项债券用作重大项目资本金政策，进一步发挥专项债券撬动作用，在国务院确定的领域内尽可能多安排用于项目资本金，吸引社会资金投入。</w:t>
      </w:r>
      <w:r>
        <w:rPr>
          <w:rFonts w:hint="eastAsia" w:ascii="宋体" w:hAnsi="宋体"/>
          <w:color w:val="000000"/>
          <w:sz w:val="30"/>
          <w:highlight w:val="none"/>
          <w:lang w:val="zh-CN"/>
        </w:rPr>
        <w:t>加强专项债券与中央预算内投资、政府性基金、其他财政专项资金等的政策协同</w:t>
      </w:r>
      <w:r>
        <w:rPr>
          <w:rFonts w:hint="eastAsia" w:ascii="宋体" w:hAnsi="宋体"/>
          <w:color w:val="000000"/>
          <w:sz w:val="30"/>
          <w:lang w:val="zh-CN"/>
        </w:rPr>
        <w:t>。</w:t>
      </w:r>
      <w:r>
        <w:rPr>
          <w:rFonts w:hint="eastAsia" w:ascii="宋体" w:hAnsi="宋体" w:cs="Times New Roman"/>
          <w:color w:val="auto"/>
          <w:highlight w:val="none"/>
        </w:rPr>
        <w:t>做好专项债券配套融资工作，积极引导金融机构对符合条件的专项债券项目提供配套融资支持。</w:t>
      </w:r>
    </w:p>
    <w:p>
      <w:pPr>
        <w:bidi w:val="0"/>
        <w:rPr>
          <w:rFonts w:ascii="宋体" w:hAnsi="宋体" w:cs="Times New Roman"/>
          <w:color w:val="auto"/>
          <w:highlight w:val="none"/>
        </w:rPr>
      </w:pPr>
      <w:bookmarkStart w:id="259" w:name="_Toc26374"/>
      <w:bookmarkStart w:id="260" w:name="_Toc12023"/>
      <w:bookmarkStart w:id="261" w:name="_Toc27660"/>
      <w:bookmarkStart w:id="262" w:name="_Toc8016"/>
      <w:bookmarkStart w:id="263" w:name="_Toc6932"/>
      <w:r>
        <w:rPr>
          <w:rStyle w:val="24"/>
          <w:rFonts w:hint="eastAsia" w:ascii="宋体" w:hAnsi="宋体"/>
        </w:rPr>
        <w:t>4.利用国际金融组织、外国政府贷款资金和智力资源服务经济社会发展</w:t>
      </w:r>
      <w:bookmarkEnd w:id="259"/>
      <w:r>
        <w:rPr>
          <w:rStyle w:val="24"/>
          <w:rFonts w:hint="eastAsia" w:ascii="宋体" w:hAnsi="宋体"/>
        </w:rPr>
        <w:t>。</w:t>
      </w:r>
      <w:bookmarkEnd w:id="260"/>
      <w:bookmarkEnd w:id="261"/>
      <w:bookmarkEnd w:id="262"/>
      <w:bookmarkEnd w:id="263"/>
      <w:r>
        <w:rPr>
          <w:rFonts w:hint="eastAsia" w:ascii="宋体" w:hAnsi="宋体" w:cs="Times New Roman"/>
          <w:color w:val="auto"/>
          <w:highlight w:val="none"/>
        </w:rPr>
        <w:t>在生态环保、城市可持续发展、社会民生改善等重点领域，积极组织谋划外债项目，提高项目附加值，注重项目创新示范作用。</w:t>
      </w:r>
      <w:r>
        <w:rPr>
          <w:rFonts w:hint="eastAsia" w:ascii="宋体" w:hAnsi="宋体" w:cs="Times New Roman"/>
          <w:color w:val="auto"/>
          <w:highlight w:val="none"/>
          <w:lang w:eastAsia="zh-CN"/>
        </w:rPr>
        <w:t>积极发挥国际金融组织和外</w:t>
      </w:r>
      <w:r>
        <w:rPr>
          <w:rFonts w:hint="eastAsia" w:ascii="宋体" w:hAnsi="宋体" w:cs="Times New Roman"/>
          <w:color w:val="auto"/>
          <w:sz w:val="32"/>
          <w:szCs w:val="32"/>
          <w:highlight w:val="none"/>
          <w:lang w:eastAsia="zh-CN"/>
        </w:rPr>
        <w:t>国政府</w:t>
      </w:r>
      <w:r>
        <w:rPr>
          <w:rFonts w:hint="eastAsia" w:ascii="宋体" w:hAnsi="宋体"/>
          <w:color w:val="000000"/>
          <w:sz w:val="32"/>
          <w:szCs w:val="32"/>
          <w:highlight w:val="none"/>
          <w:lang w:val="zh-CN"/>
        </w:rPr>
        <w:t>在减缓和适应气候变化领域的丰富经验和智力资源，促进实现</w:t>
      </w:r>
      <w:r>
        <w:rPr>
          <w:rFonts w:hint="eastAsia" w:ascii="宋体" w:hAnsi="宋体"/>
          <w:color w:val="000000"/>
          <w:sz w:val="32"/>
          <w:szCs w:val="32"/>
          <w:highlight w:val="none"/>
          <w:lang w:val="en-US" w:eastAsia="zh-CN"/>
        </w:rPr>
        <w:t>2030年</w:t>
      </w:r>
      <w:r>
        <w:rPr>
          <w:rFonts w:hint="eastAsia" w:ascii="宋体" w:hAnsi="宋体"/>
          <w:color w:val="000000"/>
          <w:sz w:val="32"/>
          <w:szCs w:val="32"/>
          <w:highlight w:val="none"/>
          <w:lang w:val="zh-CN"/>
        </w:rPr>
        <w:t>碳达峰和</w:t>
      </w:r>
      <w:r>
        <w:rPr>
          <w:rFonts w:hint="eastAsia" w:ascii="宋体" w:hAnsi="宋体"/>
          <w:color w:val="000000"/>
          <w:sz w:val="32"/>
          <w:szCs w:val="32"/>
          <w:highlight w:val="none"/>
          <w:lang w:val="en-US" w:eastAsia="zh-CN"/>
        </w:rPr>
        <w:t>2060年</w:t>
      </w:r>
      <w:r>
        <w:rPr>
          <w:rFonts w:hint="eastAsia" w:ascii="宋体" w:hAnsi="宋体"/>
          <w:color w:val="000000"/>
          <w:sz w:val="32"/>
          <w:szCs w:val="32"/>
          <w:highlight w:val="none"/>
          <w:lang w:val="zh-CN"/>
        </w:rPr>
        <w:t>碳中和的目标</w:t>
      </w:r>
      <w:r>
        <w:rPr>
          <w:rFonts w:hint="eastAsia" w:ascii="宋体" w:hAnsi="宋体"/>
          <w:color w:val="000000"/>
          <w:sz w:val="30"/>
          <w:highlight w:val="none"/>
          <w:lang w:val="zh-CN"/>
        </w:rPr>
        <w:t>。</w:t>
      </w:r>
    </w:p>
    <w:p>
      <w:pPr>
        <w:pStyle w:val="5"/>
        <w:bidi w:val="0"/>
        <w:rPr>
          <w:rFonts w:hint="eastAsia" w:ascii="宋体" w:hAnsi="宋体"/>
          <w:lang w:val="en-US" w:eastAsia="zh-CN"/>
        </w:rPr>
      </w:pPr>
      <w:bookmarkStart w:id="264" w:name="_Toc20551"/>
      <w:bookmarkStart w:id="265" w:name="_Toc1718"/>
      <w:bookmarkStart w:id="266" w:name="_Toc30555"/>
      <w:bookmarkStart w:id="267" w:name="_Toc5908"/>
      <w:bookmarkStart w:id="268" w:name="_Toc9420"/>
      <w:bookmarkStart w:id="269" w:name="_Toc6211"/>
      <w:r>
        <w:rPr>
          <w:rFonts w:hint="eastAsia" w:ascii="宋体" w:hAnsi="宋体"/>
          <w:lang w:val="en-US" w:eastAsia="zh-CN"/>
        </w:rPr>
        <w:t>（三）防范化解地方政府隐性债务风险</w:t>
      </w:r>
      <w:bookmarkEnd w:id="264"/>
      <w:bookmarkEnd w:id="265"/>
      <w:bookmarkEnd w:id="266"/>
      <w:bookmarkEnd w:id="267"/>
      <w:bookmarkEnd w:id="268"/>
      <w:bookmarkEnd w:id="269"/>
    </w:p>
    <w:p>
      <w:pPr>
        <w:bidi w:val="0"/>
        <w:rPr>
          <w:rFonts w:hint="eastAsia" w:ascii="宋体" w:hAnsi="宋体" w:eastAsia="仿宋" w:cs="Times New Roman"/>
          <w:color w:val="auto"/>
          <w:kern w:val="2"/>
          <w:sz w:val="32"/>
          <w:szCs w:val="32"/>
          <w:highlight w:val="none"/>
          <w:lang w:val="zh-CN" w:eastAsia="zh-CN" w:bidi="ar-SA"/>
        </w:rPr>
      </w:pPr>
      <w:bookmarkStart w:id="270" w:name="_Toc9959"/>
      <w:bookmarkStart w:id="271" w:name="_Toc22035"/>
      <w:bookmarkStart w:id="272" w:name="_Toc24766"/>
      <w:bookmarkStart w:id="273" w:name="OLE_LINK9"/>
      <w:r>
        <w:rPr>
          <w:rStyle w:val="24"/>
          <w:rFonts w:hint="eastAsia" w:ascii="宋体" w:hAnsi="宋体"/>
          <w:lang w:val="en-US" w:eastAsia="zh-CN"/>
        </w:rPr>
        <w:t>1.强化落实地方政府主体责任。</w:t>
      </w:r>
      <w:bookmarkEnd w:id="270"/>
      <w:bookmarkEnd w:id="271"/>
      <w:bookmarkEnd w:id="272"/>
      <w:r>
        <w:rPr>
          <w:rFonts w:hint="eastAsia" w:ascii="宋体" w:hAnsi="宋体" w:eastAsia="仿宋" w:cs="Times New Roman"/>
          <w:color w:val="auto"/>
          <w:kern w:val="2"/>
          <w:sz w:val="32"/>
          <w:szCs w:val="32"/>
          <w:highlight w:val="none"/>
          <w:lang w:val="zh-CN" w:eastAsia="zh-CN" w:bidi="ar-SA"/>
        </w:rPr>
        <w:t>深入贯彻落实党中央、国务院决策部署，把防范化解地方政府隐性债务风险作为重要的政治纪律和政治规矩，</w:t>
      </w:r>
      <w:r>
        <w:rPr>
          <w:rFonts w:hint="eastAsia" w:ascii="宋体" w:hAnsi="宋体" w:eastAsia="仿宋" w:cs="Times New Roman"/>
          <w:color w:val="auto"/>
          <w:kern w:val="2"/>
          <w:sz w:val="32"/>
          <w:szCs w:val="32"/>
          <w:highlight w:val="none"/>
          <w:lang w:val="en-US" w:eastAsia="zh-CN" w:bidi="ar-SA"/>
        </w:rPr>
        <w:t>把</w:t>
      </w:r>
      <w:r>
        <w:rPr>
          <w:rFonts w:hint="eastAsia" w:ascii="宋体" w:hAnsi="宋体" w:eastAsia="仿宋" w:cs="Times New Roman"/>
          <w:color w:val="auto"/>
          <w:kern w:val="2"/>
          <w:sz w:val="32"/>
          <w:szCs w:val="32"/>
          <w:highlight w:val="none"/>
          <w:lang w:val="zh-CN" w:eastAsia="zh-CN" w:bidi="ar-SA"/>
        </w:rPr>
        <w:t>各级党委、政府防范化解地方政府隐性债务风险的主体责任落实落细</w:t>
      </w:r>
      <w:r>
        <w:rPr>
          <w:rFonts w:hint="eastAsia" w:ascii="宋体" w:hAnsi="宋体" w:eastAsia="仿宋" w:cs="Times New Roman"/>
          <w:color w:val="auto"/>
          <w:kern w:val="2"/>
          <w:sz w:val="32"/>
          <w:szCs w:val="32"/>
          <w:highlight w:val="none"/>
          <w:lang w:val="en-US" w:eastAsia="zh-CN" w:bidi="ar-SA"/>
        </w:rPr>
        <w:t>。</w:t>
      </w:r>
    </w:p>
    <w:p>
      <w:pPr>
        <w:bidi w:val="0"/>
        <w:rPr>
          <w:rFonts w:hint="eastAsia" w:ascii="宋体" w:hAnsi="宋体" w:eastAsia="仿宋_GB2312" w:cs="仿宋_GB2312"/>
          <w:sz w:val="32"/>
          <w:szCs w:val="32"/>
          <w:lang w:eastAsia="zh-CN"/>
        </w:rPr>
      </w:pPr>
      <w:bookmarkStart w:id="274" w:name="_Toc11707"/>
      <w:bookmarkStart w:id="275" w:name="_Toc25381"/>
      <w:bookmarkStart w:id="276" w:name="_Toc19934"/>
      <w:r>
        <w:rPr>
          <w:rStyle w:val="24"/>
          <w:rFonts w:hint="eastAsia" w:ascii="宋体" w:hAnsi="宋体"/>
          <w:lang w:val="en-US" w:eastAsia="zh-CN"/>
        </w:rPr>
        <w:t>2.坚决遏制隐性债务增量。</w:t>
      </w:r>
      <w:bookmarkEnd w:id="273"/>
      <w:bookmarkEnd w:id="274"/>
      <w:bookmarkEnd w:id="275"/>
      <w:bookmarkEnd w:id="276"/>
      <w:r>
        <w:rPr>
          <w:rFonts w:hint="eastAsia" w:ascii="宋体" w:hAnsi="宋体" w:eastAsia="仿宋" w:cs="Times New Roman"/>
          <w:color w:val="auto"/>
          <w:kern w:val="2"/>
          <w:sz w:val="32"/>
          <w:szCs w:val="32"/>
          <w:highlight w:val="none"/>
          <w:lang w:val="en-US" w:eastAsia="zh-CN" w:bidi="ar-SA"/>
        </w:rPr>
        <w:t>持续通报国家关于新增隐性债务问题典型案例，发挥警示作用，查找问题隐患，树立红线意识，决不允许新增隐性债务上新项目、铺新摊子。加强对各地各部门隐性债务变动情况的统计监测，对新增隐性债务苗头性问题，采取约谈、函询等措施督导其及时纠正。对收到的新增隐性债务问题线索、审计等监管部门检查发现的新增隐性债务行为，及时核实认定，查处问责。</w:t>
      </w:r>
    </w:p>
    <w:p>
      <w:pPr>
        <w:bidi w:val="0"/>
        <w:rPr>
          <w:rFonts w:hint="eastAsia" w:ascii="宋体" w:hAnsi="宋体" w:eastAsia="仿宋" w:cs="Times New Roman"/>
          <w:color w:val="auto"/>
          <w:kern w:val="2"/>
          <w:sz w:val="32"/>
          <w:szCs w:val="32"/>
          <w:highlight w:val="none"/>
          <w:lang w:val="en-US" w:eastAsia="zh-CN" w:bidi="ar-SA"/>
        </w:rPr>
      </w:pPr>
      <w:bookmarkStart w:id="277" w:name="_Toc31541"/>
      <w:bookmarkStart w:id="278" w:name="_Toc26348"/>
      <w:bookmarkStart w:id="279" w:name="_Toc24278"/>
      <w:r>
        <w:rPr>
          <w:rStyle w:val="24"/>
          <w:rFonts w:hint="eastAsia" w:ascii="宋体" w:hAnsi="宋体"/>
          <w:lang w:val="en-US" w:eastAsia="zh-CN"/>
        </w:rPr>
        <w:t>3.积极稳妥化解隐性债务存量。</w:t>
      </w:r>
      <w:bookmarkEnd w:id="277"/>
      <w:bookmarkEnd w:id="278"/>
      <w:bookmarkEnd w:id="279"/>
      <w:r>
        <w:rPr>
          <w:rFonts w:hint="eastAsia" w:ascii="宋体" w:hAnsi="宋体" w:eastAsia="仿宋" w:cs="Times New Roman"/>
          <w:color w:val="auto"/>
          <w:kern w:val="2"/>
          <w:sz w:val="32"/>
          <w:szCs w:val="32"/>
          <w:highlight w:val="none"/>
          <w:lang w:val="en-US" w:eastAsia="zh-CN" w:bidi="ar-SA"/>
        </w:rPr>
        <w:t>坚持实行化债计划管理，明确化解目标，落实化债责任，编制化债台帐，定期通报化债任务完成情况，督导各地各部门有序完成全省化债任务。</w:t>
      </w:r>
      <w:r>
        <w:rPr>
          <w:rFonts w:hint="eastAsia" w:cs="Times New Roman"/>
          <w:color w:val="auto"/>
          <w:kern w:val="2"/>
          <w:sz w:val="32"/>
          <w:szCs w:val="32"/>
          <w:highlight w:val="none"/>
          <w:lang w:val="en-US" w:eastAsia="zh-CN" w:bidi="ar-SA"/>
        </w:rPr>
        <w:t>积极争取国家政策支持，</w:t>
      </w:r>
      <w:r>
        <w:rPr>
          <w:rFonts w:hint="eastAsia" w:ascii="宋体" w:hAnsi="宋体" w:eastAsia="仿宋" w:cs="Times New Roman"/>
          <w:color w:val="auto"/>
          <w:kern w:val="2"/>
          <w:sz w:val="32"/>
          <w:szCs w:val="32"/>
          <w:highlight w:val="none"/>
          <w:lang w:val="en-US" w:eastAsia="zh-CN" w:bidi="ar-SA"/>
        </w:rPr>
        <w:t>缓解高风险市本级偿债压力。</w:t>
      </w:r>
    </w:p>
    <w:p>
      <w:pPr>
        <w:bidi w:val="0"/>
        <w:rPr>
          <w:rFonts w:ascii="宋体" w:hAnsi="宋体"/>
          <w:color w:val="auto"/>
          <w:highlight w:val="none"/>
        </w:rPr>
      </w:pPr>
      <w:bookmarkStart w:id="280" w:name="_Toc25683"/>
      <w:bookmarkStart w:id="281" w:name="_Toc26192"/>
      <w:bookmarkStart w:id="282" w:name="_Toc32525"/>
      <w:r>
        <w:rPr>
          <w:rStyle w:val="24"/>
          <w:rFonts w:hint="eastAsia" w:ascii="宋体" w:hAnsi="宋体"/>
          <w:lang w:val="en-US" w:eastAsia="zh-CN"/>
        </w:rPr>
        <w:t>4.做好债务风险突发事件应对工作。</w:t>
      </w:r>
      <w:bookmarkEnd w:id="280"/>
      <w:bookmarkEnd w:id="281"/>
      <w:bookmarkEnd w:id="282"/>
      <w:r>
        <w:rPr>
          <w:rFonts w:hint="eastAsia" w:ascii="宋体" w:hAnsi="宋体" w:eastAsia="仿宋" w:cs="Times New Roman"/>
          <w:color w:val="auto"/>
          <w:kern w:val="2"/>
          <w:sz w:val="32"/>
          <w:szCs w:val="32"/>
          <w:highlight w:val="none"/>
          <w:lang w:val="en-US" w:eastAsia="zh-CN" w:bidi="ar-SA"/>
        </w:rPr>
        <w:t>持续做好预期，加强监控，完善预案，强化预警，定期测算并通报各级党委政府隐性债务风险指标和风险等级，定期督导加强隐性债务监测核查。对于可能发生的重大风险事件，第一时间向省委省政府报告，并采取有效措施及时处置，牢牢守住不发生区域性系统性风险的底线。</w:t>
      </w:r>
    </w:p>
    <w:p>
      <w:pPr>
        <w:pStyle w:val="4"/>
        <w:ind w:firstLine="640" w:firstLineChars="200"/>
        <w:rPr>
          <w:rFonts w:ascii="宋体" w:hAnsi="宋体"/>
          <w:color w:val="auto"/>
          <w:szCs w:val="32"/>
          <w:highlight w:val="none"/>
        </w:rPr>
      </w:pPr>
      <w:bookmarkStart w:id="283" w:name="_Toc21335"/>
      <w:bookmarkStart w:id="284" w:name="_Toc5742"/>
      <w:bookmarkStart w:id="285" w:name="_Toc7931"/>
      <w:bookmarkStart w:id="286" w:name="_Toc27932"/>
      <w:bookmarkStart w:id="287" w:name="_Toc16920"/>
      <w:bookmarkStart w:id="288" w:name="_Toc3594"/>
      <w:r>
        <w:rPr>
          <w:rFonts w:hint="eastAsia" w:ascii="宋体" w:hAnsi="宋体"/>
          <w:color w:val="auto"/>
          <w:szCs w:val="32"/>
          <w:highlight w:val="none"/>
          <w:lang w:eastAsia="zh-CN"/>
        </w:rPr>
        <w:t>八</w:t>
      </w:r>
      <w:r>
        <w:rPr>
          <w:rFonts w:hint="eastAsia" w:ascii="宋体" w:hAnsi="宋体"/>
          <w:color w:val="auto"/>
          <w:szCs w:val="32"/>
          <w:highlight w:val="none"/>
        </w:rPr>
        <w:t>、不断提升财政治理效能</w:t>
      </w:r>
      <w:bookmarkEnd w:id="283"/>
      <w:bookmarkEnd w:id="284"/>
      <w:bookmarkEnd w:id="285"/>
      <w:bookmarkEnd w:id="286"/>
      <w:bookmarkEnd w:id="287"/>
      <w:bookmarkEnd w:id="288"/>
    </w:p>
    <w:p>
      <w:pPr>
        <w:rPr>
          <w:rFonts w:ascii="宋体" w:hAnsi="宋体"/>
          <w:color w:val="auto"/>
          <w:highlight w:val="none"/>
        </w:rPr>
      </w:pPr>
      <w:bookmarkStart w:id="289" w:name="_Toc4049"/>
      <w:r>
        <w:rPr>
          <w:rFonts w:hint="eastAsia" w:ascii="宋体" w:hAnsi="宋体"/>
          <w:color w:val="auto"/>
          <w:highlight w:val="none"/>
        </w:rPr>
        <w:t>加快推进财政治理体系和治理能力现代化，多措并举提升财政治理效能，不断加强财政法治建设、国有资产管理、国库管理、政府采购、财会监督、会计管理、财政信息化建设等工作，为实现财政运行更加高效、财政管理更加规范、服务经济社会更加有力提供基础性支撑。</w:t>
      </w:r>
    </w:p>
    <w:bookmarkEnd w:id="289"/>
    <w:p>
      <w:pPr>
        <w:pStyle w:val="5"/>
        <w:bidi w:val="0"/>
        <w:rPr>
          <w:rFonts w:ascii="宋体" w:hAnsi="宋体"/>
          <w:lang w:val="en-US" w:eastAsia="zh-CN"/>
        </w:rPr>
      </w:pPr>
      <w:bookmarkStart w:id="290" w:name="_Toc25008"/>
      <w:bookmarkStart w:id="291" w:name="_Toc4452"/>
      <w:bookmarkStart w:id="292" w:name="_Toc20013"/>
      <w:bookmarkStart w:id="293" w:name="_Toc28318"/>
      <w:bookmarkStart w:id="294" w:name="_Toc5285"/>
      <w:r>
        <w:rPr>
          <w:rFonts w:hint="eastAsia" w:ascii="宋体" w:hAnsi="宋体"/>
          <w:lang w:val="en-US" w:eastAsia="zh-CN"/>
        </w:rPr>
        <w:t>（一）加强财政法治工作</w:t>
      </w:r>
      <w:bookmarkEnd w:id="290"/>
      <w:bookmarkEnd w:id="291"/>
      <w:bookmarkEnd w:id="292"/>
      <w:bookmarkEnd w:id="293"/>
      <w:bookmarkEnd w:id="294"/>
    </w:p>
    <w:p>
      <w:pPr>
        <w:ind w:firstLine="643"/>
        <w:rPr>
          <w:rFonts w:ascii="宋体" w:hAnsi="宋体" w:cs="Times New Roman"/>
          <w:color w:val="auto"/>
          <w:highlight w:val="none"/>
        </w:rPr>
      </w:pPr>
      <w:bookmarkStart w:id="295" w:name="_Toc7809"/>
      <w:bookmarkStart w:id="296" w:name="_Toc7363"/>
      <w:bookmarkStart w:id="297" w:name="_Toc31529"/>
      <w:bookmarkStart w:id="298" w:name="_Toc31698"/>
      <w:bookmarkStart w:id="299" w:name="_Toc8644"/>
      <w:r>
        <w:rPr>
          <w:rStyle w:val="24"/>
          <w:rFonts w:hint="eastAsia" w:ascii="宋体" w:hAnsi="宋体"/>
        </w:rPr>
        <w:t>1.提高财政</w:t>
      </w:r>
      <w:r>
        <w:rPr>
          <w:rStyle w:val="24"/>
          <w:rFonts w:hint="eastAsia" w:ascii="宋体" w:hAnsi="宋体"/>
          <w:lang w:eastAsia="zh-CN"/>
        </w:rPr>
        <w:t>法律</w:t>
      </w:r>
      <w:r>
        <w:rPr>
          <w:rStyle w:val="24"/>
          <w:rFonts w:hint="eastAsia" w:ascii="宋体" w:hAnsi="宋体"/>
        </w:rPr>
        <w:t>制度建设水平</w:t>
      </w:r>
      <w:bookmarkEnd w:id="295"/>
      <w:r>
        <w:rPr>
          <w:rStyle w:val="24"/>
          <w:rFonts w:hint="eastAsia" w:ascii="宋体" w:hAnsi="宋体"/>
        </w:rPr>
        <w:t>。</w:t>
      </w:r>
      <w:bookmarkEnd w:id="296"/>
      <w:bookmarkEnd w:id="297"/>
      <w:bookmarkEnd w:id="298"/>
      <w:bookmarkEnd w:id="299"/>
      <w:r>
        <w:rPr>
          <w:rFonts w:hint="eastAsia" w:ascii="宋体" w:hAnsi="宋体" w:cs="Times New Roman"/>
          <w:color w:val="auto"/>
          <w:highlight w:val="none"/>
        </w:rPr>
        <w:t>制</w:t>
      </w:r>
      <w:r>
        <w:rPr>
          <w:rFonts w:hint="eastAsia" w:ascii="宋体" w:hAnsi="宋体" w:cs="Times New Roman"/>
          <w:color w:val="auto"/>
          <w:highlight w:val="none"/>
          <w:lang w:eastAsia="zh-CN"/>
        </w:rPr>
        <w:t>定</w:t>
      </w:r>
      <w:r>
        <w:rPr>
          <w:rFonts w:hint="eastAsia" w:ascii="宋体" w:hAnsi="宋体" w:cs="Times New Roman"/>
          <w:color w:val="auto"/>
          <w:highlight w:val="none"/>
        </w:rPr>
        <w:t>财政立法计划，严格履行程序，科学论证，加强我省地方性财政法规、规章建设。建立财政公平竞争审查机制，促进财政资金使用公平、透明、规范。完善规范性文件审核备案制度，确保我省出台的财政政策措施程序完备、内容合法。推进全省财政法律顾问和公职律师制度建设，发挥专职律师和公职律师作用，规避法律风险。全面推进财政行政执法工作，积极落实财政行政执法三项制度，依托政府执法信息平台，规范财政行政执法行为。</w:t>
      </w:r>
    </w:p>
    <w:p>
      <w:pPr>
        <w:ind w:firstLine="643"/>
        <w:rPr>
          <w:rFonts w:ascii="宋体" w:hAnsi="宋体" w:cs="Times New Roman"/>
          <w:color w:val="auto"/>
          <w:highlight w:val="none"/>
        </w:rPr>
      </w:pPr>
      <w:bookmarkStart w:id="300" w:name="_Toc9909"/>
      <w:bookmarkStart w:id="301" w:name="_Toc18594"/>
      <w:bookmarkStart w:id="302" w:name="_Toc31496"/>
      <w:bookmarkStart w:id="303" w:name="_Toc11939"/>
      <w:bookmarkStart w:id="304" w:name="_Toc17228"/>
      <w:r>
        <w:rPr>
          <w:rStyle w:val="24"/>
          <w:rFonts w:hint="eastAsia" w:ascii="宋体" w:hAnsi="宋体"/>
        </w:rPr>
        <w:t>2.推进法治宣传教育</w:t>
      </w:r>
      <w:bookmarkEnd w:id="300"/>
      <w:r>
        <w:rPr>
          <w:rStyle w:val="24"/>
          <w:rFonts w:hint="eastAsia" w:ascii="宋体" w:hAnsi="宋体"/>
        </w:rPr>
        <w:t>。</w:t>
      </w:r>
      <w:bookmarkEnd w:id="301"/>
      <w:bookmarkEnd w:id="302"/>
      <w:bookmarkEnd w:id="303"/>
      <w:bookmarkEnd w:id="304"/>
      <w:r>
        <w:rPr>
          <w:rFonts w:hint="eastAsia" w:ascii="宋体" w:hAnsi="宋体" w:cs="Times New Roman"/>
          <w:color w:val="auto"/>
          <w:highlight w:val="none"/>
        </w:rPr>
        <w:t>坚持以宪法学习宣传为核心，落实“谁执法谁普法”责任制，围绕新出台、新修订的预算、会计、资产管理等财税法律法规，举办法治宣传教育活动。加强财政执法、财政管理案例梳理，通过“以案释法”、法治讲堂、庭审旁听、研讨座谈等形式，提高财政干部的法律意识和依法行政能力。建立普法交流平台，创新普法活动载体，实现财政普法跨区域联合常态化，健全考核评价制度，开展中期督导、期末验收等阶段性考核，加强考核结果的运用，着力打造“四个流动”工程，开创“八五”财政普法新局面。</w:t>
      </w:r>
    </w:p>
    <w:p>
      <w:pPr>
        <w:ind w:firstLine="643"/>
        <w:rPr>
          <w:rFonts w:ascii="宋体" w:hAnsi="宋体" w:cs="Times New Roman"/>
          <w:color w:val="auto"/>
          <w:highlight w:val="none"/>
        </w:rPr>
      </w:pPr>
      <w:bookmarkStart w:id="305" w:name="_Toc19974"/>
      <w:bookmarkStart w:id="306" w:name="_Toc23816"/>
      <w:bookmarkStart w:id="307" w:name="_Toc2728"/>
      <w:bookmarkStart w:id="308" w:name="_Toc6810"/>
      <w:bookmarkStart w:id="309" w:name="_Toc9069"/>
      <w:bookmarkStart w:id="310" w:name="_Toc26428"/>
      <w:r>
        <w:rPr>
          <w:rStyle w:val="24"/>
          <w:rFonts w:hint="eastAsia" w:ascii="宋体" w:hAnsi="宋体"/>
        </w:rPr>
        <w:t>3.全面推进财政政务公开</w:t>
      </w:r>
      <w:bookmarkEnd w:id="305"/>
      <w:r>
        <w:rPr>
          <w:rStyle w:val="24"/>
          <w:rFonts w:hint="eastAsia" w:ascii="宋体" w:hAnsi="宋体"/>
        </w:rPr>
        <w:t>。</w:t>
      </w:r>
      <w:bookmarkEnd w:id="306"/>
      <w:bookmarkEnd w:id="307"/>
      <w:bookmarkEnd w:id="308"/>
      <w:bookmarkEnd w:id="309"/>
      <w:r>
        <w:rPr>
          <w:rFonts w:hint="eastAsia" w:ascii="宋体" w:hAnsi="宋体" w:cs="Times New Roman"/>
          <w:color w:val="auto"/>
          <w:highlight w:val="none"/>
        </w:rPr>
        <w:t>大力推进财政政策公开，扩展预算公开的范围与内容，按支出经济分类公开政府预决算和部门预决算并细化公开内容，依法依规向社会公开转移支付资金管理办法、项目预算安排等信息。建立民生项目信息公示制度，推行“互联网+政务”，不断扩大公众参与。</w:t>
      </w:r>
    </w:p>
    <w:p>
      <w:pPr>
        <w:pStyle w:val="5"/>
        <w:bidi w:val="0"/>
        <w:rPr>
          <w:rFonts w:ascii="宋体" w:hAnsi="宋体"/>
          <w:lang w:val="en-US" w:eastAsia="zh-CN"/>
        </w:rPr>
      </w:pPr>
      <w:bookmarkStart w:id="311" w:name="_Toc3625"/>
      <w:bookmarkStart w:id="312" w:name="_Toc19305"/>
      <w:bookmarkStart w:id="313" w:name="_Toc16075"/>
      <w:bookmarkStart w:id="314" w:name="_Toc20081"/>
      <w:bookmarkStart w:id="315" w:name="_Toc24205"/>
      <w:r>
        <w:rPr>
          <w:rFonts w:hint="eastAsia" w:ascii="宋体" w:hAnsi="宋体"/>
          <w:lang w:val="en-US" w:eastAsia="zh-CN"/>
        </w:rPr>
        <w:t>（二）强化国有资产管理工作</w:t>
      </w:r>
      <w:bookmarkEnd w:id="310"/>
      <w:bookmarkEnd w:id="311"/>
      <w:bookmarkEnd w:id="312"/>
      <w:bookmarkEnd w:id="313"/>
      <w:bookmarkEnd w:id="314"/>
      <w:bookmarkEnd w:id="315"/>
    </w:p>
    <w:p>
      <w:pPr>
        <w:ind w:firstLine="643"/>
        <w:rPr>
          <w:rFonts w:ascii="宋体" w:hAnsi="宋体" w:cs="Times New Roman"/>
          <w:color w:val="auto"/>
          <w:highlight w:val="none"/>
        </w:rPr>
      </w:pPr>
      <w:bookmarkStart w:id="316" w:name="_Toc30832"/>
      <w:bookmarkStart w:id="317" w:name="_Toc18850"/>
      <w:bookmarkStart w:id="318" w:name="_Toc7706"/>
      <w:bookmarkStart w:id="319" w:name="_Toc27364"/>
      <w:bookmarkStart w:id="320" w:name="_Toc23449"/>
      <w:r>
        <w:rPr>
          <w:rStyle w:val="24"/>
          <w:rFonts w:hint="eastAsia" w:ascii="宋体" w:hAnsi="宋体"/>
        </w:rPr>
        <w:t>1.</w:t>
      </w:r>
      <w:r>
        <w:rPr>
          <w:rStyle w:val="24"/>
          <w:rFonts w:hint="eastAsia"/>
          <w:lang w:eastAsia="zh-CN"/>
        </w:rPr>
        <w:t>全面落实</w:t>
      </w:r>
      <w:r>
        <w:rPr>
          <w:rStyle w:val="24"/>
          <w:rFonts w:hint="eastAsia" w:ascii="宋体" w:hAnsi="宋体"/>
        </w:rPr>
        <w:t>国有资产报告制度</w:t>
      </w:r>
      <w:bookmarkEnd w:id="316"/>
      <w:r>
        <w:rPr>
          <w:rStyle w:val="24"/>
          <w:rFonts w:hint="eastAsia" w:ascii="宋体" w:hAnsi="宋体"/>
        </w:rPr>
        <w:t>。</w:t>
      </w:r>
      <w:bookmarkEnd w:id="317"/>
      <w:bookmarkEnd w:id="318"/>
      <w:bookmarkEnd w:id="319"/>
      <w:bookmarkEnd w:id="320"/>
      <w:r>
        <w:rPr>
          <w:rFonts w:hint="eastAsia" w:ascii="宋体" w:hAnsi="宋体" w:cs="Times New Roman"/>
          <w:color w:val="auto"/>
          <w:highlight w:val="none"/>
        </w:rPr>
        <w:t>规范国有资产管理情况报告制度，健全完善国有资产管理体制机制</w:t>
      </w:r>
      <w:r>
        <w:rPr>
          <w:rFonts w:hint="eastAsia" w:ascii="宋体" w:hAnsi="宋体" w:cs="Times New Roman"/>
          <w:color w:val="auto"/>
          <w:highlight w:val="none"/>
          <w:lang w:eastAsia="zh-CN"/>
        </w:rPr>
        <w:t>，</w:t>
      </w:r>
      <w:r>
        <w:rPr>
          <w:rFonts w:hint="eastAsia" w:ascii="宋体" w:hAnsi="宋体" w:cs="Times New Roman"/>
          <w:color w:val="auto"/>
          <w:highlight w:val="none"/>
        </w:rPr>
        <w:t>稳步推进国有资产报告基础工作规范化、程序化。建立国有资产报告协调机制，推进省级“横向协作”，深化市县“纵向联动”</w:t>
      </w:r>
      <w:r>
        <w:rPr>
          <w:rFonts w:hint="eastAsia" w:ascii="宋体" w:hAnsi="宋体" w:cs="Times New Roman"/>
          <w:color w:val="auto"/>
          <w:highlight w:val="none"/>
          <w:lang w:eastAsia="zh-CN"/>
        </w:rPr>
        <w:t>。</w:t>
      </w:r>
      <w:r>
        <w:rPr>
          <w:rFonts w:hint="eastAsia" w:ascii="宋体" w:hAnsi="宋体" w:cs="Times New Roman"/>
          <w:color w:val="auto"/>
          <w:highlight w:val="none"/>
        </w:rPr>
        <w:t>构建国有资产报告报表制度体系，基本实现报告范围全口径、全覆盖，分类</w:t>
      </w:r>
      <w:r>
        <w:rPr>
          <w:rFonts w:hint="eastAsia" w:ascii="宋体" w:hAnsi="宋体" w:cs="Times New Roman"/>
          <w:color w:val="auto"/>
          <w:highlight w:val="none"/>
          <w:lang w:eastAsia="zh-CN"/>
        </w:rPr>
        <w:t>和</w:t>
      </w:r>
      <w:r>
        <w:rPr>
          <w:rFonts w:hint="eastAsia" w:ascii="宋体" w:hAnsi="宋体" w:cs="Times New Roman"/>
          <w:color w:val="auto"/>
          <w:highlight w:val="none"/>
        </w:rPr>
        <w:t>标准明确规范</w:t>
      </w:r>
      <w:r>
        <w:rPr>
          <w:rFonts w:hint="eastAsia" w:ascii="宋体" w:hAnsi="宋体" w:cs="Times New Roman"/>
          <w:color w:val="auto"/>
          <w:highlight w:val="none"/>
          <w:lang w:eastAsia="zh-CN"/>
        </w:rPr>
        <w:t>。</w:t>
      </w:r>
      <w:r>
        <w:rPr>
          <w:rFonts w:hint="eastAsia" w:ascii="宋体" w:hAnsi="宋体" w:cs="Times New Roman"/>
          <w:color w:val="auto"/>
          <w:highlight w:val="none"/>
        </w:rPr>
        <w:t>搭建全口径国有资产信息管理平台，促进信息共享</w:t>
      </w:r>
      <w:r>
        <w:rPr>
          <w:rFonts w:hint="eastAsia" w:ascii="宋体" w:hAnsi="宋体" w:cs="Times New Roman"/>
          <w:color w:val="auto"/>
          <w:highlight w:val="none"/>
          <w:lang w:eastAsia="zh-CN"/>
        </w:rPr>
        <w:t>。</w:t>
      </w:r>
    </w:p>
    <w:p>
      <w:pPr>
        <w:ind w:firstLine="643"/>
        <w:rPr>
          <w:rFonts w:ascii="宋体" w:hAnsi="宋体" w:cs="Times New Roman"/>
          <w:color w:val="auto"/>
          <w:highlight w:val="none"/>
        </w:rPr>
      </w:pPr>
      <w:bookmarkStart w:id="321" w:name="_Toc29157"/>
      <w:bookmarkStart w:id="322" w:name="_Toc20506"/>
      <w:bookmarkStart w:id="323" w:name="_Toc4585"/>
      <w:bookmarkStart w:id="324" w:name="_Toc18148"/>
      <w:bookmarkStart w:id="325" w:name="_Toc31067"/>
      <w:r>
        <w:rPr>
          <w:rStyle w:val="24"/>
          <w:rFonts w:hint="eastAsia" w:ascii="宋体" w:hAnsi="宋体"/>
        </w:rPr>
        <w:t>2.加强行政事业性国有资产管理</w:t>
      </w:r>
      <w:bookmarkEnd w:id="321"/>
      <w:r>
        <w:rPr>
          <w:rStyle w:val="24"/>
          <w:rFonts w:hint="eastAsia" w:ascii="宋体" w:hAnsi="宋体"/>
        </w:rPr>
        <w:t>。</w:t>
      </w:r>
      <w:bookmarkEnd w:id="322"/>
      <w:bookmarkEnd w:id="323"/>
      <w:bookmarkEnd w:id="324"/>
      <w:bookmarkEnd w:id="325"/>
      <w:r>
        <w:rPr>
          <w:rFonts w:hint="eastAsia" w:ascii="宋体" w:hAnsi="宋体" w:cs="Times New Roman"/>
          <w:color w:val="auto"/>
          <w:highlight w:val="none"/>
        </w:rPr>
        <w:t>建立健全行政事业性国有资产管理制度体系，修订完善我省行政事业性国有资产管理制度</w:t>
      </w:r>
      <w:r>
        <w:rPr>
          <w:rFonts w:hint="eastAsia" w:ascii="宋体" w:hAnsi="宋体" w:cs="Times New Roman"/>
          <w:color w:val="auto"/>
          <w:highlight w:val="none"/>
          <w:lang w:eastAsia="zh-CN"/>
        </w:rPr>
        <w:t>。</w:t>
      </w:r>
      <w:r>
        <w:rPr>
          <w:rFonts w:hint="eastAsia" w:ascii="宋体" w:hAnsi="宋体" w:cs="Times New Roman"/>
          <w:color w:val="auto"/>
          <w:highlight w:val="none"/>
        </w:rPr>
        <w:t>推进国有资产共享共用工作，研究制定省级行政事业单位公物仓管理相关制度办法，建立省级行政事业单位间闲置资产调剂与共享共用机制</w:t>
      </w:r>
      <w:r>
        <w:rPr>
          <w:rFonts w:hint="eastAsia" w:ascii="宋体" w:hAnsi="宋体" w:cs="Times New Roman"/>
          <w:color w:val="auto"/>
          <w:highlight w:val="none"/>
          <w:lang w:eastAsia="zh-CN"/>
        </w:rPr>
        <w:t>。</w:t>
      </w:r>
      <w:r>
        <w:rPr>
          <w:rFonts w:hint="eastAsia" w:ascii="宋体" w:hAnsi="宋体" w:cs="Times New Roman"/>
          <w:color w:val="auto"/>
          <w:highlight w:val="none"/>
        </w:rPr>
        <w:t>有序开展国有资产绩效管理，推进资产管理与预算管理深度融合。</w:t>
      </w:r>
    </w:p>
    <w:p>
      <w:pPr>
        <w:pStyle w:val="5"/>
        <w:bidi w:val="0"/>
        <w:rPr>
          <w:rFonts w:ascii="宋体" w:hAnsi="宋体"/>
          <w:lang w:val="en-US" w:eastAsia="zh-CN"/>
        </w:rPr>
      </w:pPr>
      <w:bookmarkStart w:id="326" w:name="_Toc12564"/>
      <w:bookmarkStart w:id="327" w:name="_Toc11081"/>
      <w:bookmarkStart w:id="328" w:name="_Toc31869"/>
      <w:bookmarkStart w:id="329" w:name="_Toc2427"/>
      <w:bookmarkStart w:id="330" w:name="_Toc30474"/>
      <w:bookmarkStart w:id="331" w:name="_Toc26592"/>
      <w:r>
        <w:rPr>
          <w:rFonts w:hint="eastAsia" w:ascii="宋体" w:hAnsi="宋体"/>
          <w:lang w:val="en-US" w:eastAsia="zh-CN"/>
        </w:rPr>
        <w:t>（三）深化财政国库管理制度改革</w:t>
      </w:r>
      <w:bookmarkEnd w:id="326"/>
      <w:bookmarkEnd w:id="327"/>
      <w:bookmarkEnd w:id="328"/>
      <w:bookmarkEnd w:id="329"/>
      <w:bookmarkEnd w:id="330"/>
      <w:bookmarkEnd w:id="331"/>
    </w:p>
    <w:p>
      <w:pPr>
        <w:ind w:firstLine="643"/>
        <w:rPr>
          <w:rFonts w:ascii="宋体" w:hAnsi="宋体" w:cs="Times New Roman"/>
          <w:color w:val="auto"/>
          <w:highlight w:val="none"/>
        </w:rPr>
      </w:pPr>
      <w:bookmarkStart w:id="332" w:name="_Toc28358"/>
      <w:bookmarkStart w:id="333" w:name="_Toc25231"/>
      <w:bookmarkStart w:id="334" w:name="_Toc32150"/>
      <w:bookmarkStart w:id="335" w:name="_Toc14628"/>
      <w:bookmarkStart w:id="336" w:name="_Toc6202"/>
      <w:r>
        <w:rPr>
          <w:rStyle w:val="24"/>
          <w:rFonts w:hint="eastAsia" w:ascii="宋体" w:hAnsi="宋体"/>
        </w:rPr>
        <w:t>1.推进权责发生制政府综合财务报告制度改革</w:t>
      </w:r>
      <w:bookmarkEnd w:id="332"/>
      <w:r>
        <w:rPr>
          <w:rStyle w:val="24"/>
          <w:rFonts w:hint="eastAsia" w:ascii="宋体" w:hAnsi="宋体"/>
        </w:rPr>
        <w:t>。</w:t>
      </w:r>
      <w:bookmarkEnd w:id="333"/>
      <w:bookmarkEnd w:id="334"/>
      <w:bookmarkEnd w:id="335"/>
      <w:bookmarkEnd w:id="336"/>
      <w:r>
        <w:rPr>
          <w:rFonts w:hint="eastAsia" w:ascii="宋体" w:hAnsi="宋体" w:cs="Times New Roman"/>
          <w:color w:val="auto"/>
          <w:highlight w:val="none"/>
        </w:rPr>
        <w:t>夯实会计基础工作，规范会计核算管理，提高财务报告编报人员业务水平，保障政府财务报告编报质量。按照预算管理一体化规范要求，建立完善政府财务报告系统。推进政府财务报告结果应用，为开展政府信用评级、加强资产负债管理、促进完善政府绩效考核机制等提供支持。</w:t>
      </w:r>
    </w:p>
    <w:p>
      <w:pPr>
        <w:ind w:firstLine="643"/>
        <w:rPr>
          <w:rFonts w:ascii="宋体" w:hAnsi="宋体" w:cs="Times New Roman"/>
          <w:color w:val="auto"/>
          <w:highlight w:val="none"/>
        </w:rPr>
      </w:pPr>
      <w:bookmarkStart w:id="337" w:name="_Toc22927"/>
      <w:bookmarkStart w:id="338" w:name="_Toc24375"/>
      <w:bookmarkStart w:id="339" w:name="_Toc8538"/>
      <w:bookmarkStart w:id="340" w:name="_Toc25746"/>
      <w:bookmarkStart w:id="341" w:name="_Toc6535"/>
      <w:r>
        <w:rPr>
          <w:rStyle w:val="24"/>
          <w:rFonts w:hint="eastAsia" w:ascii="宋体" w:hAnsi="宋体"/>
        </w:rPr>
        <w:t>2.加快完善预算执行监控机制</w:t>
      </w:r>
      <w:bookmarkEnd w:id="337"/>
      <w:r>
        <w:rPr>
          <w:rStyle w:val="24"/>
          <w:rFonts w:hint="eastAsia" w:ascii="宋体" w:hAnsi="宋体"/>
        </w:rPr>
        <w:t>。</w:t>
      </w:r>
      <w:bookmarkEnd w:id="338"/>
      <w:bookmarkEnd w:id="339"/>
      <w:bookmarkEnd w:id="340"/>
      <w:bookmarkEnd w:id="341"/>
      <w:r>
        <w:rPr>
          <w:rFonts w:hint="eastAsia" w:ascii="宋体" w:hAnsi="宋体" w:cs="Times New Roman"/>
          <w:color w:val="auto"/>
          <w:highlight w:val="none"/>
        </w:rPr>
        <w:t>研究建立财政部门与人大、纪检监察机关和审计部门的监督联动机制，增强国库集中支付动态监控辐射广度与深度；规范有效开展部门预算执行监控，加强重点资金监控；加</w:t>
      </w:r>
      <w:r>
        <w:rPr>
          <w:rFonts w:hint="eastAsia" w:ascii="宋体" w:hAnsi="宋体" w:cs="Times New Roman"/>
          <w:color w:val="auto"/>
          <w:highlight w:val="none"/>
          <w:lang w:eastAsia="zh-CN"/>
        </w:rPr>
        <w:t>强</w:t>
      </w:r>
      <w:r>
        <w:rPr>
          <w:rFonts w:hint="eastAsia" w:ascii="宋体" w:hAnsi="宋体" w:cs="Times New Roman"/>
          <w:color w:val="auto"/>
          <w:highlight w:val="none"/>
        </w:rPr>
        <w:t>预警问题核查，建立核查及违规问题处理机制；优化升级动态监控系统，稳步推进动态监控工作；依托直达资金动态监控系统，扎实做好直达资金监控。</w:t>
      </w:r>
    </w:p>
    <w:p>
      <w:pPr>
        <w:ind w:firstLine="643"/>
        <w:rPr>
          <w:rFonts w:ascii="宋体" w:hAnsi="宋体" w:cs="Times New Roman"/>
          <w:color w:val="auto"/>
          <w:highlight w:val="none"/>
        </w:rPr>
      </w:pPr>
      <w:bookmarkStart w:id="342" w:name="_Toc25674"/>
      <w:bookmarkStart w:id="343" w:name="_Toc12913"/>
      <w:bookmarkStart w:id="344" w:name="_Toc11588"/>
      <w:bookmarkStart w:id="345" w:name="_Toc9558"/>
      <w:bookmarkStart w:id="346" w:name="_Toc10103"/>
      <w:r>
        <w:rPr>
          <w:rStyle w:val="24"/>
          <w:rFonts w:hint="eastAsia" w:ascii="宋体" w:hAnsi="宋体"/>
        </w:rPr>
        <w:t>3.进一步优化国库集中收付管理体系</w:t>
      </w:r>
      <w:bookmarkEnd w:id="342"/>
      <w:r>
        <w:rPr>
          <w:rStyle w:val="24"/>
          <w:rFonts w:hint="eastAsia" w:ascii="宋体" w:hAnsi="宋体"/>
        </w:rPr>
        <w:t>。</w:t>
      </w:r>
      <w:bookmarkEnd w:id="343"/>
      <w:bookmarkEnd w:id="344"/>
      <w:bookmarkEnd w:id="345"/>
      <w:bookmarkEnd w:id="346"/>
      <w:r>
        <w:rPr>
          <w:rFonts w:hint="eastAsia" w:ascii="宋体" w:hAnsi="宋体" w:cs="Times New Roman"/>
          <w:color w:val="auto"/>
          <w:highlight w:val="none"/>
        </w:rPr>
        <w:t>对政府全部收入和支出实行国库集中收付管理。完善国库集中支付控制体系和集中校验机制，优化预算支出审核流程，实行全流程电子支付，全面提升资金支付效率。根据预算收入进度和资金调度需要等，合理安排地方政府债券的发行规模和节奏，节省资金成本。</w:t>
      </w:r>
    </w:p>
    <w:p>
      <w:pPr>
        <w:pStyle w:val="5"/>
        <w:bidi w:val="0"/>
        <w:rPr>
          <w:rFonts w:ascii="宋体" w:hAnsi="宋体"/>
          <w:lang w:val="en-US" w:eastAsia="zh-CN"/>
        </w:rPr>
      </w:pPr>
      <w:bookmarkStart w:id="347" w:name="_Toc1187"/>
      <w:bookmarkStart w:id="348" w:name="_Toc2964"/>
      <w:bookmarkStart w:id="349" w:name="_Toc24819"/>
      <w:bookmarkStart w:id="350" w:name="_Toc32453"/>
      <w:bookmarkStart w:id="351" w:name="_Toc681"/>
      <w:bookmarkStart w:id="352" w:name="_Toc32202"/>
      <w:r>
        <w:rPr>
          <w:rFonts w:hint="eastAsia" w:ascii="宋体" w:hAnsi="宋体"/>
          <w:lang w:val="en-US" w:eastAsia="zh-CN"/>
        </w:rPr>
        <w:t>（四）推进政府采购制度改革</w:t>
      </w:r>
      <w:bookmarkEnd w:id="347"/>
      <w:bookmarkEnd w:id="348"/>
      <w:bookmarkEnd w:id="349"/>
      <w:bookmarkEnd w:id="350"/>
      <w:bookmarkEnd w:id="351"/>
      <w:bookmarkEnd w:id="352"/>
    </w:p>
    <w:p>
      <w:pPr>
        <w:ind w:firstLine="643"/>
        <w:rPr>
          <w:rFonts w:hint="eastAsia" w:ascii="宋体" w:hAnsi="宋体" w:eastAsia="仿宋" w:cs="Times New Roman"/>
          <w:color w:val="auto"/>
          <w:highlight w:val="none"/>
          <w:lang w:eastAsia="zh-CN"/>
        </w:rPr>
      </w:pPr>
      <w:bookmarkStart w:id="353" w:name="_Toc27516"/>
      <w:bookmarkStart w:id="354" w:name="_Toc15007"/>
      <w:bookmarkStart w:id="355" w:name="_Toc29547"/>
      <w:bookmarkStart w:id="356" w:name="_Toc428"/>
      <w:bookmarkStart w:id="357" w:name="_Toc18786"/>
      <w:r>
        <w:rPr>
          <w:rStyle w:val="24"/>
          <w:rFonts w:hint="eastAsia" w:ascii="宋体" w:hAnsi="宋体"/>
        </w:rPr>
        <w:t>1.</w:t>
      </w:r>
      <w:r>
        <w:rPr>
          <w:rStyle w:val="24"/>
          <w:rFonts w:hint="eastAsia"/>
          <w:lang w:eastAsia="zh-CN"/>
        </w:rPr>
        <w:t>持续</w:t>
      </w:r>
      <w:r>
        <w:rPr>
          <w:rStyle w:val="24"/>
          <w:rFonts w:hint="eastAsia" w:ascii="宋体" w:hAnsi="宋体"/>
          <w:lang w:eastAsia="zh-CN"/>
        </w:rPr>
        <w:t>优化政府采购营商环境</w:t>
      </w:r>
      <w:bookmarkEnd w:id="353"/>
      <w:bookmarkEnd w:id="354"/>
      <w:r>
        <w:rPr>
          <w:rStyle w:val="24"/>
          <w:rFonts w:hint="eastAsia" w:ascii="宋体" w:hAnsi="宋体"/>
          <w:lang w:eastAsia="zh-CN"/>
        </w:rPr>
        <w:t>。</w:t>
      </w:r>
      <w:bookmarkEnd w:id="355"/>
      <w:bookmarkEnd w:id="356"/>
      <w:bookmarkEnd w:id="357"/>
      <w:r>
        <w:rPr>
          <w:rFonts w:hint="eastAsia" w:ascii="宋体" w:hAnsi="宋体" w:cs="Times New Roman"/>
          <w:color w:val="auto"/>
          <w:highlight w:val="none"/>
        </w:rPr>
        <w:t>将政府采购信息发布的源头整合至吉林省政府采购网，完善采购人、采购代理机构、财政部门的相关信息发布等功能，提高政府采购透明度。</w:t>
      </w:r>
      <w:r>
        <w:rPr>
          <w:rFonts w:hint="eastAsia" w:ascii="宋体" w:hAnsi="宋体" w:cs="Times New Roman"/>
          <w:color w:val="auto"/>
          <w:highlight w:val="none"/>
          <w:lang w:eastAsia="zh-CN"/>
        </w:rPr>
        <w:t>推进</w:t>
      </w:r>
      <w:r>
        <w:rPr>
          <w:rFonts w:hint="eastAsia" w:cs="Times New Roman"/>
          <w:color w:val="auto"/>
          <w:highlight w:val="none"/>
          <w:lang w:eastAsia="zh-CN"/>
        </w:rPr>
        <w:t>全省</w:t>
      </w:r>
      <w:r>
        <w:rPr>
          <w:rFonts w:hint="eastAsia" w:ascii="宋体" w:hAnsi="宋体" w:cs="Times New Roman"/>
          <w:color w:val="auto"/>
          <w:highlight w:val="none"/>
          <w:lang w:eastAsia="zh-CN"/>
        </w:rPr>
        <w:t>政府采购电子商城建设，</w:t>
      </w:r>
      <w:r>
        <w:rPr>
          <w:rFonts w:hint="eastAsia" w:cs="Times New Roman"/>
          <w:color w:val="auto"/>
          <w:highlight w:val="none"/>
          <w:lang w:eastAsia="zh-CN"/>
        </w:rPr>
        <w:t>建成交易规则统一的吉林省政府采购电子商城“一张网”。依托电子商城创建“吉林制造精品馆”。开展政府采购全流程电子化工作，实现全省统一的政府采购电子化交易平台。</w:t>
      </w:r>
    </w:p>
    <w:p>
      <w:pPr>
        <w:ind w:firstLine="643"/>
        <w:rPr>
          <w:rFonts w:ascii="宋体" w:hAnsi="宋体" w:cs="Times New Roman"/>
          <w:color w:val="auto"/>
          <w:highlight w:val="none"/>
        </w:rPr>
      </w:pPr>
      <w:bookmarkStart w:id="358" w:name="_Toc27732"/>
      <w:bookmarkStart w:id="359" w:name="_Toc22719"/>
      <w:bookmarkStart w:id="360" w:name="_Toc26449"/>
      <w:bookmarkStart w:id="361" w:name="_Toc27126"/>
      <w:bookmarkStart w:id="362" w:name="_Toc24699"/>
      <w:r>
        <w:rPr>
          <w:rStyle w:val="24"/>
          <w:rFonts w:hint="eastAsia" w:ascii="宋体" w:hAnsi="宋体"/>
          <w:lang w:val="en-US" w:eastAsia="zh-CN"/>
        </w:rPr>
        <w:t>2</w:t>
      </w:r>
      <w:r>
        <w:rPr>
          <w:rStyle w:val="24"/>
          <w:rFonts w:hint="eastAsia" w:ascii="宋体" w:hAnsi="宋体"/>
        </w:rPr>
        <w:t>.推动政府采购代理机</w:t>
      </w:r>
      <w:r>
        <w:rPr>
          <w:rStyle w:val="24"/>
          <w:rFonts w:hint="eastAsia"/>
          <w:lang w:eastAsia="zh-CN"/>
        </w:rPr>
        <w:t>构</w:t>
      </w:r>
      <w:r>
        <w:rPr>
          <w:rStyle w:val="24"/>
          <w:rFonts w:hint="eastAsia" w:ascii="宋体" w:hAnsi="宋体"/>
        </w:rPr>
        <w:t>转型</w:t>
      </w:r>
      <w:bookmarkEnd w:id="358"/>
      <w:r>
        <w:rPr>
          <w:rStyle w:val="24"/>
          <w:rFonts w:hint="eastAsia" w:ascii="宋体" w:hAnsi="宋体"/>
        </w:rPr>
        <w:t>。</w:t>
      </w:r>
      <w:bookmarkEnd w:id="359"/>
      <w:bookmarkEnd w:id="360"/>
      <w:bookmarkEnd w:id="361"/>
      <w:bookmarkEnd w:id="362"/>
      <w:bookmarkStart w:id="363" w:name="_Toc17560"/>
      <w:r>
        <w:rPr>
          <w:rFonts w:hint="eastAsia" w:ascii="宋体" w:hAnsi="宋体" w:cs="Times New Roman"/>
          <w:color w:val="auto"/>
          <w:highlight w:val="none"/>
        </w:rPr>
        <w:t>引导</w:t>
      </w:r>
      <w:r>
        <w:rPr>
          <w:rFonts w:hint="eastAsia" w:cs="Times New Roman"/>
          <w:color w:val="auto"/>
          <w:highlight w:val="none"/>
          <w:lang w:eastAsia="zh-CN"/>
        </w:rPr>
        <w:t>政府</w:t>
      </w:r>
      <w:r>
        <w:rPr>
          <w:rFonts w:hint="eastAsia" w:ascii="宋体" w:hAnsi="宋体" w:cs="Times New Roman"/>
          <w:color w:val="auto"/>
          <w:highlight w:val="none"/>
        </w:rPr>
        <w:t>采购代理机构走差异化发展道路，按照“科学定位、突出特色、强化服务”的原则确定重点领域，提升细分领域的专业代理和高效代理。根据财政部深化政府采购制度改革工作进程，选取部分预算单位开展集中采购机构竞争试点，打破行政级次、地区隶属关系的限制，允许试点单位自主择优选择集中采购机构开展采购活动。</w:t>
      </w:r>
    </w:p>
    <w:p>
      <w:pPr>
        <w:ind w:firstLine="643"/>
        <w:rPr>
          <w:rFonts w:ascii="宋体" w:hAnsi="宋体" w:cs="Times New Roman"/>
          <w:color w:val="auto"/>
          <w:highlight w:val="none"/>
        </w:rPr>
      </w:pPr>
      <w:bookmarkStart w:id="364" w:name="_Toc28930"/>
      <w:bookmarkStart w:id="365" w:name="_Toc8872"/>
      <w:bookmarkStart w:id="366" w:name="_Toc15577"/>
      <w:bookmarkStart w:id="367" w:name="_Toc16984"/>
      <w:r>
        <w:rPr>
          <w:rStyle w:val="24"/>
          <w:rFonts w:hint="eastAsia" w:ascii="宋体" w:hAnsi="宋体"/>
          <w:lang w:val="en-US" w:eastAsia="zh-CN"/>
        </w:rPr>
        <w:t>3</w:t>
      </w:r>
      <w:r>
        <w:rPr>
          <w:rStyle w:val="24"/>
          <w:rFonts w:hint="eastAsia" w:ascii="宋体" w:hAnsi="宋体"/>
        </w:rPr>
        <w:t>.加强政府采购监督管理</w:t>
      </w:r>
      <w:bookmarkEnd w:id="363"/>
      <w:r>
        <w:rPr>
          <w:rStyle w:val="24"/>
          <w:rFonts w:hint="eastAsia" w:ascii="宋体" w:hAnsi="宋体"/>
        </w:rPr>
        <w:t>。</w:t>
      </w:r>
      <w:bookmarkEnd w:id="364"/>
      <w:bookmarkEnd w:id="365"/>
      <w:bookmarkEnd w:id="366"/>
      <w:bookmarkEnd w:id="367"/>
      <w:r>
        <w:rPr>
          <w:rFonts w:hint="eastAsia" w:cs="Times New Roman"/>
          <w:color w:val="auto"/>
          <w:highlight w:val="none"/>
          <w:lang w:eastAsia="zh-CN"/>
        </w:rPr>
        <w:t>定期对政府采购代理机构开展考核和评价，强化政府采购代理机构在采购文件编制、信息发布、组织开标评标等环节的内部监督管理制度建设，</w:t>
      </w:r>
      <w:r>
        <w:rPr>
          <w:rFonts w:hint="eastAsia" w:ascii="宋体" w:hAnsi="宋体" w:cs="Times New Roman"/>
          <w:color w:val="auto"/>
          <w:highlight w:val="none"/>
        </w:rPr>
        <w:t>为采购人在设定采购需求、拟订采购合同、开展履约验收等方面提供专业化服务，进一步规范采购代理机构的执业行为。</w:t>
      </w:r>
    </w:p>
    <w:p>
      <w:pPr>
        <w:pStyle w:val="5"/>
        <w:bidi w:val="0"/>
        <w:rPr>
          <w:rFonts w:ascii="宋体" w:hAnsi="宋体"/>
          <w:lang w:val="en-US" w:eastAsia="zh-CN"/>
        </w:rPr>
      </w:pPr>
      <w:bookmarkStart w:id="368" w:name="_Toc20878"/>
      <w:bookmarkStart w:id="369" w:name="_Toc27113"/>
      <w:bookmarkStart w:id="370" w:name="_Toc25303"/>
      <w:bookmarkStart w:id="371" w:name="_Toc14111"/>
      <w:bookmarkStart w:id="372" w:name="_Toc9712"/>
      <w:bookmarkStart w:id="373" w:name="_Toc22641"/>
      <w:r>
        <w:rPr>
          <w:rFonts w:hint="eastAsia" w:ascii="宋体" w:hAnsi="宋体"/>
          <w:lang w:val="en-US" w:eastAsia="zh-CN"/>
        </w:rPr>
        <w:t>（五）加强财会监督工作</w:t>
      </w:r>
      <w:bookmarkEnd w:id="368"/>
      <w:bookmarkEnd w:id="369"/>
      <w:bookmarkEnd w:id="370"/>
      <w:bookmarkEnd w:id="371"/>
      <w:bookmarkEnd w:id="372"/>
      <w:bookmarkEnd w:id="373"/>
    </w:p>
    <w:p>
      <w:pPr>
        <w:ind w:firstLine="643"/>
        <w:rPr>
          <w:rFonts w:ascii="宋体" w:hAnsi="宋体" w:cs="Times New Roman"/>
          <w:color w:val="auto"/>
          <w:highlight w:val="none"/>
        </w:rPr>
      </w:pPr>
      <w:bookmarkStart w:id="374" w:name="_Toc1102"/>
      <w:bookmarkStart w:id="375" w:name="_Toc19709"/>
      <w:bookmarkStart w:id="376" w:name="_Toc29311"/>
      <w:bookmarkStart w:id="377" w:name="_Toc23567"/>
      <w:bookmarkStart w:id="378" w:name="_Toc2544"/>
      <w:r>
        <w:rPr>
          <w:rStyle w:val="24"/>
          <w:rFonts w:hint="eastAsia" w:ascii="宋体" w:hAnsi="宋体"/>
        </w:rPr>
        <w:t>1.构建财会监督长效机制</w:t>
      </w:r>
      <w:bookmarkEnd w:id="374"/>
      <w:r>
        <w:rPr>
          <w:rStyle w:val="24"/>
          <w:rFonts w:hint="eastAsia" w:ascii="宋体" w:hAnsi="宋体"/>
        </w:rPr>
        <w:t>。</w:t>
      </w:r>
      <w:bookmarkEnd w:id="375"/>
      <w:bookmarkEnd w:id="376"/>
      <w:bookmarkEnd w:id="377"/>
      <w:bookmarkEnd w:id="378"/>
      <w:r>
        <w:rPr>
          <w:rFonts w:hint="eastAsia" w:ascii="宋体" w:hAnsi="宋体" w:cs="Times New Roman"/>
          <w:color w:val="auto"/>
          <w:highlight w:val="none"/>
        </w:rPr>
        <w:t>积极参与财会监督顶层设计研究，助推财会监督体系的建立与完善。积极推进与其他监督贯通协调，形成监督合力。提升财会监督信息化水平，加强财会监督人才队伍建设，推动建立我省财会监督专家库。</w:t>
      </w:r>
    </w:p>
    <w:p>
      <w:pPr>
        <w:ind w:firstLine="643"/>
        <w:rPr>
          <w:rFonts w:ascii="宋体" w:hAnsi="宋体" w:cs="Times New Roman"/>
          <w:color w:val="auto"/>
          <w:highlight w:val="none"/>
        </w:rPr>
      </w:pPr>
      <w:bookmarkStart w:id="379" w:name="_Toc6151"/>
      <w:bookmarkStart w:id="380" w:name="_Toc2396"/>
      <w:bookmarkStart w:id="381" w:name="_Toc20975"/>
      <w:bookmarkStart w:id="382" w:name="_Toc8448"/>
      <w:bookmarkStart w:id="383" w:name="_Toc15676"/>
      <w:r>
        <w:rPr>
          <w:rStyle w:val="24"/>
          <w:rFonts w:hint="eastAsia" w:ascii="宋体" w:hAnsi="宋体"/>
        </w:rPr>
        <w:t>2.加强财税政策落实和预算管理有关监督工作</w:t>
      </w:r>
      <w:bookmarkEnd w:id="379"/>
      <w:r>
        <w:rPr>
          <w:rStyle w:val="24"/>
          <w:rFonts w:hint="eastAsia" w:ascii="宋体" w:hAnsi="宋体"/>
        </w:rPr>
        <w:t>。</w:t>
      </w:r>
      <w:bookmarkEnd w:id="380"/>
      <w:bookmarkEnd w:id="381"/>
      <w:bookmarkEnd w:id="382"/>
      <w:bookmarkEnd w:id="383"/>
      <w:r>
        <w:rPr>
          <w:rFonts w:hint="eastAsia" w:ascii="宋体" w:hAnsi="宋体" w:cs="Times New Roman"/>
          <w:color w:val="auto"/>
          <w:highlight w:val="none"/>
        </w:rPr>
        <w:t>聚焦“十四五”期间财政重点工作任务，开展重大财税政策落实和资金使用情况专项检查，切实履行财政监督法定职责。助力财</w:t>
      </w:r>
      <w:r>
        <w:rPr>
          <w:rFonts w:hint="eastAsia" w:ascii="宋体" w:hAnsi="宋体" w:cs="Times New Roman"/>
          <w:color w:val="auto"/>
          <w:highlight w:val="none"/>
          <w:lang w:eastAsia="zh-CN"/>
        </w:rPr>
        <w:t>税</w:t>
      </w:r>
      <w:r>
        <w:rPr>
          <w:rFonts w:hint="eastAsia" w:ascii="宋体" w:hAnsi="宋体" w:cs="Times New Roman"/>
          <w:color w:val="auto"/>
          <w:highlight w:val="none"/>
        </w:rPr>
        <w:t>体制改革，确保</w:t>
      </w:r>
      <w:r>
        <w:rPr>
          <w:rFonts w:hint="eastAsia" w:ascii="宋体" w:hAnsi="宋体" w:cs="Times New Roman"/>
          <w:color w:val="auto"/>
          <w:highlight w:val="none"/>
          <w:lang w:eastAsia="zh-CN"/>
        </w:rPr>
        <w:t>财政资金直达</w:t>
      </w:r>
      <w:r>
        <w:rPr>
          <w:rFonts w:hint="eastAsia" w:ascii="宋体" w:hAnsi="宋体" w:cs="Times New Roman"/>
          <w:color w:val="auto"/>
          <w:highlight w:val="none"/>
        </w:rPr>
        <w:t>和减税降费等重大政策落实到位，积极服务财政改革与管理。</w:t>
      </w:r>
    </w:p>
    <w:p>
      <w:pPr>
        <w:ind w:firstLine="643"/>
        <w:rPr>
          <w:rFonts w:ascii="宋体" w:hAnsi="宋体" w:cs="Times New Roman"/>
          <w:color w:val="auto"/>
          <w:highlight w:val="none"/>
        </w:rPr>
      </w:pPr>
      <w:bookmarkStart w:id="384" w:name="_Toc28241"/>
      <w:bookmarkStart w:id="385" w:name="_Toc8869"/>
      <w:bookmarkStart w:id="386" w:name="_Toc11681"/>
      <w:bookmarkStart w:id="387" w:name="_Toc5614"/>
      <w:bookmarkStart w:id="388" w:name="_Toc13085"/>
      <w:r>
        <w:rPr>
          <w:rStyle w:val="24"/>
          <w:rFonts w:hint="eastAsia" w:ascii="宋体" w:hAnsi="宋体"/>
        </w:rPr>
        <w:t>3.强化会计评估监督检查</w:t>
      </w:r>
      <w:bookmarkEnd w:id="384"/>
      <w:r>
        <w:rPr>
          <w:rStyle w:val="24"/>
          <w:rFonts w:hint="eastAsia" w:ascii="宋体" w:hAnsi="宋体"/>
        </w:rPr>
        <w:t>。</w:t>
      </w:r>
      <w:bookmarkEnd w:id="385"/>
      <w:bookmarkEnd w:id="386"/>
      <w:bookmarkEnd w:id="387"/>
      <w:bookmarkEnd w:id="388"/>
      <w:r>
        <w:rPr>
          <w:rFonts w:hint="eastAsia" w:ascii="宋体" w:hAnsi="宋体" w:cs="Times New Roman"/>
          <w:color w:val="auto"/>
          <w:highlight w:val="none"/>
        </w:rPr>
        <w:t>加强对新政府会计制度落实情况的日常监管和调研，健全日常监管和重点检查有机结合的监管机制，将会计监督与绩效评价等业务紧密结合，抓实会计信息质量检查。持续推动提高会计和资产评估执业质量</w:t>
      </w:r>
      <w:r>
        <w:rPr>
          <w:rFonts w:hint="eastAsia" w:ascii="宋体" w:hAnsi="宋体" w:cs="Times New Roman"/>
          <w:color w:val="auto"/>
          <w:highlight w:val="none"/>
          <w:lang w:eastAsia="zh-CN"/>
        </w:rPr>
        <w:t>，加大</w:t>
      </w:r>
      <w:r>
        <w:rPr>
          <w:rFonts w:hint="eastAsia" w:ascii="宋体" w:hAnsi="宋体" w:cs="Times New Roman"/>
          <w:color w:val="auto"/>
          <w:highlight w:val="none"/>
        </w:rPr>
        <w:t>对违法违规中介机构和人员</w:t>
      </w:r>
      <w:r>
        <w:rPr>
          <w:rFonts w:hint="eastAsia" w:ascii="宋体" w:hAnsi="宋体" w:cs="Times New Roman"/>
          <w:color w:val="auto"/>
          <w:highlight w:val="none"/>
          <w:lang w:eastAsia="zh-CN"/>
        </w:rPr>
        <w:t>的</w:t>
      </w:r>
      <w:r>
        <w:rPr>
          <w:rFonts w:hint="eastAsia" w:ascii="宋体" w:hAnsi="宋体" w:cs="Times New Roman"/>
          <w:color w:val="auto"/>
          <w:highlight w:val="none"/>
        </w:rPr>
        <w:t>处罚力度，探索行政执法与司法衔接机制，依法追究相关主体法律责任。</w:t>
      </w:r>
    </w:p>
    <w:p>
      <w:pPr>
        <w:ind w:firstLine="643"/>
        <w:rPr>
          <w:rFonts w:ascii="宋体" w:hAnsi="宋体" w:cs="Times New Roman"/>
          <w:color w:val="auto"/>
          <w:highlight w:val="none"/>
        </w:rPr>
      </w:pPr>
      <w:bookmarkStart w:id="389" w:name="_Toc18563"/>
      <w:bookmarkStart w:id="390" w:name="_Toc4743"/>
      <w:bookmarkStart w:id="391" w:name="_Toc21683"/>
      <w:bookmarkStart w:id="392" w:name="_Toc32497"/>
      <w:bookmarkStart w:id="393" w:name="_Toc28981"/>
      <w:r>
        <w:rPr>
          <w:rStyle w:val="24"/>
          <w:rFonts w:hint="eastAsia" w:ascii="宋体" w:hAnsi="宋体"/>
        </w:rPr>
        <w:t>4.完善</w:t>
      </w:r>
      <w:r>
        <w:rPr>
          <w:rStyle w:val="24"/>
          <w:rFonts w:hint="eastAsia" w:ascii="宋体" w:hAnsi="宋体"/>
          <w:lang w:eastAsia="zh-CN"/>
        </w:rPr>
        <w:t>财政</w:t>
      </w:r>
      <w:r>
        <w:rPr>
          <w:rStyle w:val="24"/>
          <w:rFonts w:hint="eastAsia" w:ascii="宋体" w:hAnsi="宋体"/>
        </w:rPr>
        <w:t>内控体系</w:t>
      </w:r>
      <w:bookmarkEnd w:id="389"/>
      <w:r>
        <w:rPr>
          <w:rStyle w:val="24"/>
          <w:rFonts w:hint="eastAsia" w:ascii="宋体" w:hAnsi="宋体"/>
        </w:rPr>
        <w:t>。</w:t>
      </w:r>
      <w:bookmarkEnd w:id="390"/>
      <w:bookmarkEnd w:id="391"/>
      <w:bookmarkEnd w:id="392"/>
      <w:bookmarkEnd w:id="393"/>
      <w:r>
        <w:rPr>
          <w:rFonts w:hint="eastAsia" w:ascii="宋体" w:hAnsi="宋体" w:cs="Times New Roman"/>
          <w:color w:val="auto"/>
          <w:highlight w:val="none"/>
        </w:rPr>
        <w:t>适应财税改革要求，开展内部控制制度修订工作，进一步完善全过程、全方位、立体化、无漏洞、无死角内控制度体系框架。扎实开展内部控制考核评价工作，突出对重点领域、核心业务、重点环节</w:t>
      </w:r>
      <w:r>
        <w:rPr>
          <w:rFonts w:hint="eastAsia" w:ascii="宋体" w:hAnsi="宋体" w:cs="Times New Roman"/>
          <w:color w:val="auto"/>
          <w:highlight w:val="none"/>
          <w:lang w:eastAsia="zh-CN"/>
        </w:rPr>
        <w:t>的</w:t>
      </w:r>
      <w:r>
        <w:rPr>
          <w:rFonts w:hint="eastAsia" w:ascii="宋体" w:hAnsi="宋体" w:cs="Times New Roman"/>
          <w:color w:val="auto"/>
          <w:highlight w:val="none"/>
        </w:rPr>
        <w:t>风险防控，强化对权力的制约和监督。全面履行内部审计职责，加强内部监督管理。</w:t>
      </w:r>
    </w:p>
    <w:p>
      <w:pPr>
        <w:pStyle w:val="5"/>
        <w:bidi w:val="0"/>
        <w:rPr>
          <w:rFonts w:ascii="宋体" w:hAnsi="宋体"/>
          <w:lang w:val="en-US" w:eastAsia="zh-CN"/>
        </w:rPr>
      </w:pPr>
      <w:bookmarkStart w:id="394" w:name="_Toc11888"/>
      <w:bookmarkStart w:id="395" w:name="_Toc24678"/>
      <w:bookmarkStart w:id="396" w:name="_Toc13446"/>
      <w:bookmarkStart w:id="397" w:name="_Toc20256"/>
      <w:bookmarkStart w:id="398" w:name="_Toc30286"/>
      <w:bookmarkStart w:id="399" w:name="_Toc20330"/>
      <w:r>
        <w:rPr>
          <w:rFonts w:hint="eastAsia" w:ascii="宋体" w:hAnsi="宋体"/>
          <w:lang w:val="en-US" w:eastAsia="zh-CN"/>
        </w:rPr>
        <w:t>（六）推进会计改革与发展</w:t>
      </w:r>
      <w:bookmarkEnd w:id="394"/>
      <w:bookmarkEnd w:id="395"/>
      <w:bookmarkEnd w:id="396"/>
      <w:bookmarkEnd w:id="397"/>
      <w:bookmarkEnd w:id="398"/>
      <w:bookmarkEnd w:id="399"/>
    </w:p>
    <w:p>
      <w:pPr>
        <w:ind w:firstLine="643"/>
        <w:rPr>
          <w:rFonts w:ascii="宋体" w:hAnsi="宋体" w:cs="Times New Roman"/>
          <w:color w:val="auto"/>
          <w:highlight w:val="none"/>
        </w:rPr>
      </w:pPr>
      <w:bookmarkStart w:id="400" w:name="_Toc15378"/>
      <w:bookmarkStart w:id="401" w:name="_Toc22209"/>
      <w:bookmarkStart w:id="402" w:name="_Toc27749"/>
      <w:bookmarkStart w:id="403" w:name="_Toc18774"/>
      <w:bookmarkStart w:id="404" w:name="_Toc15611"/>
      <w:r>
        <w:rPr>
          <w:rStyle w:val="24"/>
          <w:rFonts w:hint="eastAsia" w:ascii="宋体" w:hAnsi="宋体"/>
        </w:rPr>
        <w:t>1.</w:t>
      </w:r>
      <w:bookmarkEnd w:id="400"/>
      <w:r>
        <w:rPr>
          <w:rStyle w:val="24"/>
          <w:rFonts w:hint="eastAsia" w:ascii="宋体" w:hAnsi="宋体"/>
        </w:rPr>
        <w:t>推动会计</w:t>
      </w:r>
      <w:r>
        <w:rPr>
          <w:rStyle w:val="24"/>
          <w:rFonts w:hint="eastAsia"/>
          <w:lang w:eastAsia="zh-CN"/>
        </w:rPr>
        <w:t>准则</w:t>
      </w:r>
      <w:r>
        <w:rPr>
          <w:rStyle w:val="24"/>
          <w:rFonts w:hint="eastAsia" w:ascii="宋体" w:hAnsi="宋体"/>
        </w:rPr>
        <w:t>制度</w:t>
      </w:r>
      <w:r>
        <w:rPr>
          <w:rStyle w:val="24"/>
          <w:rFonts w:hint="eastAsia" w:ascii="宋体" w:hAnsi="宋体"/>
          <w:lang w:eastAsia="zh-CN"/>
        </w:rPr>
        <w:t>的</w:t>
      </w:r>
      <w:r>
        <w:rPr>
          <w:rStyle w:val="24"/>
          <w:rFonts w:hint="eastAsia" w:ascii="宋体" w:hAnsi="宋体"/>
        </w:rPr>
        <w:t>贯彻落实。</w:t>
      </w:r>
      <w:bookmarkEnd w:id="401"/>
      <w:bookmarkEnd w:id="402"/>
      <w:bookmarkEnd w:id="403"/>
      <w:bookmarkEnd w:id="404"/>
      <w:r>
        <w:rPr>
          <w:rFonts w:hint="eastAsia" w:ascii="宋体" w:hAnsi="宋体" w:cs="Times New Roman"/>
          <w:color w:val="auto"/>
          <w:highlight w:val="none"/>
        </w:rPr>
        <w:t>通过组建专家库和师资团队、采取系统培训</w:t>
      </w:r>
      <w:r>
        <w:rPr>
          <w:rFonts w:hint="eastAsia" w:ascii="宋体" w:hAnsi="宋体" w:cs="Times New Roman"/>
          <w:color w:val="auto"/>
          <w:highlight w:val="none"/>
          <w:lang w:eastAsia="zh-CN"/>
        </w:rPr>
        <w:t>和</w:t>
      </w:r>
      <w:r>
        <w:rPr>
          <w:rFonts w:hint="eastAsia" w:ascii="宋体" w:hAnsi="宋体" w:cs="Times New Roman"/>
          <w:color w:val="auto"/>
          <w:highlight w:val="none"/>
        </w:rPr>
        <w:t>继续教育等方式提升会计准则制度宣贯效果，推进政府会计准则制度和企业会计准则体系全面有效实施，为编制政府综合财务报告、行政事业单位国有资产报告和国有企业财务会计决算报告提供高质量</w:t>
      </w:r>
      <w:r>
        <w:rPr>
          <w:rFonts w:hint="eastAsia" w:ascii="宋体" w:hAnsi="宋体" w:cs="Times New Roman"/>
          <w:color w:val="auto"/>
          <w:highlight w:val="none"/>
          <w:lang w:eastAsia="zh-CN"/>
        </w:rPr>
        <w:t>的</w:t>
      </w:r>
      <w:r>
        <w:rPr>
          <w:rFonts w:hint="eastAsia" w:ascii="宋体" w:hAnsi="宋体" w:cs="Times New Roman"/>
          <w:color w:val="auto"/>
          <w:highlight w:val="none"/>
        </w:rPr>
        <w:t>会计信息。</w:t>
      </w:r>
    </w:p>
    <w:p>
      <w:pPr>
        <w:ind w:firstLine="643"/>
        <w:rPr>
          <w:rFonts w:hint="eastAsia" w:ascii="宋体" w:hAnsi="宋体" w:cs="Times New Roman"/>
          <w:color w:val="auto"/>
          <w:highlight w:val="none"/>
          <w:lang w:eastAsia="zh-CN"/>
        </w:rPr>
      </w:pPr>
      <w:bookmarkStart w:id="405" w:name="_Toc15905"/>
      <w:bookmarkStart w:id="406" w:name="_Toc22202"/>
      <w:bookmarkStart w:id="407" w:name="_Toc24000"/>
      <w:bookmarkStart w:id="408" w:name="_Toc15634"/>
      <w:bookmarkStart w:id="409" w:name="_Toc5095"/>
      <w:r>
        <w:rPr>
          <w:rStyle w:val="24"/>
          <w:rFonts w:hint="eastAsia" w:ascii="宋体" w:hAnsi="宋体"/>
        </w:rPr>
        <w:t>2.</w:t>
      </w:r>
      <w:bookmarkEnd w:id="405"/>
      <w:r>
        <w:rPr>
          <w:rStyle w:val="24"/>
          <w:rFonts w:hint="eastAsia" w:ascii="宋体" w:hAnsi="宋体"/>
        </w:rPr>
        <w:t>统筹推进会计人才队伍建设。</w:t>
      </w:r>
      <w:bookmarkEnd w:id="406"/>
      <w:bookmarkEnd w:id="407"/>
      <w:bookmarkEnd w:id="408"/>
      <w:bookmarkEnd w:id="409"/>
      <w:r>
        <w:rPr>
          <w:rFonts w:hint="eastAsia" w:ascii="宋体" w:hAnsi="宋体" w:cs="Times New Roman"/>
          <w:color w:val="auto"/>
          <w:highlight w:val="none"/>
        </w:rPr>
        <w:t>开展高端会计人才培养工程，力争打造一支规模达到500人以上的高端会计人才队伍，引导高端会计人才在培育市场主体、促进大学生就业、服务会计改革等方面践行社会责任。</w:t>
      </w:r>
      <w:r>
        <w:rPr>
          <w:rFonts w:hint="eastAsia" w:cs="Times New Roman"/>
          <w:color w:val="auto"/>
          <w:highlight w:val="none"/>
          <w:lang w:eastAsia="zh-CN"/>
        </w:rPr>
        <w:t>在加快建立现代财政制度、推动经济高质量发展中发挥基础性作用。</w:t>
      </w:r>
      <w:r>
        <w:rPr>
          <w:rFonts w:hint="eastAsia" w:ascii="宋体" w:hAnsi="宋体" w:cs="Times New Roman"/>
          <w:color w:val="auto"/>
          <w:highlight w:val="none"/>
        </w:rPr>
        <w:t>加强会计人员水平评价工作，充分发挥会计专业技术资格考试对会计人才选拔、培养的导向作用，修订完善《吉林省会计系列高级职称评审实施办法》。完善会计人员信息管理平台</w:t>
      </w:r>
      <w:r>
        <w:rPr>
          <w:rFonts w:hint="eastAsia" w:ascii="宋体" w:hAnsi="宋体" w:cs="Times New Roman"/>
          <w:color w:val="auto"/>
          <w:highlight w:val="none"/>
          <w:lang w:eastAsia="zh-CN"/>
        </w:rPr>
        <w:t>，</w:t>
      </w:r>
      <w:r>
        <w:rPr>
          <w:rFonts w:hint="eastAsia" w:ascii="宋体" w:hAnsi="宋体" w:cs="Times New Roman"/>
          <w:color w:val="auto"/>
          <w:highlight w:val="none"/>
        </w:rPr>
        <w:t>力争会计人员队伍规模达到</w:t>
      </w:r>
      <w:r>
        <w:rPr>
          <w:rFonts w:hint="eastAsia" w:cs="Times New Roman"/>
          <w:color w:val="auto"/>
          <w:highlight w:val="none"/>
          <w:lang w:val="en-US" w:eastAsia="zh-CN"/>
        </w:rPr>
        <w:t>25</w:t>
      </w:r>
      <w:r>
        <w:rPr>
          <w:rFonts w:hint="eastAsia" w:ascii="宋体" w:hAnsi="宋体" w:cs="Times New Roman"/>
          <w:color w:val="auto"/>
          <w:highlight w:val="none"/>
        </w:rPr>
        <w:t>万人以上，加强对继续教育工作的管理和指导</w:t>
      </w:r>
      <w:r>
        <w:rPr>
          <w:rFonts w:hint="eastAsia" w:ascii="宋体" w:hAnsi="宋体" w:cs="Times New Roman"/>
          <w:color w:val="auto"/>
          <w:highlight w:val="none"/>
          <w:lang w:eastAsia="zh-CN"/>
        </w:rPr>
        <w:t>，推进</w:t>
      </w:r>
      <w:r>
        <w:rPr>
          <w:rFonts w:hint="eastAsia" w:ascii="宋体" w:hAnsi="宋体" w:cs="Times New Roman"/>
          <w:color w:val="auto"/>
          <w:highlight w:val="none"/>
        </w:rPr>
        <w:t>会计人员诚信建设</w:t>
      </w:r>
      <w:r>
        <w:rPr>
          <w:rFonts w:hint="eastAsia" w:ascii="宋体" w:hAnsi="宋体" w:cs="Times New Roman"/>
          <w:color w:val="auto"/>
          <w:highlight w:val="none"/>
          <w:lang w:eastAsia="zh-CN"/>
        </w:rPr>
        <w:t>。</w:t>
      </w:r>
      <w:bookmarkStart w:id="410" w:name="_Toc15231"/>
      <w:bookmarkStart w:id="411" w:name="_Toc10049"/>
    </w:p>
    <w:p>
      <w:pPr>
        <w:ind w:firstLine="643"/>
        <w:rPr>
          <w:rFonts w:ascii="宋体" w:hAnsi="宋体" w:cs="Times New Roman"/>
          <w:color w:val="auto"/>
          <w:highlight w:val="none"/>
        </w:rPr>
      </w:pPr>
      <w:bookmarkStart w:id="412" w:name="_Toc27873"/>
      <w:bookmarkStart w:id="413" w:name="_Toc7113"/>
      <w:bookmarkStart w:id="414" w:name="_Toc12566"/>
      <w:r>
        <w:rPr>
          <w:rStyle w:val="24"/>
          <w:rFonts w:hint="eastAsia" w:ascii="宋体" w:hAnsi="宋体"/>
        </w:rPr>
        <w:t>3.</w:t>
      </w:r>
      <w:bookmarkEnd w:id="410"/>
      <w:r>
        <w:rPr>
          <w:rStyle w:val="24"/>
          <w:rFonts w:hint="eastAsia" w:ascii="宋体" w:hAnsi="宋体"/>
        </w:rPr>
        <w:t>大力发展会计服务市场。</w:t>
      </w:r>
      <w:bookmarkEnd w:id="411"/>
      <w:bookmarkEnd w:id="412"/>
      <w:bookmarkEnd w:id="413"/>
      <w:bookmarkEnd w:id="414"/>
      <w:r>
        <w:rPr>
          <w:rFonts w:hint="eastAsia"/>
          <w:lang w:eastAsia="zh-CN"/>
        </w:rPr>
        <w:t>深化</w:t>
      </w:r>
      <w:r>
        <w:rPr>
          <w:rFonts w:hint="eastAsia"/>
        </w:rPr>
        <w:t>“</w:t>
      </w:r>
      <w:r>
        <w:rPr>
          <w:rFonts w:hint="eastAsia" w:ascii="宋体" w:hAnsi="宋体" w:cs="Times New Roman"/>
          <w:color w:val="auto"/>
          <w:highlight w:val="none"/>
        </w:rPr>
        <w:t>放管服”改革，完善注册会计师行业、代理记账机构管理信息平台，优化会计师事务所、代理记账中介机构备案管理程序，推广电子证照应用。推动会计师事务所加强质量管理，推进会计服务进一步向专业化和价值链高端延伸。推动函证数字化工作，加快会计审计数字化转型。</w:t>
      </w:r>
    </w:p>
    <w:p>
      <w:pPr>
        <w:ind w:firstLine="643"/>
        <w:rPr>
          <w:rFonts w:ascii="宋体" w:hAnsi="宋体" w:cs="Times New Roman"/>
          <w:color w:val="auto"/>
          <w:highlight w:val="none"/>
        </w:rPr>
      </w:pPr>
      <w:bookmarkStart w:id="415" w:name="_Toc25988"/>
      <w:bookmarkStart w:id="416" w:name="_Toc27504"/>
      <w:bookmarkStart w:id="417" w:name="_Toc8847"/>
      <w:bookmarkStart w:id="418" w:name="_Toc6245"/>
      <w:bookmarkStart w:id="419" w:name="_Toc31966"/>
      <w:r>
        <w:rPr>
          <w:rStyle w:val="24"/>
          <w:rFonts w:hint="eastAsia" w:ascii="宋体" w:hAnsi="宋体"/>
        </w:rPr>
        <w:t>4.</w:t>
      </w:r>
      <w:bookmarkEnd w:id="415"/>
      <w:bookmarkEnd w:id="416"/>
      <w:r>
        <w:rPr>
          <w:rStyle w:val="24"/>
          <w:rFonts w:hint="eastAsia" w:ascii="宋体" w:hAnsi="宋体"/>
        </w:rPr>
        <w:t>推广内部控制、管理会计和会计信息化的实践应用。</w:t>
      </w:r>
      <w:bookmarkEnd w:id="417"/>
      <w:bookmarkEnd w:id="418"/>
      <w:bookmarkEnd w:id="419"/>
      <w:r>
        <w:rPr>
          <w:rFonts w:hint="eastAsia" w:ascii="宋体" w:hAnsi="宋体" w:cs="Times New Roman"/>
          <w:color w:val="auto"/>
          <w:highlight w:val="none"/>
        </w:rPr>
        <w:t>深入推进国有企业、行政事业单位的内控建设</w:t>
      </w:r>
      <w:r>
        <w:rPr>
          <w:rFonts w:hint="eastAsia" w:cs="Times New Roman"/>
          <w:color w:val="auto"/>
          <w:highlight w:val="none"/>
          <w:lang w:eastAsia="zh-CN"/>
        </w:rPr>
        <w:t>，提升单位内控实施效果</w:t>
      </w:r>
      <w:r>
        <w:rPr>
          <w:rFonts w:hint="eastAsia" w:ascii="宋体" w:hAnsi="宋体" w:cs="Times New Roman"/>
          <w:color w:val="auto"/>
          <w:highlight w:val="none"/>
        </w:rPr>
        <w:t>。推进管理会计广泛应用，持续提升会计工作管理效能。及时完善会计信息化规范和标准，以信息化建设、业财融合以及单位数据治理为</w:t>
      </w:r>
      <w:r>
        <w:rPr>
          <w:rFonts w:hint="eastAsia" w:ascii="宋体" w:hAnsi="宋体" w:cs="Times New Roman"/>
          <w:color w:val="auto"/>
          <w:highlight w:val="none"/>
          <w:lang w:eastAsia="zh-CN"/>
        </w:rPr>
        <w:t>依托</w:t>
      </w:r>
      <w:r>
        <w:rPr>
          <w:rFonts w:hint="eastAsia" w:ascii="宋体" w:hAnsi="宋体" w:cs="Times New Roman"/>
          <w:color w:val="auto"/>
          <w:highlight w:val="none"/>
        </w:rPr>
        <w:t>，引导企事业单位推动内部控制建设和管理会计应用。</w:t>
      </w:r>
    </w:p>
    <w:p>
      <w:pPr>
        <w:pStyle w:val="5"/>
        <w:bidi w:val="0"/>
        <w:rPr>
          <w:rFonts w:ascii="宋体" w:hAnsi="宋体"/>
          <w:lang w:val="en-US" w:eastAsia="zh-CN"/>
        </w:rPr>
      </w:pPr>
      <w:bookmarkStart w:id="420" w:name="_Toc16381"/>
      <w:bookmarkStart w:id="421" w:name="_Toc2930"/>
      <w:bookmarkStart w:id="422" w:name="_Toc30655"/>
      <w:bookmarkStart w:id="423" w:name="_Toc24016"/>
      <w:bookmarkStart w:id="424" w:name="_Toc27991"/>
      <w:bookmarkStart w:id="425" w:name="_Toc32077"/>
      <w:r>
        <w:rPr>
          <w:rFonts w:hint="eastAsia" w:ascii="宋体" w:hAnsi="宋体"/>
          <w:lang w:val="en-US" w:eastAsia="zh-CN"/>
        </w:rPr>
        <w:t>（七）加快财政信息化建设</w:t>
      </w:r>
      <w:bookmarkEnd w:id="420"/>
      <w:bookmarkEnd w:id="421"/>
      <w:bookmarkEnd w:id="422"/>
      <w:bookmarkEnd w:id="423"/>
      <w:bookmarkEnd w:id="424"/>
      <w:bookmarkEnd w:id="425"/>
    </w:p>
    <w:p>
      <w:pPr>
        <w:ind w:firstLine="643"/>
        <w:rPr>
          <w:rFonts w:ascii="宋体" w:hAnsi="宋体" w:cs="Times New Roman"/>
          <w:color w:val="auto"/>
          <w:highlight w:val="none"/>
        </w:rPr>
      </w:pPr>
      <w:bookmarkStart w:id="426" w:name="_Toc18114"/>
      <w:bookmarkStart w:id="427" w:name="_Toc3514"/>
      <w:bookmarkStart w:id="428" w:name="_Toc28817"/>
      <w:bookmarkStart w:id="429" w:name="_Toc25629"/>
      <w:bookmarkStart w:id="430" w:name="_Toc9996"/>
      <w:r>
        <w:rPr>
          <w:rStyle w:val="24"/>
          <w:rFonts w:hint="eastAsia" w:ascii="宋体" w:hAnsi="宋体"/>
        </w:rPr>
        <w:t>1.推进预算管理一体化建设。</w:t>
      </w:r>
      <w:bookmarkEnd w:id="426"/>
      <w:bookmarkEnd w:id="427"/>
      <w:bookmarkEnd w:id="428"/>
      <w:bookmarkEnd w:id="429"/>
      <w:bookmarkEnd w:id="430"/>
      <w:r>
        <w:rPr>
          <w:rFonts w:hint="eastAsia" w:ascii="宋体" w:hAnsi="宋体" w:cs="Times New Roman"/>
          <w:color w:val="auto"/>
          <w:highlight w:val="none"/>
        </w:rPr>
        <w:t>对标《预算管理一体化规范》和《技术标准》，扎实推进全省预算管理一体化建设。制定全省预算管理一体化实施细则，统一各级预算管理流程、管理要素和管理规则；将制度规范与信息系统建设紧密结合，构建现代信息技术条件下“制度+技术”的管理机制；建立和完善各级财政预算管理一体化系统，动态反应各级预算安排和执行情况</w:t>
      </w:r>
      <w:r>
        <w:rPr>
          <w:rFonts w:hint="eastAsia" w:ascii="宋体" w:hAnsi="宋体" w:cs="Times New Roman"/>
          <w:color w:val="auto"/>
          <w:highlight w:val="none"/>
          <w:lang w:eastAsia="zh-CN"/>
        </w:rPr>
        <w:t>，</w:t>
      </w:r>
      <w:r>
        <w:rPr>
          <w:rFonts w:hint="eastAsia" w:ascii="宋体" w:hAnsi="宋体" w:cs="Times New Roman"/>
          <w:color w:val="auto"/>
          <w:highlight w:val="none"/>
        </w:rPr>
        <w:t>力争2022年实现全省全覆盖；研究推动预算和绩效管理一体化，建立健全政府采购、资产管理、债务管理与预算管理的衔接机制。</w:t>
      </w:r>
    </w:p>
    <w:p>
      <w:pPr>
        <w:ind w:firstLine="643"/>
        <w:rPr>
          <w:rFonts w:ascii="宋体" w:hAnsi="宋体"/>
          <w:color w:val="auto"/>
          <w:highlight w:val="none"/>
        </w:rPr>
      </w:pPr>
      <w:bookmarkStart w:id="431" w:name="_Toc30265"/>
      <w:bookmarkStart w:id="432" w:name="_Toc21311"/>
      <w:bookmarkStart w:id="433" w:name="_Toc6005"/>
      <w:bookmarkStart w:id="434" w:name="_Toc32111"/>
      <w:bookmarkStart w:id="435" w:name="_Toc24444"/>
      <w:r>
        <w:rPr>
          <w:rStyle w:val="24"/>
          <w:rFonts w:hint="eastAsia" w:ascii="宋体" w:hAnsi="宋体"/>
        </w:rPr>
        <w:t>2.筑牢财政信息化网络安全防线。</w:t>
      </w:r>
      <w:bookmarkEnd w:id="431"/>
      <w:bookmarkEnd w:id="432"/>
      <w:bookmarkEnd w:id="433"/>
      <w:bookmarkEnd w:id="434"/>
      <w:bookmarkEnd w:id="435"/>
      <w:r>
        <w:rPr>
          <w:rFonts w:hint="eastAsia" w:ascii="宋体" w:hAnsi="宋体" w:cs="Times New Roman"/>
          <w:color w:val="auto"/>
          <w:highlight w:val="none"/>
        </w:rPr>
        <w:t>强化网络安全顶层设计，建立统一的、全方位的财政网络安全管理和技术体系。提升网络安全防护能力，加强应用系统和网络边界安全建设，积极探索网络安全新技术。提升安全态势感知、通报预警和安全事件处置能力。加强网络安全管理，强化财政数据安全防护，夯实网络安全责任制，不断完善各类安全管理制度和操作规程。重视财政信息化人才培养，建立财政信息化建设资金投入长效机制。</w:t>
      </w:r>
    </w:p>
    <w:p>
      <w:pPr>
        <w:pStyle w:val="4"/>
        <w:ind w:firstLine="640" w:firstLineChars="200"/>
        <w:rPr>
          <w:rFonts w:ascii="宋体" w:hAnsi="宋体"/>
          <w:color w:val="auto"/>
          <w:highlight w:val="none"/>
        </w:rPr>
      </w:pPr>
      <w:bookmarkStart w:id="436" w:name="_Toc32005"/>
      <w:bookmarkStart w:id="437" w:name="_Toc4764"/>
      <w:bookmarkStart w:id="438" w:name="_Toc28558"/>
      <w:bookmarkStart w:id="439" w:name="_Toc20248"/>
      <w:bookmarkStart w:id="440" w:name="_Toc19463"/>
      <w:bookmarkStart w:id="441" w:name="_Toc26404"/>
      <w:r>
        <w:rPr>
          <w:rFonts w:hint="eastAsia" w:ascii="宋体" w:hAnsi="宋体"/>
          <w:color w:val="auto"/>
          <w:highlight w:val="none"/>
          <w:lang w:eastAsia="zh-CN"/>
        </w:rPr>
        <w:t>九</w:t>
      </w:r>
      <w:r>
        <w:rPr>
          <w:rFonts w:hint="eastAsia" w:ascii="宋体" w:hAnsi="宋体"/>
          <w:color w:val="auto"/>
          <w:highlight w:val="none"/>
        </w:rPr>
        <w:t>、不断强化对创新发展的财政保障作用</w:t>
      </w:r>
      <w:bookmarkEnd w:id="436"/>
      <w:bookmarkEnd w:id="437"/>
      <w:bookmarkEnd w:id="438"/>
      <w:bookmarkEnd w:id="439"/>
      <w:bookmarkEnd w:id="440"/>
      <w:bookmarkEnd w:id="441"/>
    </w:p>
    <w:p>
      <w:pPr>
        <w:rPr>
          <w:rFonts w:ascii="宋体" w:hAnsi="宋体" w:eastAsia="仿宋"/>
          <w:color w:val="auto"/>
          <w:kern w:val="2"/>
          <w:szCs w:val="24"/>
          <w:highlight w:val="none"/>
        </w:rPr>
      </w:pPr>
      <w:bookmarkStart w:id="442" w:name="_Toc20327"/>
      <w:bookmarkStart w:id="443" w:name="_Toc22042"/>
      <w:r>
        <w:rPr>
          <w:rFonts w:hint="eastAsia" w:ascii="宋体" w:hAnsi="宋体"/>
          <w:color w:val="auto"/>
          <w:highlight w:val="none"/>
          <w:lang w:eastAsia="zh-CN"/>
        </w:rPr>
        <w:t>坚持创新在我省经济社会建设中的核心地位</w:t>
      </w:r>
      <w:r>
        <w:rPr>
          <w:rFonts w:ascii="宋体" w:hAnsi="宋体"/>
          <w:color w:val="auto"/>
          <w:highlight w:val="none"/>
        </w:rPr>
        <w:t>，</w:t>
      </w:r>
      <w:r>
        <w:rPr>
          <w:rFonts w:hint="eastAsia" w:ascii="宋体" w:hAnsi="宋体"/>
          <w:color w:val="auto"/>
          <w:highlight w:val="none"/>
        </w:rPr>
        <w:t>加快建立以财政投入为引导、企业投入为主体、金融市场为支撑的多元科技投入体系，切实保障重大科技任务经费，</w:t>
      </w:r>
      <w:r>
        <w:rPr>
          <w:rFonts w:ascii="宋体" w:hAnsi="宋体"/>
          <w:color w:val="auto"/>
          <w:highlight w:val="none"/>
        </w:rPr>
        <w:t>进一步健全鼓励支持基础研究、原始创新的体制机制</w:t>
      </w:r>
      <w:r>
        <w:rPr>
          <w:rFonts w:hint="eastAsia" w:ascii="宋体" w:hAnsi="宋体"/>
          <w:color w:val="auto"/>
          <w:highlight w:val="none"/>
          <w:lang w:eastAsia="zh-CN"/>
        </w:rPr>
        <w:t>，</w:t>
      </w:r>
      <w:r>
        <w:rPr>
          <w:rFonts w:hint="eastAsia" w:ascii="宋体" w:hAnsi="宋体"/>
          <w:color w:val="auto"/>
          <w:highlight w:val="none"/>
        </w:rPr>
        <w:t>支持打好关键核心技术攻坚战</w:t>
      </w:r>
      <w:r>
        <w:rPr>
          <w:rFonts w:hint="eastAsia" w:ascii="宋体" w:hAnsi="宋体"/>
          <w:color w:val="auto"/>
          <w:highlight w:val="none"/>
          <w:lang w:eastAsia="zh-CN"/>
        </w:rPr>
        <w:t>，</w:t>
      </w:r>
      <w:r>
        <w:rPr>
          <w:rFonts w:hint="eastAsia" w:ascii="宋体" w:hAnsi="宋体"/>
          <w:color w:val="auto"/>
          <w:highlight w:val="none"/>
        </w:rPr>
        <w:t>推动“十四五”期间科技创新项目、基地、人才、资金一体化配置。</w:t>
      </w:r>
      <w:bookmarkEnd w:id="442"/>
    </w:p>
    <w:p>
      <w:pPr>
        <w:pStyle w:val="5"/>
        <w:rPr>
          <w:rFonts w:ascii="宋体" w:hAnsi="宋体"/>
          <w:color w:val="auto"/>
          <w:highlight w:val="none"/>
        </w:rPr>
      </w:pPr>
      <w:bookmarkStart w:id="444" w:name="_Toc24284"/>
      <w:bookmarkStart w:id="445" w:name="_Toc29132"/>
      <w:bookmarkStart w:id="446" w:name="_Toc10020"/>
      <w:bookmarkStart w:id="447" w:name="_Toc22738"/>
      <w:bookmarkStart w:id="448" w:name="_Toc5990"/>
      <w:r>
        <w:rPr>
          <w:rFonts w:hint="eastAsia" w:ascii="宋体" w:hAnsi="宋体"/>
          <w:color w:val="auto"/>
          <w:highlight w:val="none"/>
        </w:rPr>
        <w:t>（一）支持增强科技自主创新能力</w:t>
      </w:r>
      <w:bookmarkEnd w:id="443"/>
      <w:bookmarkEnd w:id="444"/>
      <w:bookmarkEnd w:id="445"/>
      <w:bookmarkEnd w:id="446"/>
      <w:bookmarkEnd w:id="447"/>
      <w:bookmarkEnd w:id="448"/>
    </w:p>
    <w:p>
      <w:pPr>
        <w:ind w:firstLine="643"/>
        <w:rPr>
          <w:rFonts w:ascii="宋体" w:hAnsi="宋体"/>
          <w:color w:val="auto"/>
          <w:highlight w:val="none"/>
        </w:rPr>
      </w:pPr>
      <w:bookmarkStart w:id="449" w:name="_Toc3714"/>
      <w:bookmarkStart w:id="450" w:name="_Toc11249"/>
      <w:bookmarkStart w:id="451" w:name="_Toc18617"/>
      <w:bookmarkStart w:id="452" w:name="_Toc7127"/>
      <w:bookmarkStart w:id="453" w:name="_Toc20516"/>
      <w:r>
        <w:rPr>
          <w:rStyle w:val="24"/>
          <w:rFonts w:hint="eastAsia" w:ascii="宋体" w:hAnsi="宋体"/>
          <w:color w:val="auto"/>
          <w:highlight w:val="none"/>
        </w:rPr>
        <w:t>1.加大关键核心技术攻关支持力度</w:t>
      </w:r>
      <w:bookmarkEnd w:id="449"/>
      <w:r>
        <w:rPr>
          <w:rStyle w:val="24"/>
          <w:rFonts w:hint="eastAsia" w:ascii="宋体" w:hAnsi="宋体"/>
          <w:color w:val="auto"/>
          <w:highlight w:val="none"/>
        </w:rPr>
        <w:t>。</w:t>
      </w:r>
      <w:bookmarkEnd w:id="450"/>
      <w:bookmarkEnd w:id="451"/>
      <w:bookmarkEnd w:id="452"/>
      <w:bookmarkEnd w:id="453"/>
      <w:r>
        <w:rPr>
          <w:rFonts w:hint="eastAsia" w:ascii="宋体" w:hAnsi="宋体"/>
          <w:color w:val="auto"/>
          <w:highlight w:val="none"/>
        </w:rPr>
        <w:t>健全完善适应关键核心技术攻关的财政资金管理机制，加大支持优势领域和前瞻性、战略性重大科技项目；统筹优化资源配置，调动企业和社会积极性，推动重要领域关键核心技术自主可控，提升对产业链、供应链安全稳定的科技支撑能力。围绕深入实施创新驱动发展战略，支持开展重大技术和装备的产学研协同攻关，加快解决“卡脖子”技术难题，为科技自立自强和产业发展、粮食安全以及全面振兴全方位振兴提供坚强支撑。</w:t>
      </w:r>
    </w:p>
    <w:p>
      <w:pPr>
        <w:ind w:firstLine="643"/>
        <w:rPr>
          <w:rFonts w:ascii="宋体" w:hAnsi="宋体"/>
          <w:color w:val="auto"/>
          <w:highlight w:val="none"/>
        </w:rPr>
      </w:pPr>
      <w:bookmarkStart w:id="454" w:name="_Toc14198"/>
      <w:bookmarkStart w:id="455" w:name="_Toc14792"/>
      <w:bookmarkStart w:id="456" w:name="_Toc794"/>
      <w:bookmarkStart w:id="457" w:name="_Toc20628"/>
      <w:bookmarkStart w:id="458" w:name="_Toc23418"/>
      <w:r>
        <w:rPr>
          <w:rStyle w:val="24"/>
          <w:rFonts w:hint="eastAsia" w:ascii="宋体" w:hAnsi="宋体"/>
          <w:color w:val="auto"/>
          <w:highlight w:val="none"/>
        </w:rPr>
        <w:t>2.大力支持基础研究、</w:t>
      </w:r>
      <w:r>
        <w:rPr>
          <w:rStyle w:val="24"/>
          <w:rFonts w:hint="eastAsia"/>
          <w:color w:val="auto"/>
          <w:highlight w:val="none"/>
          <w:lang w:eastAsia="zh-CN"/>
        </w:rPr>
        <w:t>自主</w:t>
      </w:r>
      <w:r>
        <w:rPr>
          <w:rStyle w:val="24"/>
          <w:rFonts w:hint="eastAsia" w:ascii="宋体" w:hAnsi="宋体"/>
          <w:color w:val="auto"/>
          <w:highlight w:val="none"/>
        </w:rPr>
        <w:t>创新</w:t>
      </w:r>
      <w:bookmarkEnd w:id="454"/>
      <w:r>
        <w:rPr>
          <w:rStyle w:val="24"/>
          <w:rFonts w:hint="eastAsia" w:ascii="宋体" w:hAnsi="宋体"/>
          <w:color w:val="auto"/>
          <w:highlight w:val="none"/>
        </w:rPr>
        <w:t>。</w:t>
      </w:r>
      <w:bookmarkEnd w:id="455"/>
      <w:bookmarkEnd w:id="456"/>
      <w:bookmarkEnd w:id="457"/>
      <w:bookmarkEnd w:id="458"/>
      <w:r>
        <w:rPr>
          <w:rFonts w:hint="eastAsia" w:ascii="宋体" w:hAnsi="宋体"/>
          <w:color w:val="auto"/>
          <w:highlight w:val="none"/>
        </w:rPr>
        <w:t>强化财政对基础研究投入，充分发挥省自然科学基金（联合基金）、国家自然科学基金区域联合基金的重要支撑作用。鼓励高校、科研院所、企业和社会力量多渠道持续增加基础研究投入，扩大资金来源，形成持续稳定投入机制。推动建立符合基础研究规律特点的评价机制，完善基础研究和项目形成机制，创造有利于基础研究的科研生态。</w:t>
      </w:r>
    </w:p>
    <w:p>
      <w:pPr>
        <w:ind w:firstLine="643"/>
        <w:rPr>
          <w:rFonts w:ascii="宋体" w:hAnsi="宋体"/>
          <w:color w:val="auto"/>
          <w:highlight w:val="none"/>
        </w:rPr>
      </w:pPr>
      <w:bookmarkStart w:id="459" w:name="_Toc22211"/>
      <w:bookmarkStart w:id="460" w:name="_Toc15022"/>
      <w:bookmarkStart w:id="461" w:name="_Toc23757"/>
      <w:bookmarkStart w:id="462" w:name="_Toc7818"/>
      <w:bookmarkStart w:id="463" w:name="_Toc167"/>
      <w:r>
        <w:rPr>
          <w:rStyle w:val="24"/>
          <w:rFonts w:hint="eastAsia" w:ascii="宋体" w:hAnsi="宋体"/>
          <w:color w:val="auto"/>
          <w:highlight w:val="none"/>
        </w:rPr>
        <w:t>3.推进科研力量优化配置和资源共享</w:t>
      </w:r>
      <w:bookmarkEnd w:id="459"/>
      <w:r>
        <w:rPr>
          <w:rStyle w:val="24"/>
          <w:rFonts w:hint="eastAsia" w:ascii="宋体" w:hAnsi="宋体"/>
          <w:color w:val="auto"/>
          <w:highlight w:val="none"/>
        </w:rPr>
        <w:t>。</w:t>
      </w:r>
      <w:bookmarkEnd w:id="460"/>
      <w:bookmarkEnd w:id="461"/>
      <w:bookmarkEnd w:id="462"/>
      <w:bookmarkEnd w:id="463"/>
      <w:r>
        <w:rPr>
          <w:rFonts w:hint="eastAsia" w:ascii="宋体" w:hAnsi="宋体"/>
          <w:color w:val="auto"/>
          <w:highlight w:val="none"/>
        </w:rPr>
        <w:t>加强科研力量统筹，按照企业、高校、科研院所等创新主体在创新链不同环节的功能定位，推进科研力量优化配置，坚持优势互补、强化协作、减少交叉，提升创新体系整体效能。推动提升科研基础设施、科研仪器、科学数据等科技资源共享共用水平，提高科技资源利用效率。</w:t>
      </w:r>
    </w:p>
    <w:p>
      <w:pPr>
        <w:ind w:firstLine="643"/>
        <w:rPr>
          <w:rFonts w:ascii="宋体" w:hAnsi="宋体"/>
          <w:color w:val="auto"/>
          <w:highlight w:val="none"/>
        </w:rPr>
      </w:pPr>
      <w:bookmarkStart w:id="464" w:name="_Toc14413"/>
      <w:bookmarkStart w:id="465" w:name="_Toc23464"/>
      <w:bookmarkStart w:id="466" w:name="_Toc24870"/>
      <w:bookmarkStart w:id="467" w:name="_Toc32224"/>
      <w:bookmarkStart w:id="468" w:name="_Toc12211"/>
      <w:r>
        <w:rPr>
          <w:rStyle w:val="24"/>
          <w:rFonts w:hint="eastAsia" w:ascii="宋体" w:hAnsi="宋体"/>
          <w:color w:val="auto"/>
          <w:highlight w:val="none"/>
        </w:rPr>
        <w:t>4.</w:t>
      </w:r>
      <w:r>
        <w:rPr>
          <w:rStyle w:val="24"/>
          <w:rFonts w:hint="eastAsia"/>
          <w:color w:val="auto"/>
          <w:highlight w:val="none"/>
          <w:lang w:eastAsia="zh-CN"/>
        </w:rPr>
        <w:t>支持</w:t>
      </w:r>
      <w:r>
        <w:rPr>
          <w:rStyle w:val="24"/>
          <w:rFonts w:hint="eastAsia" w:ascii="宋体" w:hAnsi="宋体"/>
          <w:color w:val="auto"/>
          <w:highlight w:val="none"/>
        </w:rPr>
        <w:t>省级实验室等重点科技力量</w:t>
      </w:r>
      <w:bookmarkEnd w:id="464"/>
      <w:r>
        <w:rPr>
          <w:rStyle w:val="24"/>
          <w:rFonts w:hint="eastAsia"/>
          <w:color w:val="auto"/>
          <w:highlight w:val="none"/>
          <w:lang w:eastAsia="zh-CN"/>
        </w:rPr>
        <w:t>建设</w:t>
      </w:r>
      <w:r>
        <w:rPr>
          <w:rStyle w:val="24"/>
          <w:rFonts w:hint="eastAsia" w:ascii="宋体" w:hAnsi="宋体"/>
          <w:color w:val="auto"/>
          <w:highlight w:val="none"/>
        </w:rPr>
        <w:t>。</w:t>
      </w:r>
      <w:bookmarkEnd w:id="465"/>
      <w:bookmarkEnd w:id="466"/>
      <w:bookmarkEnd w:id="467"/>
      <w:bookmarkEnd w:id="468"/>
      <w:r>
        <w:rPr>
          <w:rFonts w:hint="eastAsia" w:ascii="宋体" w:hAnsi="宋体"/>
          <w:color w:val="auto"/>
          <w:highlight w:val="none"/>
        </w:rPr>
        <w:t>围绕我省经济社会和科技发展需求，整合省内优势资源，聚集省内外高水平人才和创新团队，支持推进省级实验室、</w:t>
      </w:r>
      <w:r>
        <w:rPr>
          <w:rFonts w:hint="eastAsia"/>
          <w:color w:val="auto"/>
          <w:highlight w:val="none"/>
          <w:lang w:eastAsia="zh-CN"/>
        </w:rPr>
        <w:t>工程研究中心、</w:t>
      </w:r>
      <w:r>
        <w:rPr>
          <w:rFonts w:hint="eastAsia" w:ascii="宋体" w:hAnsi="宋体"/>
          <w:color w:val="auto"/>
          <w:highlight w:val="none"/>
        </w:rPr>
        <w:t>科技创新中心、</w:t>
      </w:r>
      <w:r>
        <w:rPr>
          <w:rFonts w:hint="eastAsia"/>
          <w:color w:val="auto"/>
          <w:highlight w:val="none"/>
          <w:lang w:eastAsia="zh-CN"/>
        </w:rPr>
        <w:t>产业创新中心、</w:t>
      </w:r>
      <w:r>
        <w:rPr>
          <w:rFonts w:hint="eastAsia" w:ascii="宋体" w:hAnsi="宋体"/>
          <w:color w:val="auto"/>
          <w:highlight w:val="none"/>
        </w:rPr>
        <w:t>临床医学中心、国际科技合作基地等建设，打造一流科技创新基地。建立完善财政投入机制，视基地类型、实施主体、领域方向、建设（运行）成效、盈利预期（状况）不同，分类采取择优立项、绩效奖补等支持方式。</w:t>
      </w:r>
    </w:p>
    <w:p>
      <w:pPr>
        <w:pStyle w:val="5"/>
        <w:rPr>
          <w:rFonts w:ascii="宋体" w:hAnsi="宋体"/>
          <w:color w:val="auto"/>
          <w:highlight w:val="none"/>
        </w:rPr>
      </w:pPr>
      <w:bookmarkStart w:id="469" w:name="_Toc25830"/>
      <w:bookmarkStart w:id="470" w:name="_Toc22183"/>
      <w:bookmarkStart w:id="471" w:name="_Toc12222"/>
      <w:bookmarkStart w:id="472" w:name="_Toc6909"/>
      <w:bookmarkStart w:id="473" w:name="_Toc27536"/>
      <w:bookmarkStart w:id="474" w:name="_Toc31581"/>
      <w:r>
        <w:rPr>
          <w:rFonts w:hint="eastAsia" w:ascii="宋体" w:hAnsi="宋体"/>
          <w:color w:val="auto"/>
          <w:highlight w:val="none"/>
          <w:lang w:eastAsia="zh-CN"/>
        </w:rPr>
        <w:t>（二）</w:t>
      </w:r>
      <w:r>
        <w:rPr>
          <w:rFonts w:hint="eastAsia" w:ascii="宋体" w:hAnsi="宋体"/>
          <w:color w:val="auto"/>
          <w:highlight w:val="none"/>
        </w:rPr>
        <w:t>支持完善以企业为主体的技术创新体系</w:t>
      </w:r>
      <w:bookmarkEnd w:id="469"/>
      <w:bookmarkEnd w:id="470"/>
      <w:bookmarkEnd w:id="471"/>
      <w:bookmarkEnd w:id="472"/>
      <w:bookmarkEnd w:id="473"/>
      <w:bookmarkEnd w:id="474"/>
    </w:p>
    <w:p>
      <w:pPr>
        <w:rPr>
          <w:rFonts w:ascii="宋体" w:hAnsi="宋体"/>
          <w:color w:val="auto"/>
          <w:highlight w:val="none"/>
        </w:rPr>
      </w:pPr>
      <w:r>
        <w:rPr>
          <w:rFonts w:hint="eastAsia" w:ascii="宋体" w:hAnsi="宋体"/>
          <w:color w:val="auto"/>
          <w:highlight w:val="none"/>
        </w:rPr>
        <w:t>落实和完善促进企业科技创新的财税支持政策，鼓励企业加大研发投入，对建立研发准备金制度的企业创新项目和创新平台给予倾斜扶持；发挥政府投资基金引导作用，推动提升企业创新能力和产学研深度融合；促进各类创新要素向企业集聚，支持培育核心技术能力突出、集成创新能力强的创新型领军企业，壮大专精特新“小巨人”企业、科技型中小微企业群体。</w:t>
      </w:r>
    </w:p>
    <w:p>
      <w:pPr>
        <w:pStyle w:val="5"/>
        <w:rPr>
          <w:rFonts w:ascii="宋体" w:hAnsi="宋体"/>
          <w:color w:val="auto"/>
          <w:highlight w:val="none"/>
        </w:rPr>
      </w:pPr>
      <w:bookmarkStart w:id="475" w:name="_Toc13368"/>
      <w:bookmarkStart w:id="476" w:name="_Toc26391"/>
      <w:bookmarkStart w:id="477" w:name="_Toc18325"/>
      <w:bookmarkStart w:id="478" w:name="_Toc2519"/>
      <w:bookmarkStart w:id="479" w:name="_Toc16153"/>
      <w:bookmarkStart w:id="480" w:name="_Toc14196"/>
      <w:r>
        <w:rPr>
          <w:rFonts w:hint="eastAsia" w:ascii="宋体" w:hAnsi="宋体"/>
          <w:color w:val="auto"/>
          <w:highlight w:val="none"/>
        </w:rPr>
        <w:t>（三）支持深化人才发展体制机制改革</w:t>
      </w:r>
      <w:bookmarkEnd w:id="475"/>
      <w:bookmarkEnd w:id="476"/>
      <w:bookmarkEnd w:id="477"/>
      <w:bookmarkEnd w:id="478"/>
      <w:bookmarkEnd w:id="479"/>
      <w:bookmarkEnd w:id="480"/>
    </w:p>
    <w:p>
      <w:pPr>
        <w:ind w:firstLine="643"/>
        <w:rPr>
          <w:rFonts w:ascii="宋体" w:hAnsi="宋体"/>
          <w:color w:val="auto"/>
          <w:highlight w:val="none"/>
        </w:rPr>
      </w:pPr>
      <w:bookmarkStart w:id="481" w:name="_Toc6602"/>
      <w:bookmarkStart w:id="482" w:name="_Toc30096"/>
      <w:bookmarkStart w:id="483" w:name="_Toc24427"/>
      <w:bookmarkStart w:id="484" w:name="_Toc27417"/>
      <w:bookmarkStart w:id="485" w:name="_Toc28932"/>
      <w:r>
        <w:rPr>
          <w:rStyle w:val="24"/>
          <w:rFonts w:hint="eastAsia" w:ascii="宋体" w:hAnsi="宋体"/>
          <w:color w:val="auto"/>
          <w:highlight w:val="none"/>
        </w:rPr>
        <w:t>1.支持培养高层次人才队伍。</w:t>
      </w:r>
      <w:bookmarkEnd w:id="481"/>
      <w:bookmarkEnd w:id="482"/>
      <w:bookmarkEnd w:id="483"/>
      <w:bookmarkEnd w:id="484"/>
      <w:bookmarkEnd w:id="485"/>
      <w:r>
        <w:rPr>
          <w:rFonts w:hint="eastAsia" w:ascii="宋体" w:hAnsi="宋体"/>
          <w:color w:val="auto"/>
          <w:highlight w:val="none"/>
        </w:rPr>
        <w:t>充分发挥财政资金引导和撬动作用，通过“长白山人才工程”、“候鸟型”人才引进和使用等政策的实施和创新，积极引进培养各专业领域杰出人才、紧缺人才、领军人才和青年拔尖人才。加大“吉人回乡”引才力度，支持高校加强学科和专业建设，支持鼓励高校毕业生留省就业创业，支持深化产教融合、产学研合作，注重依托重大科技任务和重大创新基地培养发现人才，壮大实用专业技术人才和技能人才队伍。支持建立“产业链+人才”工作机制，制定专项人才引进计划，支持重点企业吸引“高精尖缺”人才及团队。优化留才环境，健全人才服务政策体系，支持建立完善绩效分配、职称评聘、职级晋升、科研立项等激励制度，强化住房安家补贴、配偶就业、子女教育、医疗健康等服务保障，创造拴心留人条件。</w:t>
      </w:r>
    </w:p>
    <w:p>
      <w:pPr>
        <w:ind w:firstLine="643"/>
        <w:rPr>
          <w:rFonts w:ascii="宋体" w:hAnsi="宋体"/>
          <w:color w:val="auto"/>
          <w:highlight w:val="none"/>
        </w:rPr>
      </w:pPr>
      <w:bookmarkStart w:id="486" w:name="_Toc13165"/>
      <w:bookmarkStart w:id="487" w:name="_Toc4516"/>
      <w:bookmarkStart w:id="488" w:name="_Toc12696"/>
      <w:bookmarkStart w:id="489" w:name="_Toc32155"/>
      <w:bookmarkStart w:id="490" w:name="_Toc9862"/>
      <w:r>
        <w:rPr>
          <w:rStyle w:val="24"/>
          <w:rFonts w:hint="eastAsia"/>
          <w:color w:val="auto"/>
          <w:highlight w:val="none"/>
          <w:lang w:val="en-US" w:eastAsia="zh-CN"/>
        </w:rPr>
        <w:t>2</w:t>
      </w:r>
      <w:r>
        <w:rPr>
          <w:rStyle w:val="24"/>
          <w:rFonts w:hint="eastAsia" w:ascii="宋体" w:hAnsi="宋体"/>
          <w:color w:val="auto"/>
          <w:highlight w:val="none"/>
        </w:rPr>
        <w:t>.支持发展高水平研究型大学，加强基础研究人才培养。</w:t>
      </w:r>
      <w:bookmarkEnd w:id="486"/>
      <w:bookmarkEnd w:id="487"/>
      <w:bookmarkEnd w:id="488"/>
      <w:bookmarkEnd w:id="489"/>
      <w:bookmarkEnd w:id="490"/>
      <w:r>
        <w:rPr>
          <w:rFonts w:hint="eastAsia" w:ascii="宋体" w:hAnsi="宋体"/>
          <w:color w:val="auto"/>
          <w:highlight w:val="none"/>
        </w:rPr>
        <w:t>开展特色高水平大学建设和“一流学科”培育工作，推动基础学科、特色高水平学科发展，重点打造一批特色高水平研究型、应用研究型大学。支持吉林大学、东北师范大学“双一流”建设，促进人才队伍培养和引育。大力实施科教融合，强化基础研究，提升研究生培养质量和高校科技创新水平。</w:t>
      </w:r>
    </w:p>
    <w:p>
      <w:pPr>
        <w:pStyle w:val="5"/>
        <w:rPr>
          <w:rFonts w:ascii="宋体" w:hAnsi="宋体"/>
          <w:color w:val="auto"/>
          <w:szCs w:val="32"/>
          <w:highlight w:val="none"/>
        </w:rPr>
      </w:pPr>
      <w:bookmarkStart w:id="491" w:name="_Toc6310"/>
      <w:bookmarkStart w:id="492" w:name="_Toc30390"/>
      <w:bookmarkStart w:id="493" w:name="_Toc24907"/>
      <w:bookmarkStart w:id="494" w:name="_Toc26131"/>
      <w:bookmarkStart w:id="495" w:name="_Toc29505"/>
      <w:bookmarkStart w:id="496" w:name="_Toc14506"/>
      <w:r>
        <w:rPr>
          <w:rFonts w:hint="eastAsia" w:ascii="宋体" w:hAnsi="宋体"/>
          <w:color w:val="auto"/>
          <w:szCs w:val="32"/>
          <w:highlight w:val="none"/>
        </w:rPr>
        <w:t>（四）</w:t>
      </w:r>
      <w:r>
        <w:rPr>
          <w:rFonts w:hint="eastAsia"/>
          <w:color w:val="auto"/>
          <w:szCs w:val="32"/>
          <w:highlight w:val="none"/>
          <w:lang w:eastAsia="zh-CN"/>
        </w:rPr>
        <w:t>支持</w:t>
      </w:r>
      <w:r>
        <w:rPr>
          <w:rFonts w:hint="eastAsia" w:ascii="宋体" w:hAnsi="宋体"/>
          <w:color w:val="auto"/>
          <w:szCs w:val="32"/>
          <w:highlight w:val="none"/>
        </w:rPr>
        <w:t>完善科技创新体制机制</w:t>
      </w:r>
      <w:bookmarkEnd w:id="491"/>
      <w:bookmarkEnd w:id="492"/>
      <w:bookmarkEnd w:id="493"/>
      <w:bookmarkEnd w:id="494"/>
      <w:bookmarkEnd w:id="495"/>
      <w:bookmarkEnd w:id="496"/>
    </w:p>
    <w:p>
      <w:pPr>
        <w:ind w:firstLine="643"/>
        <w:rPr>
          <w:rFonts w:ascii="宋体" w:hAnsi="宋体"/>
          <w:color w:val="auto"/>
          <w:highlight w:val="none"/>
        </w:rPr>
      </w:pPr>
      <w:bookmarkStart w:id="497" w:name="_Toc24128"/>
      <w:bookmarkStart w:id="498" w:name="_Toc15117"/>
      <w:bookmarkStart w:id="499" w:name="_Toc15684"/>
      <w:bookmarkStart w:id="500" w:name="_Toc21480"/>
      <w:bookmarkStart w:id="501" w:name="_Toc18745"/>
      <w:r>
        <w:rPr>
          <w:rStyle w:val="24"/>
          <w:rFonts w:hint="eastAsia"/>
        </w:rPr>
        <w:t>1.</w:t>
      </w:r>
      <w:bookmarkEnd w:id="497"/>
      <w:bookmarkEnd w:id="498"/>
      <w:bookmarkEnd w:id="499"/>
      <w:bookmarkEnd w:id="500"/>
      <w:bookmarkEnd w:id="501"/>
      <w:r>
        <w:rPr>
          <w:rStyle w:val="24"/>
          <w:rFonts w:hint="eastAsia"/>
        </w:rPr>
        <w:t>强化科技创新财政投入机制</w:t>
      </w:r>
      <w:r>
        <w:rPr>
          <w:rStyle w:val="24"/>
          <w:rFonts w:hint="eastAsia"/>
          <w:lang w:eastAsia="zh-CN"/>
        </w:rPr>
        <w:t>。</w:t>
      </w:r>
      <w:r>
        <w:rPr>
          <w:rFonts w:hint="eastAsia" w:ascii="宋体" w:hAnsi="宋体"/>
          <w:color w:val="auto"/>
          <w:highlight w:val="none"/>
        </w:rPr>
        <w:t>坚持把科技作为财政支出重点领域，优化支出结构、聚焦投入重点，加大对基础研究、关键核心技术攻关和科技成果转化应用等支持力度；</w:t>
      </w:r>
      <w:r>
        <w:rPr>
          <w:rFonts w:hint="eastAsia"/>
          <w:color w:val="auto"/>
          <w:highlight w:val="none"/>
          <w:lang w:eastAsia="zh-CN"/>
        </w:rPr>
        <w:t>突出企业主体作用，</w:t>
      </w:r>
      <w:r>
        <w:rPr>
          <w:rFonts w:hint="eastAsia" w:ascii="宋体" w:hAnsi="宋体"/>
          <w:color w:val="auto"/>
          <w:highlight w:val="none"/>
        </w:rPr>
        <w:t>创新支持方式，通过政府引导基金、科技计划后补助、实行“揭榜挂帅”等方式，引导和带动社会资源进入创新领域，</w:t>
      </w:r>
      <w:r>
        <w:rPr>
          <w:rFonts w:hint="eastAsia"/>
          <w:color w:val="auto"/>
          <w:highlight w:val="none"/>
          <w:lang w:eastAsia="zh-CN"/>
        </w:rPr>
        <w:t>构建多元化投入保障机制</w:t>
      </w:r>
      <w:r>
        <w:rPr>
          <w:rFonts w:hint="eastAsia" w:ascii="宋体" w:hAnsi="宋体"/>
          <w:color w:val="auto"/>
          <w:highlight w:val="none"/>
        </w:rPr>
        <w:t>。</w:t>
      </w:r>
    </w:p>
    <w:p>
      <w:pPr>
        <w:ind w:firstLine="643"/>
        <w:rPr>
          <w:rFonts w:ascii="宋体" w:hAnsi="宋体"/>
          <w:color w:val="auto"/>
          <w:highlight w:val="none"/>
        </w:rPr>
      </w:pPr>
      <w:bookmarkStart w:id="502" w:name="_Toc21145"/>
      <w:bookmarkStart w:id="503" w:name="_Toc29967"/>
      <w:bookmarkStart w:id="504" w:name="_Toc22859"/>
      <w:bookmarkStart w:id="505" w:name="_Toc32677"/>
      <w:bookmarkStart w:id="506" w:name="_Toc23502"/>
      <w:bookmarkStart w:id="507" w:name="_Toc5456"/>
      <w:bookmarkStart w:id="508" w:name="_Toc15750"/>
      <w:bookmarkStart w:id="509" w:name="_Toc24255"/>
      <w:bookmarkStart w:id="510" w:name="_Toc32047"/>
      <w:bookmarkStart w:id="511" w:name="_Toc24229"/>
      <w:r>
        <w:rPr>
          <w:rStyle w:val="24"/>
          <w:rFonts w:hint="eastAsia" w:ascii="宋体" w:hAnsi="宋体"/>
          <w:color w:val="auto"/>
          <w:highlight w:val="none"/>
        </w:rPr>
        <w:t>2.健全创新激励和保障机制。</w:t>
      </w:r>
      <w:bookmarkEnd w:id="502"/>
      <w:bookmarkEnd w:id="503"/>
      <w:bookmarkEnd w:id="504"/>
      <w:bookmarkEnd w:id="505"/>
      <w:bookmarkEnd w:id="506"/>
      <w:r>
        <w:rPr>
          <w:rFonts w:hint="eastAsia" w:ascii="宋体" w:hAnsi="宋体"/>
          <w:color w:val="auto"/>
          <w:highlight w:val="none"/>
        </w:rPr>
        <w:t>激发人才创新活力，构建充分体现知识、技术等创新要素价值的收益分配机制，畅通高层次人才创新创业“绿色通道”，建立完善激励机制</w:t>
      </w:r>
      <w:r>
        <w:rPr>
          <w:rFonts w:hint="eastAsia"/>
          <w:color w:val="auto"/>
          <w:highlight w:val="none"/>
          <w:lang w:eastAsia="zh-CN"/>
        </w:rPr>
        <w:t>。完善财政科研经费管理方式，尊重科研规律，强化目标结果导向，减少不必要的过程管理，更好地符合科研活动需要；</w:t>
      </w:r>
      <w:r>
        <w:rPr>
          <w:rFonts w:hint="eastAsia" w:ascii="宋体" w:hAnsi="宋体"/>
          <w:color w:val="auto"/>
          <w:highlight w:val="none"/>
        </w:rPr>
        <w:t>赋予科研人员和高校院所更大经费管理使用自主权，赋予科研人员职务科技成果所有权和长期使用权，提高科研人员科技成果转化收益。</w:t>
      </w:r>
    </w:p>
    <w:p>
      <w:pPr>
        <w:ind w:firstLine="643"/>
        <w:rPr>
          <w:rFonts w:ascii="宋体" w:hAnsi="宋体"/>
          <w:color w:val="auto"/>
          <w:highlight w:val="none"/>
        </w:rPr>
      </w:pPr>
      <w:r>
        <w:rPr>
          <w:rStyle w:val="24"/>
          <w:rFonts w:hint="eastAsia"/>
          <w:color w:val="auto"/>
          <w:highlight w:val="none"/>
          <w:lang w:val="en-US" w:eastAsia="zh-CN"/>
        </w:rPr>
        <w:t>3</w:t>
      </w:r>
      <w:r>
        <w:rPr>
          <w:rStyle w:val="24"/>
          <w:rFonts w:hint="eastAsia" w:ascii="宋体" w:hAnsi="宋体"/>
          <w:color w:val="auto"/>
          <w:highlight w:val="none"/>
        </w:rPr>
        <w:t>.合理实施财政科技支出绩效评价。</w:t>
      </w:r>
      <w:bookmarkEnd w:id="507"/>
      <w:bookmarkEnd w:id="508"/>
      <w:bookmarkEnd w:id="509"/>
      <w:bookmarkEnd w:id="510"/>
      <w:bookmarkEnd w:id="511"/>
      <w:r>
        <w:rPr>
          <w:rFonts w:hint="eastAsia" w:ascii="宋体" w:hAnsi="宋体"/>
          <w:color w:val="auto"/>
          <w:highlight w:val="none"/>
        </w:rPr>
        <w:t>加快实施以结果和目标为导向的科技经费投入绩效管理，完善绩效评价指标体系，实行科研活动分类绩效评价，强化评价结果运用，推动科研资源向绩效评价优秀的人才和团队倾斜，提高财政科技资金配置效率和使用效益。</w:t>
      </w:r>
    </w:p>
    <w:p>
      <w:pPr>
        <w:ind w:firstLine="643"/>
        <w:rPr>
          <w:rFonts w:hint="eastAsia" w:ascii="宋体" w:hAnsi="宋体"/>
          <w:color w:val="auto"/>
          <w:highlight w:val="none"/>
        </w:rPr>
      </w:pPr>
      <w:bookmarkStart w:id="512" w:name="_Toc30047"/>
      <w:bookmarkStart w:id="513" w:name="_Toc22613"/>
      <w:bookmarkStart w:id="514" w:name="_Toc15414"/>
      <w:bookmarkStart w:id="515" w:name="_Toc15631"/>
      <w:bookmarkStart w:id="516" w:name="_Toc10908"/>
      <w:r>
        <w:rPr>
          <w:rStyle w:val="24"/>
          <w:rFonts w:hint="eastAsia"/>
          <w:color w:val="auto"/>
          <w:highlight w:val="none"/>
          <w:lang w:val="en-US" w:eastAsia="zh-CN"/>
        </w:rPr>
        <w:t>4</w:t>
      </w:r>
      <w:r>
        <w:rPr>
          <w:rStyle w:val="24"/>
          <w:rFonts w:hint="eastAsia" w:ascii="宋体" w:hAnsi="宋体"/>
          <w:color w:val="auto"/>
          <w:highlight w:val="none"/>
        </w:rPr>
        <w:t>.支持加强科普工作</w:t>
      </w:r>
      <w:bookmarkEnd w:id="512"/>
      <w:r>
        <w:rPr>
          <w:rStyle w:val="24"/>
          <w:rFonts w:hint="eastAsia" w:ascii="宋体" w:hAnsi="宋体"/>
          <w:color w:val="auto"/>
          <w:highlight w:val="none"/>
        </w:rPr>
        <w:t>。</w:t>
      </w:r>
      <w:bookmarkEnd w:id="513"/>
      <w:bookmarkEnd w:id="514"/>
      <w:bookmarkEnd w:id="515"/>
      <w:bookmarkEnd w:id="516"/>
      <w:r>
        <w:rPr>
          <w:rFonts w:hint="eastAsia" w:ascii="宋体" w:hAnsi="宋体"/>
          <w:color w:val="auto"/>
          <w:highlight w:val="none"/>
        </w:rPr>
        <w:t>坚持把科普放在与科技创新同等重要的位置。支持深入实施全民科学素质行动建设计划、基层科普行动计划，完善科普公共服务体系，提高基层群众科学素质，带动各地科普惠农支农积极性。支持科技馆免费开放，增强科技馆公共科普服务能力。</w:t>
      </w:r>
    </w:p>
    <w:p>
      <w:pPr>
        <w:pStyle w:val="4"/>
        <w:ind w:firstLine="640" w:firstLineChars="200"/>
        <w:rPr>
          <w:rFonts w:hint="eastAsia" w:ascii="宋体" w:hAnsi="宋体" w:eastAsia="黑体" w:cs="黑体"/>
          <w:color w:val="auto"/>
          <w:szCs w:val="32"/>
          <w:highlight w:val="none"/>
          <w:lang w:eastAsia="zh-CN"/>
        </w:rPr>
      </w:pPr>
      <w:bookmarkStart w:id="517" w:name="_Toc15061"/>
      <w:bookmarkStart w:id="518" w:name="_Toc9808"/>
      <w:bookmarkStart w:id="519" w:name="_Toc29362"/>
      <w:bookmarkStart w:id="520" w:name="_Toc16399"/>
      <w:bookmarkStart w:id="521" w:name="_Toc15755"/>
      <w:bookmarkStart w:id="522" w:name="_Toc3146"/>
      <w:r>
        <w:rPr>
          <w:rFonts w:hint="eastAsia" w:ascii="宋体" w:hAnsi="宋体" w:cs="黑体"/>
          <w:color w:val="auto"/>
          <w:szCs w:val="32"/>
          <w:highlight w:val="none"/>
          <w:lang w:eastAsia="zh-CN"/>
        </w:rPr>
        <w:t>十</w:t>
      </w:r>
      <w:r>
        <w:rPr>
          <w:rFonts w:hint="eastAsia" w:ascii="宋体" w:hAnsi="宋体" w:cs="黑体"/>
          <w:color w:val="auto"/>
          <w:szCs w:val="32"/>
          <w:highlight w:val="none"/>
        </w:rPr>
        <w:t>、</w:t>
      </w:r>
      <w:bookmarkEnd w:id="517"/>
      <w:bookmarkEnd w:id="518"/>
      <w:bookmarkEnd w:id="519"/>
      <w:bookmarkEnd w:id="520"/>
      <w:bookmarkEnd w:id="521"/>
      <w:r>
        <w:rPr>
          <w:rFonts w:hint="eastAsia" w:ascii="宋体" w:hAnsi="宋体" w:cs="黑体"/>
          <w:color w:val="auto"/>
          <w:szCs w:val="32"/>
          <w:highlight w:val="none"/>
          <w:lang w:eastAsia="zh-CN"/>
        </w:rPr>
        <w:t>构建拉动经济新发展格局</w:t>
      </w:r>
      <w:bookmarkEnd w:id="522"/>
    </w:p>
    <w:p>
      <w:pPr>
        <w:rPr>
          <w:rFonts w:ascii="宋体" w:hAnsi="宋体"/>
          <w:color w:val="auto"/>
          <w:highlight w:val="none"/>
        </w:rPr>
      </w:pPr>
      <w:bookmarkStart w:id="523" w:name="_Toc1773"/>
      <w:r>
        <w:rPr>
          <w:rFonts w:hint="eastAsia" w:ascii="宋体" w:hAnsi="宋体"/>
          <w:color w:val="auto"/>
          <w:highlight w:val="none"/>
          <w:lang w:eastAsia="zh-CN"/>
        </w:rPr>
        <w:t>全面促进消费</w:t>
      </w:r>
      <w:r>
        <w:rPr>
          <w:rFonts w:hint="eastAsia" w:ascii="宋体" w:hAnsi="宋体"/>
          <w:color w:val="auto"/>
          <w:highlight w:val="none"/>
        </w:rPr>
        <w:t>，</w:t>
      </w:r>
      <w:r>
        <w:rPr>
          <w:rFonts w:hint="eastAsia" w:ascii="宋体" w:hAnsi="宋体"/>
          <w:color w:val="auto"/>
          <w:highlight w:val="none"/>
          <w:lang w:eastAsia="zh-CN"/>
        </w:rPr>
        <w:t>加快培育壮大内需体系，</w:t>
      </w:r>
      <w:r>
        <w:rPr>
          <w:rFonts w:hint="eastAsia" w:ascii="宋体" w:hAnsi="宋体"/>
          <w:color w:val="auto"/>
          <w:highlight w:val="none"/>
        </w:rPr>
        <w:t>提升供给体系对需求适配性，</w:t>
      </w:r>
      <w:r>
        <w:rPr>
          <w:rFonts w:hint="eastAsia"/>
          <w:color w:val="auto"/>
          <w:highlight w:val="none"/>
          <w:lang w:eastAsia="zh-CN"/>
        </w:rPr>
        <w:t>完善现代商贸流通体系，</w:t>
      </w:r>
      <w:r>
        <w:rPr>
          <w:rFonts w:hint="eastAsia" w:ascii="宋体" w:hAnsi="宋体"/>
          <w:color w:val="auto"/>
          <w:highlight w:val="none"/>
          <w:lang w:eastAsia="zh-CN"/>
        </w:rPr>
        <w:t>加强合作交流</w:t>
      </w:r>
      <w:r>
        <w:rPr>
          <w:rFonts w:hint="eastAsia" w:ascii="宋体" w:hAnsi="宋体"/>
          <w:color w:val="auto"/>
          <w:highlight w:val="none"/>
        </w:rPr>
        <w:t>、</w:t>
      </w:r>
      <w:r>
        <w:rPr>
          <w:rFonts w:hint="eastAsia" w:ascii="宋体" w:hAnsi="宋体"/>
          <w:color w:val="auto"/>
          <w:highlight w:val="none"/>
          <w:lang w:eastAsia="zh-CN"/>
        </w:rPr>
        <w:t>畅通流通渠道</w:t>
      </w:r>
      <w:r>
        <w:rPr>
          <w:rFonts w:hint="eastAsia" w:ascii="宋体" w:hAnsi="宋体"/>
          <w:color w:val="auto"/>
          <w:highlight w:val="none"/>
        </w:rPr>
        <w:t>，在深度融入新发展格局中构筑发展新优势。</w:t>
      </w:r>
    </w:p>
    <w:p>
      <w:pPr>
        <w:pStyle w:val="5"/>
        <w:rPr>
          <w:rFonts w:ascii="宋体" w:hAnsi="宋体"/>
          <w:color w:val="auto"/>
          <w:highlight w:val="none"/>
        </w:rPr>
      </w:pPr>
      <w:bookmarkStart w:id="524" w:name="_Toc17637"/>
      <w:bookmarkStart w:id="525" w:name="_Toc5377"/>
      <w:bookmarkStart w:id="526" w:name="_Toc25085"/>
      <w:bookmarkStart w:id="527" w:name="_Toc4319"/>
      <w:bookmarkStart w:id="528" w:name="_Toc25747"/>
      <w:r>
        <w:rPr>
          <w:rFonts w:hint="eastAsia" w:ascii="宋体" w:hAnsi="宋体"/>
          <w:color w:val="auto"/>
          <w:highlight w:val="none"/>
        </w:rPr>
        <w:t>（一）引导激发消费潜力</w:t>
      </w:r>
      <w:bookmarkEnd w:id="523"/>
      <w:bookmarkEnd w:id="524"/>
      <w:bookmarkEnd w:id="525"/>
      <w:bookmarkEnd w:id="526"/>
      <w:bookmarkEnd w:id="527"/>
      <w:bookmarkEnd w:id="528"/>
    </w:p>
    <w:p>
      <w:pPr>
        <w:ind w:firstLine="643"/>
        <w:rPr>
          <w:rFonts w:ascii="宋体" w:hAnsi="宋体"/>
          <w:color w:val="auto"/>
          <w:highlight w:val="none"/>
        </w:rPr>
      </w:pPr>
      <w:bookmarkStart w:id="529" w:name="_Toc29346"/>
      <w:bookmarkStart w:id="530" w:name="_Toc2814"/>
      <w:bookmarkStart w:id="531" w:name="_Toc29943"/>
      <w:bookmarkStart w:id="532" w:name="_Toc23683"/>
      <w:bookmarkStart w:id="533" w:name="_Toc23124"/>
      <w:r>
        <w:rPr>
          <w:rStyle w:val="24"/>
          <w:rFonts w:hint="eastAsia" w:ascii="宋体" w:hAnsi="宋体"/>
          <w:color w:val="auto"/>
          <w:highlight w:val="none"/>
        </w:rPr>
        <w:t>1.推动提升传统消费，培育新型消费。</w:t>
      </w:r>
      <w:bookmarkEnd w:id="529"/>
      <w:bookmarkEnd w:id="530"/>
      <w:bookmarkEnd w:id="531"/>
      <w:bookmarkEnd w:id="532"/>
      <w:bookmarkEnd w:id="533"/>
      <w:r>
        <w:rPr>
          <w:rFonts w:hint="eastAsia" w:ascii="宋体" w:hAnsi="宋体"/>
          <w:color w:val="auto"/>
          <w:highlight w:val="none"/>
        </w:rPr>
        <w:t>支持提升传统消费，推动汽车、家电等大额消费，充分利用现有资金渠道，促进城乡消费提质扩容，激发文旅消费市场活力，推动家政服务业发展，扩大服务消费市场。</w:t>
      </w:r>
    </w:p>
    <w:p>
      <w:pPr>
        <w:ind w:firstLine="643"/>
        <w:rPr>
          <w:rFonts w:ascii="宋体" w:hAnsi="宋体" w:cs="Times New Roman"/>
          <w:color w:val="auto"/>
          <w:highlight w:val="none"/>
          <w:shd w:val="clear" w:color="auto" w:fill="FFFFFF"/>
        </w:rPr>
      </w:pPr>
      <w:bookmarkStart w:id="534" w:name="_Toc21459"/>
      <w:bookmarkStart w:id="535" w:name="_Toc9746"/>
      <w:bookmarkStart w:id="536" w:name="_Toc26103"/>
      <w:bookmarkStart w:id="537" w:name="_Toc30174"/>
      <w:bookmarkStart w:id="538" w:name="_Toc2751"/>
      <w:r>
        <w:rPr>
          <w:rStyle w:val="24"/>
          <w:rFonts w:hint="eastAsia" w:ascii="宋体" w:hAnsi="宋体"/>
        </w:rPr>
        <w:t>2.引导鼓励消费新模式新业态发展。</w:t>
      </w:r>
      <w:bookmarkEnd w:id="534"/>
      <w:bookmarkEnd w:id="535"/>
      <w:bookmarkEnd w:id="536"/>
      <w:bookmarkEnd w:id="537"/>
      <w:bookmarkEnd w:id="538"/>
      <w:r>
        <w:rPr>
          <w:rFonts w:hint="eastAsia" w:ascii="宋体" w:hAnsi="宋体" w:cs="Times New Roman"/>
          <w:color w:val="auto"/>
          <w:highlight w:val="none"/>
          <w:lang w:eastAsia="zh-CN"/>
        </w:rPr>
        <w:t>推动</w:t>
      </w:r>
      <w:r>
        <w:rPr>
          <w:rFonts w:hint="eastAsia" w:ascii="宋体" w:hAnsi="宋体" w:cs="Times New Roman"/>
          <w:color w:val="auto"/>
          <w:highlight w:val="none"/>
        </w:rPr>
        <w:t>节假日消费和夜间消费，培育夜经济示范城市，推进一刻钟便民生活圈建设，改造提升商业步行街，促进相关综合服务和配套基础设施建设</w:t>
      </w:r>
      <w:r>
        <w:rPr>
          <w:rFonts w:hint="eastAsia" w:ascii="宋体" w:hAnsi="宋体" w:cs="Times New Roman"/>
          <w:color w:val="auto"/>
          <w:highlight w:val="none"/>
          <w:lang w:eastAsia="zh-CN"/>
        </w:rPr>
        <w:t>。</w:t>
      </w:r>
      <w:r>
        <w:rPr>
          <w:rFonts w:hint="eastAsia" w:ascii="宋体" w:hAnsi="宋体" w:cs="Times New Roman"/>
          <w:color w:val="auto"/>
          <w:highlight w:val="none"/>
        </w:rPr>
        <w:t>进一步拓展线上消费领域，支持完善“互联网+”消费体系，推进线上线下消费深度融合</w:t>
      </w:r>
      <w:r>
        <w:rPr>
          <w:rFonts w:hint="eastAsia" w:ascii="宋体" w:hAnsi="宋体" w:cs="Times New Roman"/>
          <w:color w:val="auto"/>
          <w:highlight w:val="none"/>
          <w:lang w:eastAsia="zh-CN"/>
        </w:rPr>
        <w:t>。</w:t>
      </w:r>
      <w:r>
        <w:rPr>
          <w:rFonts w:hint="eastAsia" w:ascii="宋体" w:hAnsi="宋体" w:cs="Times New Roman"/>
          <w:color w:val="auto"/>
          <w:highlight w:val="none"/>
        </w:rPr>
        <w:t>研究对新型消费领域企业</w:t>
      </w:r>
      <w:r>
        <w:rPr>
          <w:rFonts w:hint="eastAsia" w:ascii="宋体" w:hAnsi="宋体" w:cs="Times New Roman"/>
          <w:color w:val="auto"/>
          <w:highlight w:val="none"/>
          <w:lang w:eastAsia="zh-CN"/>
        </w:rPr>
        <w:t>进一步</w:t>
      </w:r>
      <w:r>
        <w:rPr>
          <w:rFonts w:hint="eastAsia" w:ascii="宋体" w:hAnsi="宋体" w:cs="Times New Roman"/>
          <w:color w:val="auto"/>
          <w:highlight w:val="none"/>
        </w:rPr>
        <w:t>优化税收征管措施</w:t>
      </w:r>
      <w:r>
        <w:rPr>
          <w:rFonts w:hint="eastAsia" w:ascii="宋体" w:hAnsi="宋体" w:cs="Times New Roman"/>
          <w:color w:val="auto"/>
          <w:highlight w:val="none"/>
          <w:lang w:eastAsia="zh-CN"/>
        </w:rPr>
        <w:t>。</w:t>
      </w:r>
      <w:r>
        <w:rPr>
          <w:rFonts w:hint="eastAsia" w:ascii="宋体" w:hAnsi="宋体" w:cs="Times New Roman"/>
          <w:color w:val="auto"/>
          <w:highlight w:val="none"/>
        </w:rPr>
        <w:t>优化金融服务，深化政银企合作，发展股权投资基金，拓展新型消费领域投融资渠道，推动生产要素向新型消费领域转移和集聚。</w:t>
      </w:r>
    </w:p>
    <w:p>
      <w:pPr>
        <w:ind w:firstLine="643"/>
        <w:rPr>
          <w:rFonts w:ascii="宋体" w:hAnsi="宋体" w:cs="Times New Roman"/>
          <w:color w:val="auto"/>
          <w:highlight w:val="none"/>
        </w:rPr>
      </w:pPr>
      <w:bookmarkStart w:id="539" w:name="_Toc28810"/>
      <w:bookmarkStart w:id="540" w:name="_Toc13434"/>
      <w:bookmarkStart w:id="541" w:name="_Toc26050"/>
      <w:bookmarkStart w:id="542" w:name="_Toc10909"/>
      <w:bookmarkStart w:id="543" w:name="_Toc13321"/>
      <w:r>
        <w:rPr>
          <w:rStyle w:val="24"/>
          <w:rFonts w:hint="eastAsia" w:ascii="宋体" w:hAnsi="宋体"/>
        </w:rPr>
        <w:t>3.完善农村流通体系。</w:t>
      </w:r>
      <w:bookmarkEnd w:id="539"/>
      <w:bookmarkEnd w:id="540"/>
      <w:bookmarkEnd w:id="541"/>
      <w:bookmarkEnd w:id="542"/>
      <w:bookmarkEnd w:id="543"/>
      <w:r>
        <w:rPr>
          <w:rFonts w:hint="eastAsia"/>
        </w:rPr>
        <w:t>加强县域商业体系建设，健全农村流通网络，加快农村市场主体培育，</w:t>
      </w:r>
      <w:r>
        <w:rPr>
          <w:rFonts w:hint="eastAsia" w:ascii="宋体" w:hAnsi="宋体" w:cs="Times New Roman"/>
          <w:color w:val="auto"/>
          <w:highlight w:val="none"/>
        </w:rPr>
        <w:t>支持发展县乡村三级物流配送体系，推进城市配送与农村配送有效衔接。改善县域消费环境，加强乡镇商贸设施建设，提高农村商品和服务供给品质，推动农村消费梯次升级，加快推进电子商务进农村，完善农产品流通体系，支持开展农产品产销对接活动，深化拓展消费帮扶。</w:t>
      </w:r>
    </w:p>
    <w:p>
      <w:pPr>
        <w:ind w:firstLine="643"/>
        <w:rPr>
          <w:rFonts w:ascii="宋体" w:hAnsi="宋体" w:cs="Times New Roman"/>
          <w:color w:val="auto"/>
          <w:highlight w:val="none"/>
        </w:rPr>
      </w:pPr>
      <w:bookmarkStart w:id="544" w:name="_Toc1947"/>
      <w:bookmarkStart w:id="545" w:name="_Toc13065"/>
      <w:bookmarkStart w:id="546" w:name="_Toc11538"/>
      <w:bookmarkStart w:id="547" w:name="_Toc19902"/>
      <w:bookmarkStart w:id="548" w:name="_Toc18962"/>
      <w:r>
        <w:rPr>
          <w:rStyle w:val="24"/>
          <w:rFonts w:hint="eastAsia" w:ascii="宋体" w:hAnsi="宋体"/>
        </w:rPr>
        <w:t>4.健全促进消费政策体系。</w:t>
      </w:r>
      <w:bookmarkEnd w:id="544"/>
      <w:bookmarkEnd w:id="545"/>
      <w:bookmarkEnd w:id="546"/>
      <w:bookmarkEnd w:id="547"/>
      <w:bookmarkEnd w:id="548"/>
      <w:r>
        <w:rPr>
          <w:rFonts w:hint="eastAsia" w:ascii="宋体" w:hAnsi="宋体" w:cs="Times New Roman"/>
          <w:color w:val="auto"/>
          <w:highlight w:val="none"/>
        </w:rPr>
        <w:t>完善消费政策，稳定消费预期。着力调动市县的积极性和主动性，推动重点消费领域提质扩容。规范商贸流通市场环境，加强消费领域追溯体系</w:t>
      </w:r>
      <w:r>
        <w:rPr>
          <w:rFonts w:hint="eastAsia" w:ascii="宋体" w:hAnsi="宋体" w:cs="Times New Roman"/>
          <w:color w:val="auto"/>
          <w:highlight w:val="none"/>
          <w:lang w:eastAsia="zh-CN"/>
        </w:rPr>
        <w:t>和</w:t>
      </w:r>
      <w:r>
        <w:rPr>
          <w:rFonts w:hint="eastAsia" w:ascii="宋体" w:hAnsi="宋体" w:cs="Times New Roman"/>
          <w:color w:val="auto"/>
          <w:highlight w:val="none"/>
        </w:rPr>
        <w:t>维护诚信等制度体系建设。</w:t>
      </w:r>
    </w:p>
    <w:p>
      <w:pPr>
        <w:pStyle w:val="5"/>
        <w:bidi w:val="0"/>
        <w:rPr>
          <w:rFonts w:ascii="宋体" w:hAnsi="宋体"/>
          <w:lang w:val="en-US" w:eastAsia="zh-CN"/>
        </w:rPr>
      </w:pPr>
      <w:bookmarkStart w:id="549" w:name="_Toc1113"/>
      <w:bookmarkStart w:id="550" w:name="_Toc5332"/>
      <w:bookmarkStart w:id="551" w:name="_Toc3640"/>
      <w:bookmarkStart w:id="552" w:name="_Toc17350"/>
      <w:bookmarkStart w:id="553" w:name="_Toc19882"/>
      <w:bookmarkStart w:id="554" w:name="_Toc27734"/>
      <w:r>
        <w:rPr>
          <w:rFonts w:hint="eastAsia" w:ascii="宋体" w:hAnsi="宋体"/>
          <w:lang w:val="en-US" w:eastAsia="zh-CN"/>
        </w:rPr>
        <w:t>（二）支持我省对外合作发展</w:t>
      </w:r>
      <w:bookmarkEnd w:id="549"/>
      <w:bookmarkEnd w:id="550"/>
      <w:bookmarkEnd w:id="551"/>
      <w:bookmarkEnd w:id="552"/>
      <w:bookmarkEnd w:id="553"/>
      <w:bookmarkEnd w:id="554"/>
    </w:p>
    <w:p>
      <w:pPr>
        <w:ind w:firstLine="643"/>
        <w:rPr>
          <w:rFonts w:hint="eastAsia" w:cs="Times New Roman"/>
          <w:color w:val="auto"/>
          <w:highlight w:val="none"/>
          <w:lang w:eastAsia="zh-CN"/>
        </w:rPr>
      </w:pPr>
      <w:bookmarkStart w:id="555" w:name="_Toc13935"/>
      <w:bookmarkStart w:id="556" w:name="_Toc24184"/>
      <w:bookmarkStart w:id="557" w:name="_Toc15244"/>
      <w:bookmarkStart w:id="558" w:name="_Toc25843"/>
      <w:bookmarkStart w:id="559" w:name="_Toc31061"/>
      <w:r>
        <w:rPr>
          <w:rStyle w:val="24"/>
          <w:rFonts w:hint="eastAsia" w:ascii="宋体" w:hAnsi="宋体"/>
        </w:rPr>
        <w:t>1.支持打造高水平开放合作平台。</w:t>
      </w:r>
      <w:bookmarkEnd w:id="555"/>
      <w:bookmarkEnd w:id="556"/>
      <w:bookmarkEnd w:id="557"/>
      <w:bookmarkEnd w:id="558"/>
      <w:bookmarkEnd w:id="559"/>
      <w:r>
        <w:rPr>
          <w:rFonts w:hint="eastAsia"/>
          <w:lang w:eastAsia="zh-CN"/>
        </w:rPr>
        <w:t>加快长吉图开发开放进程，支持长春新区、珲春海洋经济发展示范区、中新吉林食品区、长春临空经济示范区等重点开放合作平台建设发展。</w:t>
      </w:r>
      <w:r>
        <w:rPr>
          <w:rFonts w:hint="eastAsia" w:ascii="宋体" w:hAnsi="宋体" w:cs="Times New Roman"/>
          <w:color w:val="auto"/>
          <w:highlight w:val="none"/>
        </w:rPr>
        <w:t>支持举办中国</w:t>
      </w:r>
      <w:r>
        <w:rPr>
          <w:rFonts w:hint="eastAsia" w:ascii="宋体" w:hAnsi="宋体" w:eastAsia="宋体" w:cs="宋体"/>
          <w:color w:val="auto"/>
          <w:highlight w:val="none"/>
        </w:rPr>
        <w:t>－</w:t>
      </w:r>
      <w:r>
        <w:rPr>
          <w:rFonts w:hint="eastAsia" w:ascii="宋体" w:hAnsi="宋体" w:cs="Times New Roman"/>
          <w:color w:val="auto"/>
          <w:highlight w:val="none"/>
        </w:rPr>
        <w:t>东北亚博览会、全球吉商大会等大型展会活动，打造吉林高水平开放合作新名片。支持全省各级各类开发区改革和创新发展</w:t>
      </w:r>
      <w:r>
        <w:rPr>
          <w:rFonts w:hint="eastAsia" w:cs="Times New Roman"/>
          <w:color w:val="auto"/>
          <w:highlight w:val="none"/>
          <w:lang w:eastAsia="zh-CN"/>
        </w:rPr>
        <w:t>。</w:t>
      </w:r>
    </w:p>
    <w:p>
      <w:pPr>
        <w:bidi w:val="0"/>
        <w:rPr>
          <w:rFonts w:hint="eastAsia"/>
        </w:rPr>
      </w:pPr>
      <w:bookmarkStart w:id="560" w:name="_Toc13055"/>
      <w:bookmarkStart w:id="561" w:name="_Toc27802"/>
      <w:bookmarkStart w:id="562" w:name="_Toc21310"/>
      <w:bookmarkStart w:id="563" w:name="_Toc31145"/>
      <w:bookmarkStart w:id="564" w:name="_Toc31987"/>
      <w:r>
        <w:rPr>
          <w:rStyle w:val="24"/>
          <w:rFonts w:hint="eastAsia"/>
          <w:lang w:val="en-US" w:eastAsia="zh-CN"/>
        </w:rPr>
        <w:t>2.</w:t>
      </w:r>
      <w:r>
        <w:rPr>
          <w:rStyle w:val="24"/>
          <w:rFonts w:hint="eastAsia"/>
          <w:lang w:eastAsia="zh-CN"/>
        </w:rPr>
        <w:t>强化国内</w:t>
      </w:r>
      <w:r>
        <w:rPr>
          <w:rStyle w:val="24"/>
          <w:rFonts w:hint="eastAsia"/>
        </w:rPr>
        <w:t>合作</w:t>
      </w:r>
      <w:r>
        <w:rPr>
          <w:rStyle w:val="24"/>
          <w:rFonts w:hint="eastAsia"/>
          <w:lang w:eastAsia="zh-CN"/>
        </w:rPr>
        <w:t>交流。</w:t>
      </w:r>
      <w:r>
        <w:rPr>
          <w:rFonts w:hint="eastAsia" w:ascii="仿宋" w:hAnsi="仿宋" w:eastAsia="仿宋" w:cs="仿宋"/>
          <w:b w:val="0"/>
          <w:bCs w:val="0"/>
          <w:lang w:eastAsia="zh-CN"/>
        </w:rPr>
        <w:t>支持推进建设东北区域性共同市场，促进东北地区一体化发展；</w:t>
      </w:r>
      <w:r>
        <w:rPr>
          <w:rStyle w:val="24"/>
          <w:rFonts w:hint="eastAsia" w:ascii="仿宋" w:hAnsi="仿宋" w:eastAsia="仿宋" w:cs="仿宋"/>
          <w:b w:val="0"/>
          <w:bCs w:val="0"/>
          <w:lang w:eastAsia="zh-CN"/>
        </w:rPr>
        <w:t>支持</w:t>
      </w:r>
      <w:r>
        <w:rPr>
          <w:rFonts w:hint="eastAsia" w:ascii="仿宋" w:hAnsi="仿宋" w:eastAsia="仿宋" w:cs="仿宋"/>
          <w:b w:val="0"/>
          <w:bCs w:val="0"/>
        </w:rPr>
        <w:t>深化吉浙对口合作，促进吉林产品与浙江市场、吉林</w:t>
      </w:r>
      <w:r>
        <w:rPr>
          <w:rFonts w:hint="eastAsia" w:ascii="仿宋" w:hAnsi="仿宋" w:eastAsia="仿宋" w:cs="仿宋"/>
          <w:b w:val="0"/>
          <w:bCs w:val="0"/>
          <w:lang w:eastAsia="zh-CN"/>
        </w:rPr>
        <w:t>科技</w:t>
      </w:r>
      <w:r>
        <w:rPr>
          <w:rFonts w:hint="eastAsia" w:ascii="仿宋" w:hAnsi="仿宋" w:eastAsia="仿宋" w:cs="仿宋"/>
          <w:b w:val="0"/>
          <w:bCs w:val="0"/>
        </w:rPr>
        <w:t>与浙江</w:t>
      </w:r>
      <w:r>
        <w:rPr>
          <w:rFonts w:hint="eastAsia" w:ascii="仿宋" w:hAnsi="仿宋" w:eastAsia="仿宋" w:cs="仿宋"/>
          <w:b w:val="0"/>
          <w:bCs w:val="0"/>
          <w:lang w:eastAsia="zh-CN"/>
        </w:rPr>
        <w:t>应用</w:t>
      </w:r>
      <w:r>
        <w:rPr>
          <w:rFonts w:hint="eastAsia" w:ascii="仿宋" w:hAnsi="仿宋" w:eastAsia="仿宋" w:cs="仿宋"/>
          <w:b w:val="0"/>
          <w:bCs w:val="0"/>
        </w:rPr>
        <w:t>、吉林制造与浙江</w:t>
      </w:r>
      <w:r>
        <w:rPr>
          <w:rFonts w:hint="eastAsia" w:ascii="仿宋" w:hAnsi="仿宋" w:eastAsia="仿宋" w:cs="仿宋"/>
          <w:b w:val="0"/>
          <w:bCs w:val="0"/>
          <w:lang w:eastAsia="zh-CN"/>
        </w:rPr>
        <w:t>智</w:t>
      </w:r>
      <w:r>
        <w:rPr>
          <w:rFonts w:hint="eastAsia" w:ascii="仿宋" w:hAnsi="仿宋" w:eastAsia="仿宋" w:cs="仿宋"/>
          <w:b w:val="0"/>
          <w:bCs w:val="0"/>
        </w:rPr>
        <w:t>造深度对接，实现吉浙两地发展优势“基因重组”</w:t>
      </w:r>
      <w:r>
        <w:rPr>
          <w:rFonts w:hint="eastAsia" w:ascii="仿宋" w:hAnsi="仿宋" w:eastAsia="仿宋" w:cs="仿宋"/>
          <w:b w:val="0"/>
          <w:bCs w:val="0"/>
          <w:lang w:eastAsia="zh-CN"/>
        </w:rPr>
        <w:t>；</w:t>
      </w:r>
      <w:r>
        <w:rPr>
          <w:rStyle w:val="24"/>
          <w:rFonts w:hint="eastAsia" w:ascii="仿宋" w:hAnsi="仿宋" w:eastAsia="仿宋" w:cs="仿宋"/>
          <w:b w:val="0"/>
          <w:bCs w:val="0"/>
          <w:lang w:eastAsia="zh-CN"/>
        </w:rPr>
        <w:t>支持加强与国家重大区域发展战略对接合作，积极承接产业转移，开展多层次战略合作和产业协同，深度融入全国统一大市场。</w:t>
      </w:r>
    </w:p>
    <w:p>
      <w:pPr>
        <w:ind w:firstLine="643"/>
        <w:rPr>
          <w:rFonts w:ascii="宋体" w:hAnsi="宋体" w:cs="Times New Roman"/>
          <w:color w:val="auto"/>
          <w:highlight w:val="none"/>
        </w:rPr>
      </w:pPr>
      <w:r>
        <w:rPr>
          <w:rStyle w:val="24"/>
          <w:rFonts w:hint="eastAsia"/>
          <w:lang w:val="en-US" w:eastAsia="zh-CN"/>
        </w:rPr>
        <w:t>3</w:t>
      </w:r>
      <w:r>
        <w:rPr>
          <w:rStyle w:val="24"/>
          <w:rFonts w:hint="eastAsia" w:ascii="宋体" w:hAnsi="宋体"/>
        </w:rPr>
        <w:t>.支持推进外资投资便利化</w:t>
      </w:r>
      <w:bookmarkEnd w:id="560"/>
      <w:r>
        <w:rPr>
          <w:rStyle w:val="24"/>
          <w:rFonts w:hint="eastAsia" w:ascii="宋体" w:hAnsi="宋体"/>
        </w:rPr>
        <w:t>。</w:t>
      </w:r>
      <w:bookmarkEnd w:id="561"/>
      <w:bookmarkEnd w:id="562"/>
      <w:bookmarkEnd w:id="563"/>
      <w:bookmarkEnd w:id="564"/>
      <w:r>
        <w:rPr>
          <w:rFonts w:hint="eastAsia" w:cs="Times New Roman"/>
          <w:color w:val="auto"/>
          <w:highlight w:val="none"/>
          <w:lang w:eastAsia="zh-CN"/>
        </w:rPr>
        <w:t>推动“一带一路”高质量发展，支持开展境外投资、对外承包工程、对外劳务合作等对外投资合作业务，</w:t>
      </w:r>
      <w:r>
        <w:rPr>
          <w:rFonts w:hint="eastAsia" w:ascii="宋体" w:hAnsi="宋体" w:cs="Times New Roman"/>
          <w:color w:val="auto"/>
          <w:highlight w:val="none"/>
        </w:rPr>
        <w:t>努力打造新时代开放型经济新格局。支持开展境内外经贸交流、洽谈、项目对接等招商引资活动，提升全省外资投资便利化水平。支持跨境电商、服务贸易、边境经济合作区等内外贸一体化载体</w:t>
      </w:r>
      <w:r>
        <w:rPr>
          <w:rFonts w:hint="eastAsia" w:ascii="宋体" w:hAnsi="宋体" w:cs="Times New Roman"/>
          <w:color w:val="auto"/>
          <w:highlight w:val="none"/>
          <w:lang w:eastAsia="zh-CN"/>
        </w:rPr>
        <w:t>建设，</w:t>
      </w:r>
      <w:r>
        <w:rPr>
          <w:rFonts w:hint="eastAsia" w:ascii="宋体" w:hAnsi="宋体" w:cs="Times New Roman"/>
          <w:color w:val="auto"/>
          <w:highlight w:val="none"/>
        </w:rPr>
        <w:t>提升融通服务能力。支持企业积极应对国际市场风险，引导企业利用出口信用保险等政策性保险工具防范风险。</w:t>
      </w:r>
    </w:p>
    <w:p>
      <w:pPr>
        <w:ind w:firstLine="643"/>
        <w:rPr>
          <w:rFonts w:hint="eastAsia" w:ascii="宋体" w:hAnsi="宋体" w:cs="Times New Roman"/>
          <w:color w:val="auto"/>
          <w:highlight w:val="none"/>
        </w:rPr>
      </w:pPr>
      <w:bookmarkStart w:id="565" w:name="_Toc20434"/>
      <w:bookmarkStart w:id="566" w:name="_Toc27707"/>
      <w:bookmarkStart w:id="567" w:name="_Toc3392"/>
      <w:bookmarkStart w:id="568" w:name="_Toc869"/>
      <w:bookmarkStart w:id="569" w:name="_Toc20879"/>
      <w:r>
        <w:rPr>
          <w:rStyle w:val="24"/>
          <w:rFonts w:hint="eastAsia"/>
          <w:lang w:val="en-US" w:eastAsia="zh-CN"/>
        </w:rPr>
        <w:t>4</w:t>
      </w:r>
      <w:r>
        <w:rPr>
          <w:rStyle w:val="24"/>
          <w:rFonts w:hint="eastAsia" w:ascii="宋体" w:hAnsi="宋体"/>
        </w:rPr>
        <w:t>.优化口岸营商环境</w:t>
      </w:r>
      <w:bookmarkEnd w:id="565"/>
      <w:r>
        <w:rPr>
          <w:rStyle w:val="24"/>
          <w:rFonts w:hint="eastAsia" w:ascii="宋体" w:hAnsi="宋体"/>
        </w:rPr>
        <w:t>。</w:t>
      </w:r>
      <w:bookmarkEnd w:id="566"/>
      <w:bookmarkEnd w:id="567"/>
      <w:bookmarkEnd w:id="568"/>
      <w:bookmarkEnd w:id="569"/>
      <w:r>
        <w:rPr>
          <w:rFonts w:hint="eastAsia" w:ascii="宋体" w:hAnsi="宋体" w:cs="Times New Roman"/>
          <w:color w:val="auto"/>
          <w:highlight w:val="none"/>
        </w:rPr>
        <w:t>支持国际贸易单一窗口有序运行，优化通关流程及物流作业。支持边境口岸建设，推动边境贸易创新发展。支持外商投资企业商事法律援助，维护企业合法权益。</w:t>
      </w:r>
    </w:p>
    <w:p>
      <w:pPr>
        <w:bidi w:val="0"/>
        <w:rPr>
          <w:rFonts w:hint="eastAsia"/>
        </w:rPr>
      </w:pPr>
      <w:r>
        <w:rPr>
          <w:rStyle w:val="24"/>
          <w:rFonts w:hint="eastAsia"/>
          <w:lang w:val="en-US" w:eastAsia="zh-CN"/>
        </w:rPr>
        <w:t>5.加强流通基础能力建设。</w:t>
      </w:r>
      <w:r>
        <w:rPr>
          <w:rFonts w:hint="eastAsia"/>
          <w:lang w:val="en-US" w:eastAsia="zh-CN"/>
        </w:rPr>
        <w:t>加强长吉图先导区建设专项资金投入和管理，重点支持公路、口岸等长吉图通道基础设施项目建设，以及长春新区、中韩国际合作示范区、珲春海洋经济发展示范区、中新吉林食品区、通化国际内陆港等国家级和省级对外开放平台基础设施项目建设，提升我省对外开放承载能力和水平。支持完善综合运输通道布局，提高中欧班列和内贸外运等航线运营水平。</w:t>
      </w:r>
    </w:p>
    <w:p>
      <w:pPr>
        <w:pStyle w:val="5"/>
        <w:rPr>
          <w:rFonts w:ascii="宋体" w:hAnsi="宋体"/>
          <w:color w:val="auto"/>
          <w:highlight w:val="none"/>
        </w:rPr>
      </w:pPr>
      <w:bookmarkStart w:id="570" w:name="_Toc17843"/>
      <w:bookmarkStart w:id="571" w:name="_Toc14173"/>
      <w:bookmarkStart w:id="572" w:name="_Toc2593"/>
      <w:bookmarkStart w:id="573" w:name="_Toc13327"/>
      <w:bookmarkStart w:id="574" w:name="_Toc27453"/>
      <w:bookmarkStart w:id="575" w:name="_Toc1021"/>
      <w:r>
        <w:rPr>
          <w:rFonts w:hint="eastAsia" w:ascii="宋体" w:hAnsi="宋体"/>
          <w:color w:val="auto"/>
          <w:highlight w:val="none"/>
        </w:rPr>
        <w:t>（三）强化政府投资资金管理</w:t>
      </w:r>
      <w:bookmarkEnd w:id="570"/>
      <w:bookmarkEnd w:id="571"/>
      <w:bookmarkEnd w:id="572"/>
      <w:bookmarkEnd w:id="573"/>
      <w:bookmarkEnd w:id="574"/>
      <w:bookmarkEnd w:id="575"/>
    </w:p>
    <w:p>
      <w:pPr>
        <w:ind w:firstLine="643"/>
        <w:rPr>
          <w:rFonts w:ascii="宋体" w:hAnsi="宋体"/>
          <w:color w:val="auto"/>
          <w:highlight w:val="none"/>
        </w:rPr>
      </w:pPr>
      <w:bookmarkStart w:id="576" w:name="_Toc10634"/>
      <w:bookmarkStart w:id="577" w:name="_Toc16761"/>
      <w:bookmarkStart w:id="578" w:name="_Toc14472"/>
      <w:bookmarkStart w:id="579" w:name="_Toc13298"/>
      <w:bookmarkStart w:id="580" w:name="_Toc26557"/>
      <w:r>
        <w:rPr>
          <w:rStyle w:val="24"/>
          <w:rFonts w:hint="eastAsia" w:ascii="宋体" w:hAnsi="宋体"/>
          <w:color w:val="auto"/>
          <w:highlight w:val="none"/>
        </w:rPr>
        <w:t>1.完善政府投资资金管理机制</w:t>
      </w:r>
      <w:r>
        <w:rPr>
          <w:rStyle w:val="24"/>
          <w:rFonts w:hint="eastAsia" w:ascii="宋体" w:hAnsi="宋体"/>
          <w:color w:val="auto"/>
          <w:highlight w:val="none"/>
          <w:lang w:eastAsia="zh-CN"/>
        </w:rPr>
        <w:t>。</w:t>
      </w:r>
      <w:bookmarkEnd w:id="576"/>
      <w:bookmarkEnd w:id="577"/>
      <w:bookmarkEnd w:id="578"/>
      <w:bookmarkEnd w:id="579"/>
      <w:bookmarkEnd w:id="580"/>
      <w:r>
        <w:rPr>
          <w:rFonts w:hint="eastAsia" w:ascii="宋体" w:hAnsi="宋体"/>
          <w:color w:val="auto"/>
          <w:highlight w:val="none"/>
        </w:rPr>
        <w:t>加强基本建设的投资管理，</w:t>
      </w:r>
      <w:r>
        <w:rPr>
          <w:rStyle w:val="24"/>
          <w:rFonts w:hint="eastAsia" w:ascii="宋体" w:hAnsi="宋体"/>
          <w:b w:val="0"/>
          <w:bCs w:val="0"/>
          <w:color w:val="auto"/>
          <w:highlight w:val="none"/>
        </w:rPr>
        <w:t>重大项目投资预算审核关口前移，</w:t>
      </w:r>
      <w:r>
        <w:rPr>
          <w:rFonts w:hint="eastAsia" w:ascii="宋体" w:hAnsi="宋体"/>
          <w:color w:val="auto"/>
          <w:highlight w:val="none"/>
        </w:rPr>
        <w:t>合理确定和控制建设工程造价，完善省级基本建设工程及重大项目投资预算评审工作，</w:t>
      </w:r>
      <w:r>
        <w:rPr>
          <w:rFonts w:hint="eastAsia" w:ascii="宋体" w:hAnsi="宋体"/>
          <w:color w:val="auto"/>
          <w:highlight w:val="none"/>
          <w:lang w:eastAsia="zh-CN"/>
        </w:rPr>
        <w:t>有效</w:t>
      </w:r>
      <w:r>
        <w:rPr>
          <w:rFonts w:hint="eastAsia" w:ascii="宋体" w:hAnsi="宋体"/>
          <w:color w:val="auto"/>
          <w:highlight w:val="none"/>
        </w:rPr>
        <w:t>避免“超概算、超标准、超规模”等问题</w:t>
      </w:r>
      <w:r>
        <w:rPr>
          <w:rFonts w:hint="eastAsia" w:ascii="宋体" w:hAnsi="宋体"/>
          <w:color w:val="auto"/>
          <w:highlight w:val="none"/>
          <w:lang w:eastAsia="zh-CN"/>
        </w:rPr>
        <w:t>的</w:t>
      </w:r>
      <w:r>
        <w:rPr>
          <w:rFonts w:hint="eastAsia" w:ascii="宋体" w:hAnsi="宋体"/>
          <w:color w:val="auto"/>
          <w:highlight w:val="none"/>
        </w:rPr>
        <w:t>发生</w:t>
      </w:r>
      <w:r>
        <w:rPr>
          <w:rFonts w:hint="eastAsia" w:ascii="宋体" w:hAnsi="宋体"/>
          <w:color w:val="auto"/>
          <w:highlight w:val="none"/>
          <w:lang w:eastAsia="zh-CN"/>
        </w:rPr>
        <w:t>，</w:t>
      </w:r>
      <w:r>
        <w:rPr>
          <w:rFonts w:hint="eastAsia" w:ascii="宋体" w:hAnsi="宋体"/>
          <w:color w:val="auto"/>
          <w:highlight w:val="none"/>
        </w:rPr>
        <w:t>逐步形成清晰规范的政府投资资金管理及评审管理机制。</w:t>
      </w:r>
    </w:p>
    <w:p>
      <w:pPr>
        <w:ind w:firstLine="643"/>
        <w:rPr>
          <w:rFonts w:ascii="宋体" w:hAnsi="宋体"/>
          <w:color w:val="auto"/>
          <w:highlight w:val="none"/>
        </w:rPr>
      </w:pPr>
      <w:bookmarkStart w:id="581" w:name="_Toc9427"/>
      <w:bookmarkStart w:id="582" w:name="_Toc1246"/>
      <w:bookmarkStart w:id="583" w:name="_Toc3761"/>
      <w:bookmarkStart w:id="584" w:name="_Toc23634"/>
      <w:bookmarkStart w:id="585" w:name="_Toc4935"/>
      <w:r>
        <w:rPr>
          <w:rStyle w:val="24"/>
          <w:rFonts w:hint="eastAsia" w:ascii="宋体" w:hAnsi="宋体"/>
          <w:color w:val="auto"/>
          <w:highlight w:val="none"/>
        </w:rPr>
        <w:t>2.以股权投资方式支持经营性重大项目建设</w:t>
      </w:r>
      <w:bookmarkEnd w:id="581"/>
      <w:r>
        <w:rPr>
          <w:rStyle w:val="24"/>
          <w:rFonts w:hint="eastAsia" w:ascii="宋体" w:hAnsi="宋体"/>
          <w:color w:val="auto"/>
          <w:highlight w:val="none"/>
        </w:rPr>
        <w:t>。</w:t>
      </w:r>
      <w:bookmarkEnd w:id="582"/>
      <w:bookmarkEnd w:id="583"/>
      <w:bookmarkEnd w:id="584"/>
      <w:bookmarkEnd w:id="585"/>
      <w:r>
        <w:rPr>
          <w:rFonts w:hint="eastAsia" w:ascii="宋体" w:hAnsi="宋体"/>
          <w:color w:val="auto"/>
          <w:highlight w:val="none"/>
        </w:rPr>
        <w:t>会同省级行业主管部门，进一步加强与国铁集团、民航集团、吉高集团等企业的沟通对接，以铁路、公路</w:t>
      </w:r>
      <w:r>
        <w:rPr>
          <w:rFonts w:hint="eastAsia"/>
          <w:color w:val="auto"/>
          <w:highlight w:val="none"/>
          <w:lang w:eastAsia="zh-CN"/>
        </w:rPr>
        <w:t>和</w:t>
      </w:r>
      <w:r>
        <w:rPr>
          <w:rFonts w:hint="eastAsia" w:ascii="宋体" w:hAnsi="宋体"/>
          <w:color w:val="auto"/>
          <w:highlight w:val="none"/>
        </w:rPr>
        <w:t>机场等经营性重大项目为重点，探索构建以企业为载体、以省市财政投入形成股权的新型投资模式，增加省内固定资产投资实有份额，提升企业投融资能力，逐步形成市场主导的投资内生增长机制。</w:t>
      </w:r>
    </w:p>
    <w:p>
      <w:pPr>
        <w:ind w:left="0" w:leftChars="0" w:firstLine="643" w:firstLineChars="200"/>
      </w:pPr>
      <w:bookmarkStart w:id="586" w:name="_Toc2650"/>
      <w:bookmarkStart w:id="587" w:name="_Toc3503"/>
      <w:bookmarkStart w:id="588" w:name="_Toc18280"/>
      <w:bookmarkStart w:id="589" w:name="_Toc28749"/>
      <w:bookmarkStart w:id="590" w:name="_Toc19898"/>
      <w:r>
        <w:rPr>
          <w:rStyle w:val="24"/>
          <w:rFonts w:hint="eastAsia" w:ascii="宋体" w:hAnsi="宋体"/>
          <w:color w:val="auto"/>
          <w:highlight w:val="none"/>
        </w:rPr>
        <w:t>3.加大对重点基础设施PPP项目支持力度。</w:t>
      </w:r>
      <w:bookmarkEnd w:id="586"/>
      <w:bookmarkEnd w:id="587"/>
      <w:bookmarkEnd w:id="588"/>
      <w:bookmarkEnd w:id="589"/>
      <w:bookmarkEnd w:id="590"/>
      <w:r>
        <w:rPr>
          <w:rFonts w:hint="eastAsia" w:ascii="宋体" w:hAnsi="宋体"/>
          <w:color w:val="auto"/>
          <w:highlight w:val="none"/>
        </w:rPr>
        <w:t>基础设施领域政府投资基金瞄准重点区域领域优化投资布局，向“两新一重”、“乡村振兴”、新基建“761”工程等倾斜。拓展民资项目，积极争取国家级资金支持，建立“上下联动，协同推进”</w:t>
      </w:r>
      <w:r>
        <w:rPr>
          <w:rFonts w:hint="eastAsia" w:ascii="宋体" w:hAnsi="宋体"/>
          <w:color w:val="auto"/>
          <w:highlight w:val="none"/>
          <w:lang w:eastAsia="zh-CN"/>
        </w:rPr>
        <w:t>的</w:t>
      </w:r>
      <w:r>
        <w:rPr>
          <w:rFonts w:hint="eastAsia" w:ascii="宋体" w:hAnsi="宋体"/>
          <w:color w:val="auto"/>
          <w:highlight w:val="none"/>
          <w:lang w:val="en-US" w:eastAsia="zh-CN"/>
        </w:rPr>
        <w:t>PPP</w:t>
      </w:r>
      <w:r>
        <w:rPr>
          <w:rFonts w:hint="eastAsia" w:ascii="宋体" w:hAnsi="宋体"/>
          <w:color w:val="auto"/>
          <w:highlight w:val="none"/>
        </w:rPr>
        <w:t>工作机制，为项目发起方提供“一站式”“全链条”服务，加快PPP项目落地速度。</w:t>
      </w:r>
    </w:p>
    <w:p>
      <w:pPr>
        <w:pStyle w:val="4"/>
        <w:ind w:firstLine="640" w:firstLineChars="200"/>
        <w:rPr>
          <w:rFonts w:ascii="宋体" w:hAnsi="宋体"/>
          <w:color w:val="auto"/>
          <w:szCs w:val="32"/>
          <w:highlight w:val="none"/>
        </w:rPr>
      </w:pPr>
      <w:bookmarkStart w:id="591" w:name="_Toc2375"/>
      <w:bookmarkStart w:id="592" w:name="_Toc24902"/>
      <w:bookmarkStart w:id="593" w:name="_Toc6593"/>
      <w:bookmarkStart w:id="594" w:name="_Toc11892"/>
      <w:bookmarkStart w:id="595" w:name="_Toc4805"/>
      <w:bookmarkStart w:id="596" w:name="_Toc7568"/>
      <w:r>
        <w:rPr>
          <w:rFonts w:hint="eastAsia" w:ascii="宋体" w:hAnsi="宋体"/>
          <w:color w:val="auto"/>
          <w:szCs w:val="32"/>
          <w:highlight w:val="none"/>
        </w:rPr>
        <w:t>十一、积极支持加快发展现代产业体系</w:t>
      </w:r>
      <w:bookmarkEnd w:id="591"/>
      <w:bookmarkEnd w:id="592"/>
      <w:bookmarkEnd w:id="593"/>
      <w:bookmarkEnd w:id="594"/>
      <w:bookmarkEnd w:id="595"/>
      <w:bookmarkEnd w:id="596"/>
    </w:p>
    <w:p>
      <w:pPr>
        <w:bidi w:val="0"/>
      </w:pPr>
      <w:bookmarkStart w:id="597" w:name="_Toc1640"/>
      <w:bookmarkStart w:id="598" w:name="_Toc12855"/>
      <w:bookmarkStart w:id="599" w:name="_Toc27697"/>
      <w:bookmarkStart w:id="600" w:name="_Toc25877"/>
      <w:bookmarkStart w:id="601" w:name="_Toc26079"/>
      <w:r>
        <w:rPr>
          <w:rFonts w:hint="eastAsia"/>
          <w:lang w:eastAsia="zh-CN"/>
        </w:rPr>
        <w:t>瞄准现代产业高质量发展目标要求，通过</w:t>
      </w:r>
      <w:r>
        <w:rPr>
          <w:rFonts w:hint="eastAsia"/>
        </w:rPr>
        <w:t>支持</w:t>
      </w:r>
      <w:r>
        <w:t>建设制造强省、质量强省、</w:t>
      </w:r>
      <w:r>
        <w:rPr>
          <w:rFonts w:hint="eastAsia"/>
          <w:lang w:eastAsia="zh-CN"/>
        </w:rPr>
        <w:t>数字</w:t>
      </w:r>
      <w:r>
        <w:t>强省，</w:t>
      </w:r>
      <w:r>
        <w:rPr>
          <w:rFonts w:hint="eastAsia"/>
        </w:rPr>
        <w:t>发展壮大战略性新兴产业、促进服务业繁荣发展，</w:t>
      </w:r>
      <w:r>
        <w:rPr>
          <w:rFonts w:hint="eastAsia"/>
          <w:lang w:eastAsia="zh-CN"/>
        </w:rPr>
        <w:t>打</w:t>
      </w:r>
      <w:r>
        <w:t>造吉林老工业基地竞争新优势。</w:t>
      </w:r>
      <w:bookmarkEnd w:id="597"/>
      <w:bookmarkEnd w:id="598"/>
      <w:bookmarkEnd w:id="599"/>
      <w:bookmarkEnd w:id="600"/>
    </w:p>
    <w:p>
      <w:pPr>
        <w:pStyle w:val="5"/>
        <w:rPr>
          <w:rFonts w:hint="eastAsia" w:ascii="宋体" w:hAnsi="宋体" w:eastAsia="楷体"/>
          <w:color w:val="auto"/>
          <w:highlight w:val="none"/>
          <w:lang w:val="en-US" w:eastAsia="zh-CN"/>
        </w:rPr>
      </w:pPr>
      <w:bookmarkStart w:id="602" w:name="_Toc23060"/>
      <w:bookmarkStart w:id="603" w:name="_Toc28025"/>
      <w:bookmarkStart w:id="604" w:name="_Toc2054"/>
      <w:bookmarkStart w:id="605" w:name="_Toc1045"/>
      <w:bookmarkStart w:id="606" w:name="_Toc32107"/>
      <w:r>
        <w:rPr>
          <w:rFonts w:hint="eastAsia" w:ascii="宋体" w:hAnsi="宋体"/>
          <w:color w:val="auto"/>
          <w:highlight w:val="none"/>
        </w:rPr>
        <w:t>（一）提升产业链现代化水平</w:t>
      </w:r>
      <w:bookmarkEnd w:id="601"/>
      <w:bookmarkEnd w:id="602"/>
      <w:bookmarkEnd w:id="603"/>
      <w:bookmarkEnd w:id="604"/>
      <w:bookmarkEnd w:id="605"/>
      <w:bookmarkEnd w:id="606"/>
    </w:p>
    <w:p>
      <w:pPr>
        <w:bidi w:val="0"/>
        <w:rPr>
          <w:rStyle w:val="24"/>
          <w:rFonts w:hint="default" w:ascii="宋体" w:hAnsi="宋体"/>
          <w:color w:val="auto"/>
          <w:highlight w:val="none"/>
          <w:lang w:val="en-US" w:eastAsia="zh-CN"/>
        </w:rPr>
      </w:pPr>
      <w:bookmarkStart w:id="607" w:name="_Toc1684"/>
      <w:bookmarkStart w:id="608" w:name="_Toc15733"/>
      <w:bookmarkStart w:id="609" w:name="_Toc15982"/>
      <w:bookmarkStart w:id="610" w:name="_Toc23968"/>
      <w:bookmarkStart w:id="611" w:name="_Toc14450"/>
      <w:bookmarkStart w:id="612" w:name="_Toc28184"/>
      <w:bookmarkStart w:id="613" w:name="_Toc2796"/>
      <w:bookmarkStart w:id="614" w:name="_Toc10576"/>
      <w:r>
        <w:rPr>
          <w:rStyle w:val="24"/>
          <w:rFonts w:hint="eastAsia"/>
          <w:lang w:val="en-US" w:eastAsia="zh-CN"/>
        </w:rPr>
        <w:t>1.</w:t>
      </w:r>
      <w:r>
        <w:rPr>
          <w:rStyle w:val="24"/>
          <w:rFonts w:hint="default"/>
          <w:lang w:val="en-US" w:eastAsia="zh-CN"/>
        </w:rPr>
        <w:t>支持产业链畅通循环。</w:t>
      </w:r>
      <w:r>
        <w:rPr>
          <w:rFonts w:hint="default"/>
          <w:lang w:val="en-US" w:eastAsia="zh-CN"/>
        </w:rPr>
        <w:t>围绕做大做优做强实体经济，按照建链、强链、补链、延链、融链要求，致力提高工业重点产业链现代化水平。组织实施重大项目落地、稳定工业经济增长工程，强化对工业重点企业创新发展、重大落地项目的支持，夯实工业经济高质量发展根基。聚焦数字产业化和产业数字化，实施新一代信息技术与制造业融合创新工程，打造两化融合升级版。实施工业升级改造示范工程，支持智能制造、绿色制造、服务型制造等新型制造模式应用。鼓励工业企业采用新技术、新工艺、新设备、新材料对生产设施、工艺条件及生产服务等改造提升，淘汰落后产能，实现内涵式发展。推动产业链、创新链双向融合，大力实施重点产业链“搭桥”和产业基础再造工程，推动龙头、配套企业合作，三次产业、重点产业协同融合。打好产业基础高级化攻坚战，鼓励创新，提高工业基础能力，推动我省工业产业链稳定性、竞争力，更好打通“微循环”，融入“双循环”。</w:t>
      </w:r>
    </w:p>
    <w:p>
      <w:pPr>
        <w:ind w:firstLine="643"/>
        <w:rPr>
          <w:rFonts w:ascii="宋体" w:hAnsi="宋体"/>
          <w:color w:val="auto"/>
          <w:highlight w:val="none"/>
        </w:rPr>
      </w:pPr>
      <w:r>
        <w:rPr>
          <w:rStyle w:val="24"/>
          <w:rFonts w:hint="eastAsia"/>
          <w:color w:val="auto"/>
          <w:highlight w:val="none"/>
          <w:lang w:val="en-US" w:eastAsia="zh-CN"/>
        </w:rPr>
        <w:t>2</w:t>
      </w:r>
      <w:r>
        <w:rPr>
          <w:rStyle w:val="24"/>
          <w:rFonts w:hint="eastAsia" w:ascii="宋体" w:hAnsi="宋体"/>
          <w:color w:val="auto"/>
          <w:highlight w:val="none"/>
        </w:rPr>
        <w:t>.助力支柱产业提升</w:t>
      </w:r>
      <w:bookmarkEnd w:id="607"/>
      <w:r>
        <w:rPr>
          <w:rStyle w:val="24"/>
          <w:rFonts w:hint="eastAsia" w:ascii="宋体" w:hAnsi="宋体"/>
          <w:color w:val="auto"/>
          <w:highlight w:val="none"/>
        </w:rPr>
        <w:t>。</w:t>
      </w:r>
      <w:bookmarkEnd w:id="608"/>
      <w:bookmarkEnd w:id="609"/>
      <w:bookmarkEnd w:id="610"/>
      <w:bookmarkEnd w:id="611"/>
      <w:r>
        <w:rPr>
          <w:rFonts w:hint="eastAsia" w:ascii="宋体" w:hAnsi="宋体"/>
          <w:color w:val="auto"/>
          <w:highlight w:val="none"/>
        </w:rPr>
        <w:t>支持汽车产业加快发展，加快新能源汽车产业发展，建设具有国际竞争力的整车研发和生产基地</w:t>
      </w:r>
      <w:r>
        <w:rPr>
          <w:rFonts w:hint="eastAsia"/>
          <w:color w:val="auto"/>
          <w:highlight w:val="none"/>
          <w:lang w:eastAsia="zh-CN"/>
        </w:rPr>
        <w:t>，推进新能源汽车项目建设</w:t>
      </w:r>
      <w:r>
        <w:rPr>
          <w:rFonts w:hint="eastAsia" w:ascii="宋体" w:hAnsi="宋体"/>
          <w:color w:val="auto"/>
          <w:highlight w:val="none"/>
        </w:rPr>
        <w:t>；推动</w:t>
      </w:r>
      <w:r>
        <w:rPr>
          <w:rFonts w:hint="eastAsia"/>
          <w:color w:val="auto"/>
          <w:highlight w:val="none"/>
          <w:lang w:eastAsia="zh-CN"/>
        </w:rPr>
        <w:t>汽车民族</w:t>
      </w:r>
      <w:r>
        <w:rPr>
          <w:rFonts w:hint="eastAsia" w:ascii="宋体" w:hAnsi="宋体"/>
          <w:color w:val="auto"/>
          <w:highlight w:val="none"/>
        </w:rPr>
        <w:t>品牌建设，增强汽车、石化产业间的关联度，提升全产业链水平；支持石化产业不断发展壮大，提升乙烯、丙烯自给能力，延伸下游精细化产业链，</w:t>
      </w:r>
      <w:r>
        <w:rPr>
          <w:rFonts w:hint="eastAsia"/>
          <w:color w:val="auto"/>
          <w:highlight w:val="none"/>
          <w:lang w:eastAsia="zh-CN"/>
        </w:rPr>
        <w:t>加快推进化工产业转型升级项目建设；支持发展生物化工和氯碱化工，完善聚乳酸产业链</w:t>
      </w:r>
      <w:r>
        <w:rPr>
          <w:rFonts w:hint="eastAsia" w:ascii="宋体" w:hAnsi="宋体"/>
          <w:color w:val="auto"/>
          <w:highlight w:val="none"/>
        </w:rPr>
        <w:t>，打造</w:t>
      </w:r>
      <w:r>
        <w:rPr>
          <w:rFonts w:hint="eastAsia"/>
          <w:color w:val="auto"/>
          <w:highlight w:val="none"/>
          <w:lang w:eastAsia="zh-CN"/>
        </w:rPr>
        <w:t>双辽氯碱化工</w:t>
      </w:r>
      <w:r>
        <w:rPr>
          <w:rFonts w:hint="eastAsia" w:ascii="宋体" w:hAnsi="宋体"/>
          <w:color w:val="auto"/>
          <w:highlight w:val="none"/>
        </w:rPr>
        <w:t>产业基地。</w:t>
      </w:r>
    </w:p>
    <w:p>
      <w:pPr>
        <w:ind w:firstLine="643"/>
        <w:rPr>
          <w:rFonts w:ascii="宋体" w:hAnsi="宋体"/>
          <w:color w:val="auto"/>
          <w:highlight w:val="none"/>
        </w:rPr>
      </w:pPr>
      <w:bookmarkStart w:id="615" w:name="_Toc1092"/>
      <w:bookmarkStart w:id="616" w:name="_Toc24171"/>
      <w:r>
        <w:rPr>
          <w:rStyle w:val="24"/>
          <w:rFonts w:hint="eastAsia"/>
          <w:color w:val="auto"/>
          <w:highlight w:val="none"/>
          <w:lang w:val="en-US" w:eastAsia="zh-CN"/>
        </w:rPr>
        <w:t>3</w:t>
      </w:r>
      <w:r>
        <w:rPr>
          <w:rStyle w:val="24"/>
          <w:rFonts w:hint="eastAsia" w:ascii="宋体" w:hAnsi="宋体"/>
          <w:color w:val="auto"/>
          <w:highlight w:val="none"/>
        </w:rPr>
        <w:t>.助力传统产业改造提升</w:t>
      </w:r>
      <w:bookmarkEnd w:id="612"/>
      <w:r>
        <w:rPr>
          <w:rStyle w:val="24"/>
          <w:rFonts w:hint="eastAsia" w:ascii="宋体" w:hAnsi="宋体"/>
          <w:color w:val="auto"/>
          <w:highlight w:val="none"/>
        </w:rPr>
        <w:t>。</w:t>
      </w:r>
      <w:bookmarkEnd w:id="613"/>
      <w:bookmarkEnd w:id="614"/>
      <w:bookmarkEnd w:id="615"/>
      <w:bookmarkEnd w:id="616"/>
      <w:r>
        <w:rPr>
          <w:rFonts w:hint="eastAsia" w:ascii="宋体" w:hAnsi="宋体"/>
          <w:color w:val="auto"/>
          <w:highlight w:val="none"/>
        </w:rPr>
        <w:t>支持打造医药健康产业高地，做强</w:t>
      </w:r>
      <w:r>
        <w:rPr>
          <w:rFonts w:hint="eastAsia"/>
          <w:color w:val="auto"/>
          <w:highlight w:val="none"/>
          <w:lang w:eastAsia="zh-CN"/>
        </w:rPr>
        <w:t>做优</w:t>
      </w:r>
      <w:r>
        <w:rPr>
          <w:rFonts w:hint="eastAsia" w:ascii="宋体" w:hAnsi="宋体"/>
          <w:color w:val="auto"/>
          <w:highlight w:val="none"/>
        </w:rPr>
        <w:t>中药、生物药、化学药</w:t>
      </w:r>
      <w:r>
        <w:rPr>
          <w:rFonts w:hint="eastAsia"/>
          <w:color w:val="auto"/>
          <w:highlight w:val="none"/>
          <w:lang w:eastAsia="zh-CN"/>
        </w:rPr>
        <w:t>和医疗器械四大板块，保持中药领先优势，建设国家生物医药基地和化学原料药出口基地，突出发展保健食品、特医食品、健康服务等衍生产业</w:t>
      </w:r>
      <w:r>
        <w:rPr>
          <w:rFonts w:hint="eastAsia" w:ascii="宋体" w:hAnsi="宋体"/>
          <w:color w:val="auto"/>
          <w:highlight w:val="none"/>
        </w:rPr>
        <w:t>；</w:t>
      </w:r>
      <w:r>
        <w:rPr>
          <w:rFonts w:hint="eastAsia"/>
          <w:color w:val="auto"/>
          <w:highlight w:val="none"/>
          <w:lang w:eastAsia="zh-CN"/>
        </w:rPr>
        <w:t>支持推进钢铁冶炼装置大型化改造，提升板材等高端钢比例，发展镍镁钼等有色金属产业，提升新型绿色建材和装配式部品部件应用比例；支持加快发展碳纤维、差别化纤维和生物纤维及制品；</w:t>
      </w:r>
      <w:r>
        <w:rPr>
          <w:rFonts w:hint="eastAsia" w:ascii="宋体" w:hAnsi="宋体"/>
          <w:color w:val="auto"/>
          <w:highlight w:val="none"/>
        </w:rPr>
        <w:t>加大对工业和中小企业高质量发展的支持力度，研究设立先进制造业投资子基金，围绕高端化、智能化、服务化发展方向，支持装备制造技术与新一代信息技术深度融合，推动制造业产业模式和企业形态加速转变，打造国际领先的轨道交通装备和通用航空制造产业基地，积极落实国家首台（套）产品各项政策，助力传统动能改造提升；支持吉林旅游产业升级，突出冰雪和生态旅游，带动冰雪装备制造业发展，整体推动长白山区域、松花江和西部湿地旅游发展，创建国家和省全域旅游示范区，建设世界级</w:t>
      </w:r>
      <w:r>
        <w:rPr>
          <w:rFonts w:hint="eastAsia"/>
          <w:color w:val="auto"/>
          <w:highlight w:val="none"/>
          <w:lang w:eastAsia="zh-CN"/>
        </w:rPr>
        <w:t>生态</w:t>
      </w:r>
      <w:r>
        <w:rPr>
          <w:rFonts w:hint="eastAsia" w:ascii="宋体" w:hAnsi="宋体"/>
          <w:color w:val="auto"/>
          <w:highlight w:val="none"/>
        </w:rPr>
        <w:t>旅游景区和</w:t>
      </w:r>
      <w:r>
        <w:rPr>
          <w:rFonts w:hint="eastAsia"/>
          <w:color w:val="auto"/>
          <w:highlight w:val="none"/>
          <w:lang w:eastAsia="zh-CN"/>
        </w:rPr>
        <w:t>滑雪</w:t>
      </w:r>
      <w:r>
        <w:rPr>
          <w:rFonts w:hint="eastAsia" w:ascii="宋体" w:hAnsi="宋体"/>
          <w:color w:val="auto"/>
          <w:highlight w:val="none"/>
        </w:rPr>
        <w:t>度假区。</w:t>
      </w:r>
    </w:p>
    <w:p>
      <w:pPr>
        <w:ind w:firstLine="643"/>
        <w:rPr>
          <w:rFonts w:ascii="宋体" w:hAnsi="宋体"/>
          <w:color w:val="auto"/>
          <w:highlight w:val="none"/>
        </w:rPr>
      </w:pPr>
      <w:bookmarkStart w:id="617" w:name="_Toc4124"/>
      <w:bookmarkStart w:id="618" w:name="_Toc29114"/>
      <w:bookmarkStart w:id="619" w:name="_Toc5623"/>
      <w:bookmarkStart w:id="620" w:name="_Toc8307"/>
      <w:bookmarkStart w:id="621" w:name="_Toc13558"/>
      <w:r>
        <w:rPr>
          <w:rStyle w:val="24"/>
          <w:rFonts w:hint="eastAsia"/>
          <w:color w:val="auto"/>
          <w:highlight w:val="none"/>
          <w:lang w:val="en-US" w:eastAsia="zh-CN"/>
        </w:rPr>
        <w:t>4</w:t>
      </w:r>
      <w:r>
        <w:rPr>
          <w:rStyle w:val="24"/>
          <w:rFonts w:hint="eastAsia" w:ascii="宋体" w:hAnsi="宋体"/>
          <w:color w:val="auto"/>
          <w:highlight w:val="none"/>
        </w:rPr>
        <w:t>.助力战略新兴产业发展</w:t>
      </w:r>
      <w:bookmarkEnd w:id="617"/>
      <w:r>
        <w:rPr>
          <w:rStyle w:val="24"/>
          <w:rFonts w:hint="eastAsia" w:ascii="宋体" w:hAnsi="宋体"/>
          <w:color w:val="auto"/>
          <w:highlight w:val="none"/>
        </w:rPr>
        <w:t>。</w:t>
      </w:r>
      <w:bookmarkEnd w:id="618"/>
      <w:bookmarkEnd w:id="619"/>
      <w:bookmarkEnd w:id="620"/>
      <w:bookmarkEnd w:id="621"/>
      <w:r>
        <w:rPr>
          <w:rFonts w:hint="eastAsia" w:ascii="宋体" w:hAnsi="宋体"/>
          <w:color w:val="auto"/>
          <w:highlight w:val="none"/>
        </w:rPr>
        <w:t>发挥产业投资引导基金作用，拓展丰富引导基金投资模式，培育一批战略性产业。支持新能源</w:t>
      </w:r>
      <w:r>
        <w:rPr>
          <w:rFonts w:hint="eastAsia"/>
          <w:color w:val="auto"/>
          <w:highlight w:val="none"/>
          <w:lang w:eastAsia="zh-CN"/>
        </w:rPr>
        <w:t>汽车</w:t>
      </w:r>
      <w:r>
        <w:rPr>
          <w:rFonts w:hint="eastAsia" w:ascii="宋体" w:hAnsi="宋体"/>
          <w:color w:val="auto"/>
          <w:highlight w:val="none"/>
        </w:rPr>
        <w:t>等重大项目建设，重点加快新能源与智能网联汽车研发及产业化；依托“吉林一号”卫星，加快培育发展航天信息服务业，支持实现卫星装备及应用技术设备制造批量化生产，推动机器人及智能装备、人工智能系统等加快发展；支持基于“互联网+”的集众智、推众创产业生态体系建设，加快推进数字产业化，推动大数据、云计算、物联网、人工智能等新兴产业前沿技术研发应用</w:t>
      </w:r>
      <w:r>
        <w:rPr>
          <w:rFonts w:hint="eastAsia"/>
          <w:color w:val="auto"/>
          <w:highlight w:val="none"/>
          <w:lang w:eastAsia="zh-CN"/>
        </w:rPr>
        <w:t>；支持在激光通信、战略材料、量子科技、氢能技术等领域，培育形成一批引领能力强、具有较强竞争力的未来产业</w:t>
      </w:r>
      <w:r>
        <w:rPr>
          <w:rFonts w:hint="eastAsia" w:ascii="宋体" w:hAnsi="宋体"/>
          <w:color w:val="auto"/>
          <w:highlight w:val="none"/>
        </w:rPr>
        <w:t>。</w:t>
      </w:r>
    </w:p>
    <w:p>
      <w:pPr>
        <w:ind w:firstLine="643"/>
        <w:rPr>
          <w:rFonts w:hint="eastAsia"/>
        </w:rPr>
      </w:pPr>
      <w:bookmarkStart w:id="622" w:name="_Toc1857"/>
      <w:bookmarkStart w:id="623" w:name="_Toc3363"/>
      <w:bookmarkStart w:id="624" w:name="_Toc18893"/>
      <w:bookmarkStart w:id="625" w:name="_Toc21415"/>
      <w:bookmarkStart w:id="626" w:name="_Toc6384"/>
      <w:r>
        <w:rPr>
          <w:rStyle w:val="24"/>
          <w:rFonts w:hint="eastAsia"/>
          <w:color w:val="auto"/>
          <w:highlight w:val="none"/>
          <w:lang w:val="en-US" w:eastAsia="zh-CN"/>
        </w:rPr>
        <w:t>5</w:t>
      </w:r>
      <w:r>
        <w:rPr>
          <w:rStyle w:val="24"/>
          <w:rFonts w:hint="eastAsia" w:ascii="宋体" w:hAnsi="宋体"/>
          <w:color w:val="auto"/>
          <w:highlight w:val="none"/>
        </w:rPr>
        <w:t>.支持“数字吉林”建设</w:t>
      </w:r>
      <w:bookmarkEnd w:id="622"/>
      <w:r>
        <w:rPr>
          <w:rStyle w:val="24"/>
          <w:rFonts w:hint="eastAsia" w:ascii="宋体" w:hAnsi="宋体"/>
          <w:color w:val="auto"/>
          <w:highlight w:val="none"/>
        </w:rPr>
        <w:t>。</w:t>
      </w:r>
      <w:bookmarkEnd w:id="623"/>
      <w:bookmarkEnd w:id="624"/>
      <w:r>
        <w:rPr>
          <w:rStyle w:val="24"/>
          <w:rFonts w:hint="eastAsia" w:ascii="宋体" w:hAnsi="宋体"/>
          <w:b w:val="0"/>
          <w:bCs w:val="0"/>
          <w:color w:val="auto"/>
          <w:highlight w:val="none"/>
          <w:lang w:eastAsia="zh-CN"/>
        </w:rPr>
        <w:t>支持</w:t>
      </w:r>
      <w:bookmarkEnd w:id="625"/>
      <w:bookmarkEnd w:id="626"/>
      <w:r>
        <w:rPr>
          <w:rFonts w:hint="eastAsia" w:ascii="宋体" w:hAnsi="宋体"/>
          <w:color w:val="auto"/>
          <w:highlight w:val="none"/>
        </w:rPr>
        <w:t>强化“吉林祥云”大数据平台作用，以数字吉林建设为引领，</w:t>
      </w:r>
      <w:r>
        <w:rPr>
          <w:rFonts w:hint="eastAsia" w:ascii="宋体" w:hAnsi="宋体"/>
          <w:color w:val="auto"/>
          <w:highlight w:val="none"/>
          <w:lang w:eastAsia="zh-CN"/>
        </w:rPr>
        <w:t>发挥“数字吉林”专项资金撬动作用，</w:t>
      </w:r>
      <w:r>
        <w:rPr>
          <w:rFonts w:hint="eastAsia" w:ascii="宋体" w:hAnsi="宋体"/>
          <w:color w:val="auto"/>
          <w:highlight w:val="none"/>
        </w:rPr>
        <w:t>支持数字服务型政府建设；持续落实国家扶持软件企业的税收优惠政策，促进新一代信息技术与制造业深</w:t>
      </w:r>
      <w:r>
        <w:rPr>
          <w:rFonts w:hint="eastAsia" w:ascii="宋体" w:hAnsi="宋体"/>
          <w:color w:val="auto"/>
          <w:highlight w:val="none"/>
          <w:lang w:eastAsia="zh-CN"/>
        </w:rPr>
        <w:t>度</w:t>
      </w:r>
      <w:r>
        <w:rPr>
          <w:rFonts w:hint="eastAsia" w:ascii="宋体" w:hAnsi="宋体"/>
          <w:color w:val="auto"/>
          <w:highlight w:val="none"/>
        </w:rPr>
        <w:t>融合，加速软件技术向经济社会各领域赋能。</w:t>
      </w:r>
    </w:p>
    <w:p>
      <w:pPr>
        <w:pStyle w:val="5"/>
        <w:bidi w:val="0"/>
        <w:rPr>
          <w:rFonts w:ascii="宋体" w:hAnsi="宋体"/>
          <w:lang w:val="en-US" w:eastAsia="zh-CN"/>
        </w:rPr>
      </w:pPr>
      <w:bookmarkStart w:id="627" w:name="_Toc13073"/>
      <w:bookmarkStart w:id="628" w:name="_Toc20838"/>
      <w:bookmarkStart w:id="629" w:name="_Toc13374"/>
      <w:bookmarkStart w:id="630" w:name="_Toc20751"/>
      <w:bookmarkStart w:id="631" w:name="_Toc3613"/>
      <w:bookmarkStart w:id="632" w:name="_Toc590"/>
      <w:r>
        <w:rPr>
          <w:rFonts w:hint="eastAsia" w:ascii="宋体" w:hAnsi="宋体"/>
          <w:lang w:val="en-US" w:eastAsia="zh-CN"/>
        </w:rPr>
        <w:t>（</w:t>
      </w:r>
      <w:r>
        <w:rPr>
          <w:rFonts w:hint="eastAsia"/>
          <w:lang w:val="en-US" w:eastAsia="zh-CN"/>
        </w:rPr>
        <w:t>二</w:t>
      </w:r>
      <w:r>
        <w:rPr>
          <w:rFonts w:hint="eastAsia" w:ascii="宋体" w:hAnsi="宋体"/>
          <w:lang w:val="en-US" w:eastAsia="zh-CN"/>
        </w:rPr>
        <w:t>）统筹推进基础设施建设</w:t>
      </w:r>
      <w:bookmarkEnd w:id="627"/>
      <w:bookmarkEnd w:id="628"/>
      <w:bookmarkEnd w:id="629"/>
      <w:bookmarkEnd w:id="630"/>
      <w:bookmarkEnd w:id="631"/>
      <w:bookmarkEnd w:id="632"/>
    </w:p>
    <w:p>
      <w:pPr>
        <w:ind w:firstLine="643"/>
        <w:rPr>
          <w:rFonts w:ascii="宋体" w:hAnsi="宋体" w:cs="Times New Roman"/>
          <w:color w:val="auto"/>
          <w:highlight w:val="none"/>
        </w:rPr>
      </w:pPr>
      <w:bookmarkStart w:id="633" w:name="_Toc15795"/>
      <w:bookmarkStart w:id="634" w:name="_Toc197"/>
      <w:bookmarkStart w:id="635" w:name="_Toc23265"/>
      <w:bookmarkStart w:id="636" w:name="_Toc24063"/>
      <w:bookmarkStart w:id="637" w:name="_Toc5136"/>
      <w:r>
        <w:rPr>
          <w:rStyle w:val="24"/>
          <w:rFonts w:hint="eastAsia" w:ascii="宋体" w:hAnsi="宋体"/>
        </w:rPr>
        <w:t>1.加快推进建设交通强省</w:t>
      </w:r>
      <w:bookmarkEnd w:id="633"/>
      <w:r>
        <w:rPr>
          <w:rStyle w:val="24"/>
          <w:rFonts w:hint="eastAsia" w:ascii="宋体" w:hAnsi="宋体"/>
        </w:rPr>
        <w:t>。</w:t>
      </w:r>
      <w:bookmarkEnd w:id="634"/>
      <w:bookmarkEnd w:id="635"/>
      <w:bookmarkEnd w:id="636"/>
      <w:bookmarkEnd w:id="637"/>
      <w:r>
        <w:rPr>
          <w:rFonts w:hint="eastAsia" w:ascii="宋体" w:hAnsi="宋体" w:cs="Times New Roman"/>
          <w:color w:val="auto"/>
          <w:highlight w:val="none"/>
          <w:lang w:eastAsia="zh-CN"/>
        </w:rPr>
        <w:t>严格落实全省交通运输领域财政事权与支出责任划分改革方案，建立健全交通强省建设筹融资体制，本着尽力而为、量力而行的原则，通过投资补助、以奖代补、竞争性评审等方式统筹推进交通基础设施建设。围绕“一主</w:t>
      </w:r>
      <w:r>
        <w:rPr>
          <w:rFonts w:hint="eastAsia" w:cs="Times New Roman"/>
          <w:color w:val="auto"/>
          <w:highlight w:val="none"/>
          <w:lang w:eastAsia="zh-CN"/>
        </w:rPr>
        <w:t>、</w:t>
      </w:r>
      <w:r>
        <w:rPr>
          <w:rFonts w:hint="eastAsia" w:ascii="宋体" w:hAnsi="宋体" w:cs="Times New Roman"/>
          <w:color w:val="auto"/>
          <w:highlight w:val="none"/>
          <w:lang w:eastAsia="zh-CN"/>
        </w:rPr>
        <w:t>六双”</w:t>
      </w:r>
      <w:r>
        <w:rPr>
          <w:rFonts w:hint="eastAsia" w:cs="Times New Roman"/>
          <w:color w:val="auto"/>
          <w:highlight w:val="none"/>
          <w:lang w:eastAsia="zh-CN"/>
        </w:rPr>
        <w:t>高质量发展战略</w:t>
      </w:r>
      <w:r>
        <w:rPr>
          <w:rFonts w:hint="eastAsia" w:ascii="宋体" w:hAnsi="宋体" w:cs="Times New Roman"/>
          <w:color w:val="auto"/>
          <w:highlight w:val="none"/>
          <w:lang w:eastAsia="zh-CN"/>
        </w:rPr>
        <w:t>，助力推进长春都市圈环线，大浦柴河至烟筒山高速公路，沿边开放旅游大通道国省干线，长春龙嘉机场三期，沈白高铁等交通项目建设，支持构建铁路、公路、机场等综合立体交通网络体系。</w:t>
      </w:r>
    </w:p>
    <w:p>
      <w:pPr>
        <w:ind w:firstLine="643"/>
        <w:rPr>
          <w:rFonts w:ascii="宋体" w:hAnsi="宋体" w:cs="Times New Roman"/>
          <w:color w:val="auto"/>
          <w:highlight w:val="none"/>
        </w:rPr>
      </w:pPr>
      <w:bookmarkStart w:id="638" w:name="_Toc3895"/>
      <w:bookmarkStart w:id="639" w:name="_Toc5857"/>
      <w:bookmarkStart w:id="640" w:name="_Toc32684"/>
      <w:bookmarkStart w:id="641" w:name="_Toc3523"/>
      <w:bookmarkStart w:id="642" w:name="_Toc31262"/>
      <w:r>
        <w:rPr>
          <w:rStyle w:val="24"/>
          <w:rFonts w:hint="eastAsia" w:ascii="宋体" w:hAnsi="宋体"/>
        </w:rPr>
        <w:t>2.加强</w:t>
      </w:r>
      <w:r>
        <w:rPr>
          <w:rStyle w:val="24"/>
          <w:rFonts w:hint="eastAsia"/>
          <w:lang w:eastAsia="zh-CN"/>
        </w:rPr>
        <w:t>重大</w:t>
      </w:r>
      <w:r>
        <w:rPr>
          <w:rStyle w:val="24"/>
          <w:rFonts w:hint="eastAsia" w:ascii="宋体" w:hAnsi="宋体"/>
        </w:rPr>
        <w:t>水利基础设施建设。</w:t>
      </w:r>
      <w:bookmarkEnd w:id="638"/>
      <w:bookmarkEnd w:id="639"/>
      <w:bookmarkEnd w:id="640"/>
      <w:bookmarkEnd w:id="641"/>
      <w:bookmarkEnd w:id="642"/>
      <w:r>
        <w:rPr>
          <w:rFonts w:hint="eastAsia" w:ascii="宋体" w:hAnsi="宋体" w:cs="Times New Roman"/>
          <w:color w:val="auto"/>
          <w:highlight w:val="none"/>
        </w:rPr>
        <w:t>统筹考虑省内各级财政承受能力，继续配合行业主管部门做好中央预算内（中央基建）资金的向上争取工作，根据国家和省政府确定的重大水利工程投资比例，积极筹措地方配套资金，支持大型灌区续建配套及节水改造、灾后水利薄弱环节、中型水库除险加固等重大水利工程建设，努力构建以大江大河及其主要支流、跨流域跨区域调水工程等输排水通道为纽带，以湖泊、水库等控制性节点为枢纽的水网体系。</w:t>
      </w:r>
    </w:p>
    <w:p>
      <w:pPr>
        <w:ind w:firstLine="643"/>
        <w:rPr>
          <w:rFonts w:ascii="宋体" w:hAnsi="宋体"/>
        </w:rPr>
      </w:pPr>
      <w:bookmarkStart w:id="643" w:name="_Toc921"/>
      <w:bookmarkStart w:id="644" w:name="_Toc24785"/>
      <w:bookmarkStart w:id="645" w:name="_Toc21283"/>
      <w:bookmarkStart w:id="646" w:name="_Toc17702"/>
      <w:bookmarkStart w:id="647" w:name="_Toc603"/>
      <w:r>
        <w:rPr>
          <w:rStyle w:val="24"/>
          <w:rFonts w:hint="eastAsia" w:ascii="宋体" w:hAnsi="宋体"/>
        </w:rPr>
        <w:t>3.支持城市基础设施建设</w:t>
      </w:r>
      <w:bookmarkEnd w:id="643"/>
      <w:r>
        <w:rPr>
          <w:rStyle w:val="24"/>
          <w:rFonts w:hint="eastAsia" w:ascii="宋体" w:hAnsi="宋体"/>
        </w:rPr>
        <w:t>。</w:t>
      </w:r>
      <w:bookmarkEnd w:id="644"/>
      <w:bookmarkEnd w:id="645"/>
      <w:bookmarkEnd w:id="646"/>
      <w:bookmarkEnd w:id="647"/>
      <w:r>
        <w:rPr>
          <w:rFonts w:hint="eastAsia" w:ascii="宋体" w:hAnsi="宋体" w:cs="Times New Roman"/>
          <w:color w:val="auto"/>
          <w:highlight w:val="none"/>
        </w:rPr>
        <w:t>统筹考虑省内各地区经济实力，根据实际建设情况及效果，创新财政资金分配方式，引导带动市政基础设施建设全面发展，推动政府和市场形成有效合力，使全省城市基础设施服务功能显著增强，综合承载能力大幅提升，努力补齐市政基础设施短板。</w:t>
      </w:r>
    </w:p>
    <w:p>
      <w:pPr>
        <w:pStyle w:val="5"/>
        <w:rPr>
          <w:rFonts w:ascii="宋体" w:hAnsi="宋体"/>
          <w:color w:val="auto"/>
          <w:highlight w:val="none"/>
        </w:rPr>
      </w:pPr>
      <w:bookmarkStart w:id="648" w:name="_Toc1908"/>
      <w:bookmarkStart w:id="649" w:name="_Toc27330"/>
      <w:bookmarkStart w:id="650" w:name="_Toc17699"/>
      <w:bookmarkStart w:id="651" w:name="_Toc16569"/>
      <w:bookmarkStart w:id="652" w:name="_Toc32182"/>
      <w:bookmarkStart w:id="653" w:name="_Toc31283"/>
      <w:r>
        <w:rPr>
          <w:rFonts w:hint="eastAsia" w:ascii="宋体" w:hAnsi="宋体"/>
          <w:color w:val="auto"/>
          <w:highlight w:val="none"/>
        </w:rPr>
        <w:t>（</w:t>
      </w:r>
      <w:r>
        <w:rPr>
          <w:rFonts w:hint="eastAsia"/>
          <w:color w:val="auto"/>
          <w:highlight w:val="none"/>
          <w:lang w:eastAsia="zh-CN"/>
        </w:rPr>
        <w:t>三</w:t>
      </w:r>
      <w:r>
        <w:rPr>
          <w:rFonts w:hint="eastAsia" w:ascii="宋体" w:hAnsi="宋体"/>
          <w:color w:val="auto"/>
          <w:highlight w:val="none"/>
        </w:rPr>
        <w:t>）支持现代服务业加快发展</w:t>
      </w:r>
      <w:bookmarkEnd w:id="648"/>
      <w:bookmarkEnd w:id="649"/>
      <w:bookmarkEnd w:id="650"/>
      <w:bookmarkEnd w:id="651"/>
      <w:bookmarkEnd w:id="652"/>
      <w:bookmarkEnd w:id="653"/>
    </w:p>
    <w:p>
      <w:pPr>
        <w:ind w:firstLine="643"/>
        <w:rPr>
          <w:rFonts w:ascii="宋体" w:hAnsi="宋体"/>
          <w:color w:val="auto"/>
          <w:highlight w:val="none"/>
        </w:rPr>
      </w:pPr>
      <w:bookmarkStart w:id="654" w:name="_Toc4958"/>
      <w:bookmarkStart w:id="655" w:name="_Toc1442"/>
      <w:bookmarkStart w:id="656" w:name="_Toc23482"/>
      <w:bookmarkStart w:id="657" w:name="_Toc21850"/>
      <w:bookmarkStart w:id="658" w:name="_Toc15728"/>
      <w:r>
        <w:rPr>
          <w:rStyle w:val="24"/>
          <w:rFonts w:hint="eastAsia" w:ascii="宋体" w:hAnsi="宋体"/>
          <w:color w:val="auto"/>
          <w:highlight w:val="none"/>
        </w:rPr>
        <w:t>1.引导生产性服务业融合化发展</w:t>
      </w:r>
      <w:bookmarkEnd w:id="654"/>
      <w:r>
        <w:rPr>
          <w:rStyle w:val="24"/>
          <w:rFonts w:hint="eastAsia" w:ascii="宋体" w:hAnsi="宋体"/>
          <w:color w:val="auto"/>
          <w:highlight w:val="none"/>
        </w:rPr>
        <w:t>。</w:t>
      </w:r>
      <w:bookmarkEnd w:id="655"/>
      <w:bookmarkEnd w:id="656"/>
      <w:bookmarkEnd w:id="657"/>
      <w:bookmarkEnd w:id="658"/>
      <w:r>
        <w:rPr>
          <w:rFonts w:hint="eastAsia" w:ascii="宋体" w:hAnsi="宋体"/>
          <w:color w:val="auto"/>
          <w:highlight w:val="none"/>
        </w:rPr>
        <w:t>以服务制造业高质量发展为导向，推动生产性服务业向专业化和价值链高端延伸。支持两业融合、集聚区发展、废旧家电回收体系、服务业运行监测平台以及相关公共服务平台建设，促进生产性服务业与先进制造业、现代农业等产业深度融合，推动产业结构优化调整，促进经济提质增效。</w:t>
      </w:r>
    </w:p>
    <w:p>
      <w:pPr>
        <w:ind w:firstLine="643"/>
        <w:rPr>
          <w:rFonts w:ascii="宋体" w:hAnsi="宋体"/>
          <w:color w:val="auto"/>
          <w:highlight w:val="none"/>
        </w:rPr>
      </w:pPr>
      <w:bookmarkStart w:id="659" w:name="_Toc26452"/>
      <w:bookmarkStart w:id="660" w:name="_Toc1220"/>
      <w:bookmarkStart w:id="661" w:name="_Toc26732"/>
      <w:bookmarkStart w:id="662" w:name="_Toc19963"/>
      <w:bookmarkStart w:id="663" w:name="_Toc26935"/>
      <w:r>
        <w:rPr>
          <w:rStyle w:val="24"/>
          <w:rFonts w:hint="eastAsia" w:ascii="宋体" w:hAnsi="宋体"/>
          <w:color w:val="auto"/>
          <w:highlight w:val="none"/>
        </w:rPr>
        <w:t>2.推动生活性服务业高品质多样化升级</w:t>
      </w:r>
      <w:bookmarkEnd w:id="659"/>
      <w:r>
        <w:rPr>
          <w:rStyle w:val="24"/>
          <w:rFonts w:hint="eastAsia" w:ascii="宋体" w:hAnsi="宋体"/>
          <w:color w:val="auto"/>
          <w:highlight w:val="none"/>
        </w:rPr>
        <w:t>。</w:t>
      </w:r>
      <w:bookmarkEnd w:id="660"/>
      <w:bookmarkEnd w:id="661"/>
      <w:bookmarkEnd w:id="662"/>
      <w:bookmarkEnd w:id="663"/>
      <w:r>
        <w:rPr>
          <w:rFonts w:hint="eastAsia" w:ascii="宋体" w:hAnsi="宋体"/>
          <w:color w:val="auto"/>
          <w:highlight w:val="none"/>
        </w:rPr>
        <w:t>以提升便利度和改善服务体验为导向，推动生活性服务业向精细化和高品质提升。支持内贸流通现代化和消费性服务业转型升级，创新流通新业态新模式。支持惠农服务工程建设，推</w:t>
      </w:r>
      <w:r>
        <w:rPr>
          <w:rFonts w:hint="eastAsia" w:ascii="宋体" w:hAnsi="宋体"/>
          <w:color w:val="auto"/>
          <w:highlight w:val="none"/>
          <w:lang w:eastAsia="zh-CN"/>
        </w:rPr>
        <w:t>进</w:t>
      </w:r>
      <w:r>
        <w:rPr>
          <w:rFonts w:hint="eastAsia" w:ascii="宋体" w:hAnsi="宋体"/>
          <w:color w:val="auto"/>
          <w:highlight w:val="none"/>
        </w:rPr>
        <w:t>养老服务高质量发展，</w:t>
      </w:r>
      <w:r>
        <w:rPr>
          <w:rFonts w:hint="eastAsia" w:ascii="宋体" w:hAnsi="宋体"/>
          <w:color w:val="auto"/>
          <w:highlight w:val="none"/>
          <w:lang w:eastAsia="zh-CN"/>
        </w:rPr>
        <w:t>促</w:t>
      </w:r>
      <w:r>
        <w:rPr>
          <w:rFonts w:hint="eastAsia" w:ascii="宋体" w:hAnsi="宋体"/>
          <w:color w:val="auto"/>
          <w:highlight w:val="none"/>
        </w:rPr>
        <w:t>进旅游业与多产业融合发展，</w:t>
      </w:r>
      <w:r>
        <w:rPr>
          <w:rFonts w:hint="eastAsia" w:ascii="宋体" w:hAnsi="宋体"/>
          <w:color w:val="auto"/>
          <w:highlight w:val="none"/>
          <w:lang w:eastAsia="zh-CN"/>
        </w:rPr>
        <w:t>支持创新</w:t>
      </w:r>
      <w:r>
        <w:rPr>
          <w:rFonts w:hint="eastAsia" w:ascii="宋体" w:hAnsi="宋体"/>
          <w:color w:val="auto"/>
          <w:highlight w:val="none"/>
        </w:rPr>
        <w:t>“互联网+体育”</w:t>
      </w:r>
      <w:r>
        <w:rPr>
          <w:rFonts w:hint="eastAsia" w:ascii="宋体" w:hAnsi="宋体"/>
          <w:color w:val="auto"/>
          <w:highlight w:val="none"/>
          <w:lang w:eastAsia="zh-CN"/>
        </w:rPr>
        <w:t>新业态</w:t>
      </w:r>
      <w:r>
        <w:rPr>
          <w:rFonts w:hint="eastAsia" w:ascii="宋体" w:hAnsi="宋体"/>
          <w:color w:val="auto"/>
          <w:highlight w:val="none"/>
        </w:rPr>
        <w:t>发展，</w:t>
      </w:r>
      <w:r>
        <w:rPr>
          <w:rFonts w:hint="eastAsia" w:ascii="宋体" w:hAnsi="宋体"/>
          <w:color w:val="auto"/>
          <w:highlight w:val="none"/>
          <w:lang w:eastAsia="zh-CN"/>
        </w:rPr>
        <w:t>推动传统体育产业全面升级。</w:t>
      </w:r>
    </w:p>
    <w:p>
      <w:pPr>
        <w:pStyle w:val="5"/>
        <w:rPr>
          <w:rFonts w:ascii="宋体" w:hAnsi="宋体"/>
          <w:color w:val="auto"/>
          <w:highlight w:val="none"/>
        </w:rPr>
      </w:pPr>
      <w:bookmarkStart w:id="664" w:name="_Toc8478"/>
      <w:bookmarkStart w:id="665" w:name="_Toc5243"/>
      <w:bookmarkStart w:id="666" w:name="_Toc14088"/>
      <w:bookmarkStart w:id="667" w:name="_Toc28507"/>
      <w:bookmarkStart w:id="668" w:name="_Toc17188"/>
      <w:bookmarkStart w:id="669" w:name="_Toc8711"/>
      <w:r>
        <w:rPr>
          <w:rFonts w:hint="eastAsia" w:ascii="宋体" w:hAnsi="宋体"/>
          <w:color w:val="auto"/>
          <w:highlight w:val="none"/>
        </w:rPr>
        <w:t>（</w:t>
      </w:r>
      <w:r>
        <w:rPr>
          <w:rFonts w:hint="eastAsia"/>
          <w:color w:val="auto"/>
          <w:highlight w:val="none"/>
          <w:lang w:eastAsia="zh-CN"/>
        </w:rPr>
        <w:t>四</w:t>
      </w:r>
      <w:r>
        <w:rPr>
          <w:rFonts w:hint="eastAsia" w:ascii="宋体" w:hAnsi="宋体"/>
          <w:color w:val="auto"/>
          <w:highlight w:val="none"/>
        </w:rPr>
        <w:t>）支持质量强省建设</w:t>
      </w:r>
      <w:bookmarkEnd w:id="664"/>
      <w:bookmarkEnd w:id="665"/>
      <w:bookmarkEnd w:id="666"/>
      <w:bookmarkEnd w:id="667"/>
      <w:bookmarkEnd w:id="668"/>
      <w:bookmarkEnd w:id="669"/>
    </w:p>
    <w:p>
      <w:pPr>
        <w:ind w:firstLine="643"/>
        <w:rPr>
          <w:rFonts w:ascii="宋体" w:hAnsi="宋体"/>
          <w:color w:val="auto"/>
          <w:highlight w:val="none"/>
        </w:rPr>
      </w:pPr>
      <w:bookmarkStart w:id="670" w:name="_Toc1623"/>
      <w:bookmarkStart w:id="671" w:name="_Toc9086"/>
      <w:bookmarkStart w:id="672" w:name="_Toc29698"/>
      <w:bookmarkStart w:id="673" w:name="_Toc6664"/>
      <w:bookmarkStart w:id="674" w:name="_Toc10356"/>
      <w:r>
        <w:rPr>
          <w:rStyle w:val="24"/>
          <w:rFonts w:hint="eastAsia" w:ascii="宋体" w:hAnsi="宋体"/>
          <w:color w:val="auto"/>
          <w:highlight w:val="none"/>
        </w:rPr>
        <w:t>1.支持宏观质量管理</w:t>
      </w:r>
      <w:bookmarkEnd w:id="670"/>
      <w:r>
        <w:rPr>
          <w:rStyle w:val="24"/>
          <w:rFonts w:hint="eastAsia" w:ascii="宋体" w:hAnsi="宋体"/>
          <w:color w:val="auto"/>
          <w:highlight w:val="none"/>
        </w:rPr>
        <w:t>。</w:t>
      </w:r>
      <w:bookmarkEnd w:id="671"/>
      <w:bookmarkEnd w:id="672"/>
      <w:bookmarkEnd w:id="673"/>
      <w:bookmarkEnd w:id="674"/>
      <w:r>
        <w:rPr>
          <w:rFonts w:hint="eastAsia" w:ascii="宋体" w:hAnsi="宋体"/>
          <w:color w:val="auto"/>
          <w:highlight w:val="none"/>
          <w:lang w:eastAsia="zh-CN"/>
        </w:rPr>
        <w:t>健全</w:t>
      </w:r>
      <w:r>
        <w:rPr>
          <w:rFonts w:hint="eastAsia" w:ascii="宋体" w:hAnsi="宋体"/>
          <w:color w:val="auto"/>
          <w:highlight w:val="none"/>
        </w:rPr>
        <w:t>完善质量发展经费多元筹集和保障机制，鼓励和引导更多资金投向质量攻关、质量创新、质量治理、质量基础设施建设。保障标准化战略全面实施，支持标准制修订、标准创新、标准化示范试点等工作开展，构建具有吉林特色的新型标准体系。研究支持推进质量品牌创建行动，</w:t>
      </w:r>
      <w:r>
        <w:rPr>
          <w:rFonts w:hint="eastAsia"/>
          <w:color w:val="auto"/>
          <w:highlight w:val="none"/>
          <w:lang w:eastAsia="zh-CN"/>
        </w:rPr>
        <w:t>依托国家品牌日系列活动</w:t>
      </w:r>
      <w:r>
        <w:rPr>
          <w:rFonts w:hint="eastAsia" w:ascii="宋体" w:hAnsi="宋体"/>
          <w:color w:val="auto"/>
          <w:highlight w:val="none"/>
        </w:rPr>
        <w:t>，</w:t>
      </w:r>
      <w:r>
        <w:rPr>
          <w:rFonts w:hint="eastAsia"/>
          <w:color w:val="auto"/>
          <w:highlight w:val="none"/>
          <w:lang w:eastAsia="zh-CN"/>
        </w:rPr>
        <w:t>开展品牌培育和提升工程，打造“吉致吉品”吉林品牌整体形象，</w:t>
      </w:r>
      <w:r>
        <w:rPr>
          <w:rFonts w:hint="eastAsia" w:ascii="宋体" w:hAnsi="宋体"/>
          <w:color w:val="auto"/>
          <w:highlight w:val="none"/>
        </w:rPr>
        <w:t>增强经济发展活力、内在动力和整体竞争力。支持推进仿制药质量和疗效一致性评价，提升全省制药行业水平。</w:t>
      </w:r>
    </w:p>
    <w:p>
      <w:pPr>
        <w:ind w:firstLine="643"/>
        <w:rPr>
          <w:rFonts w:ascii="宋体" w:hAnsi="宋体"/>
          <w:color w:val="auto"/>
          <w:highlight w:val="none"/>
        </w:rPr>
      </w:pPr>
      <w:bookmarkStart w:id="675" w:name="_Toc14742"/>
      <w:bookmarkStart w:id="676" w:name="_Toc25571"/>
      <w:bookmarkStart w:id="677" w:name="_Toc26633"/>
      <w:bookmarkStart w:id="678" w:name="_Toc8907"/>
      <w:bookmarkStart w:id="679" w:name="_Toc12233"/>
      <w:r>
        <w:rPr>
          <w:rStyle w:val="24"/>
          <w:rFonts w:hint="eastAsia" w:ascii="宋体" w:hAnsi="宋体"/>
          <w:color w:val="auto"/>
          <w:highlight w:val="none"/>
        </w:rPr>
        <w:t>2.支持健全计量科技创新体系</w:t>
      </w:r>
      <w:bookmarkEnd w:id="675"/>
      <w:r>
        <w:rPr>
          <w:rStyle w:val="24"/>
          <w:rFonts w:hint="eastAsia" w:ascii="宋体" w:hAnsi="宋体"/>
          <w:color w:val="auto"/>
          <w:highlight w:val="none"/>
        </w:rPr>
        <w:t>。</w:t>
      </w:r>
      <w:bookmarkEnd w:id="676"/>
      <w:bookmarkEnd w:id="677"/>
      <w:r>
        <w:rPr>
          <w:rStyle w:val="24"/>
          <w:rFonts w:hint="eastAsia" w:ascii="宋体" w:hAnsi="宋体"/>
          <w:b w:val="0"/>
          <w:bCs w:val="0"/>
          <w:color w:val="auto"/>
          <w:highlight w:val="none"/>
          <w:lang w:eastAsia="zh-CN"/>
        </w:rPr>
        <w:t>支持</w:t>
      </w:r>
      <w:bookmarkEnd w:id="678"/>
      <w:bookmarkEnd w:id="679"/>
      <w:r>
        <w:rPr>
          <w:rFonts w:hint="eastAsia" w:ascii="宋体" w:hAnsi="宋体"/>
          <w:color w:val="auto"/>
          <w:highlight w:val="none"/>
        </w:rPr>
        <w:t>推进计量科技成果转化。重点支持建设一批高水平检验检测项目、重点实验室和国家质检中心，打造东北区域NQI高地，推动成为全国质量基础设施一站式服务试点。支持建立完善计量公共服务平台，推动计量基础设施、科学数据和仪器设备向社会开放，提升计量产业发展服务水平。</w:t>
      </w:r>
    </w:p>
    <w:p>
      <w:pPr>
        <w:ind w:firstLine="643"/>
        <w:rPr>
          <w:rFonts w:ascii="宋体" w:hAnsi="宋体"/>
          <w:color w:val="auto"/>
          <w:highlight w:val="none"/>
        </w:rPr>
      </w:pPr>
      <w:bookmarkStart w:id="680" w:name="_Toc18709"/>
      <w:bookmarkStart w:id="681" w:name="_Toc20865"/>
      <w:bookmarkStart w:id="682" w:name="_Toc24812"/>
      <w:bookmarkStart w:id="683" w:name="_Toc14818"/>
      <w:bookmarkStart w:id="684" w:name="_Toc29804"/>
      <w:r>
        <w:rPr>
          <w:rStyle w:val="24"/>
          <w:rFonts w:hint="eastAsia"/>
          <w:color w:val="auto"/>
          <w:highlight w:val="none"/>
          <w:lang w:val="en-US" w:eastAsia="zh-CN"/>
        </w:rPr>
        <w:t>3</w:t>
      </w:r>
      <w:r>
        <w:rPr>
          <w:rStyle w:val="24"/>
          <w:rFonts w:hint="eastAsia" w:ascii="宋体" w:hAnsi="宋体"/>
          <w:color w:val="auto"/>
          <w:highlight w:val="none"/>
        </w:rPr>
        <w:t>.支持工业和信息化高质量发展</w:t>
      </w:r>
      <w:bookmarkEnd w:id="680"/>
      <w:r>
        <w:rPr>
          <w:rStyle w:val="24"/>
          <w:rFonts w:hint="eastAsia" w:ascii="宋体" w:hAnsi="宋体"/>
          <w:color w:val="auto"/>
          <w:highlight w:val="none"/>
        </w:rPr>
        <w:t>。</w:t>
      </w:r>
      <w:bookmarkEnd w:id="681"/>
      <w:bookmarkEnd w:id="682"/>
      <w:bookmarkEnd w:id="683"/>
      <w:bookmarkEnd w:id="684"/>
      <w:r>
        <w:rPr>
          <w:rFonts w:hint="eastAsia" w:ascii="宋体" w:hAnsi="宋体"/>
          <w:color w:val="auto"/>
          <w:highlight w:val="none"/>
        </w:rPr>
        <w:t>充分发挥省级各类专项资金的导向作用，推动数字产业化、产业数字化发展，对“互联网+”“人工智能+”“大数据+”等产业化项目予以支持，提升我省智能制造能力。支持工业互联网等平台建设，支持企业对5G网络的推广应用，引导企业技术改造创新、信息化建设和</w:t>
      </w:r>
      <w:r>
        <w:rPr>
          <w:rFonts w:hint="eastAsia" w:ascii="宋体" w:hAnsi="宋体"/>
          <w:color w:val="auto"/>
          <w:highlight w:val="none"/>
          <w:lang w:eastAsia="zh-CN"/>
        </w:rPr>
        <w:t>“</w:t>
      </w:r>
      <w:r>
        <w:rPr>
          <w:rFonts w:hint="eastAsia" w:ascii="宋体" w:hAnsi="宋体"/>
          <w:color w:val="auto"/>
          <w:highlight w:val="none"/>
        </w:rPr>
        <w:t>上云用数赋智</w:t>
      </w:r>
      <w:r>
        <w:rPr>
          <w:rFonts w:hint="eastAsia" w:ascii="宋体" w:hAnsi="宋体"/>
          <w:color w:val="auto"/>
          <w:highlight w:val="none"/>
          <w:lang w:eastAsia="zh-CN"/>
        </w:rPr>
        <w:t>”</w:t>
      </w:r>
      <w:r>
        <w:rPr>
          <w:rFonts w:hint="eastAsia" w:ascii="宋体" w:hAnsi="宋体"/>
          <w:color w:val="auto"/>
          <w:highlight w:val="none"/>
        </w:rPr>
        <w:t>，着力推进“数字政府”建设，促进大数据产业发展和制造业数字化转型升级，实现高质量发展。</w:t>
      </w:r>
    </w:p>
    <w:p>
      <w:pPr>
        <w:pStyle w:val="4"/>
        <w:ind w:firstLine="640" w:firstLineChars="200"/>
        <w:rPr>
          <w:rFonts w:hint="eastAsia" w:ascii="宋体" w:hAnsi="宋体" w:eastAsia="黑体"/>
          <w:color w:val="auto"/>
          <w:highlight w:val="none"/>
          <w:lang w:eastAsia="zh-CN"/>
        </w:rPr>
      </w:pPr>
      <w:bookmarkStart w:id="685" w:name="_Toc25591"/>
      <w:bookmarkStart w:id="686" w:name="_Toc22760"/>
      <w:bookmarkStart w:id="687" w:name="_Toc23219"/>
      <w:bookmarkStart w:id="688" w:name="_Toc15297"/>
      <w:bookmarkStart w:id="689" w:name="_Toc508"/>
      <w:bookmarkStart w:id="690" w:name="_Toc21106"/>
      <w:r>
        <w:rPr>
          <w:rFonts w:hint="eastAsia" w:ascii="宋体" w:hAnsi="宋体"/>
          <w:color w:val="auto"/>
          <w:highlight w:val="none"/>
        </w:rPr>
        <w:t>十二、努力推动社会主义市场经济</w:t>
      </w:r>
      <w:bookmarkEnd w:id="685"/>
      <w:bookmarkEnd w:id="686"/>
      <w:bookmarkEnd w:id="687"/>
      <w:bookmarkEnd w:id="688"/>
      <w:bookmarkEnd w:id="689"/>
      <w:r>
        <w:rPr>
          <w:rFonts w:hint="eastAsia" w:ascii="宋体" w:hAnsi="宋体"/>
          <w:color w:val="auto"/>
          <w:highlight w:val="none"/>
          <w:lang w:eastAsia="zh-CN"/>
        </w:rPr>
        <w:t>深入发展</w:t>
      </w:r>
      <w:bookmarkEnd w:id="690"/>
    </w:p>
    <w:p>
      <w:pPr>
        <w:bidi w:val="0"/>
      </w:pPr>
      <w:bookmarkStart w:id="691" w:name="_Toc4812"/>
      <w:bookmarkStart w:id="692" w:name="_Toc31617"/>
      <w:bookmarkStart w:id="693" w:name="_Toc2735"/>
      <w:bookmarkStart w:id="694" w:name="_Toc4006"/>
      <w:r>
        <w:rPr>
          <w:rFonts w:hint="eastAsia"/>
        </w:rPr>
        <w:t>坚持有效市场和有为政府更好结合，全面深化经济体制改革，加快完善社会主义市场经济体制，使政府作用更好发挥，进一步激发各类市场主体活力，让经济发展动力不断蓄增。</w:t>
      </w:r>
      <w:bookmarkEnd w:id="691"/>
      <w:bookmarkEnd w:id="692"/>
      <w:bookmarkEnd w:id="693"/>
    </w:p>
    <w:bookmarkEnd w:id="694"/>
    <w:p>
      <w:pPr>
        <w:pStyle w:val="5"/>
        <w:rPr>
          <w:rFonts w:ascii="宋体" w:hAnsi="宋体"/>
          <w:color w:val="auto"/>
          <w:highlight w:val="none"/>
        </w:rPr>
      </w:pPr>
      <w:bookmarkStart w:id="695" w:name="_Toc21629"/>
      <w:bookmarkStart w:id="696" w:name="_Toc2879"/>
      <w:bookmarkStart w:id="697" w:name="_Toc26269"/>
      <w:bookmarkStart w:id="698" w:name="_Toc2333"/>
      <w:bookmarkStart w:id="699" w:name="_Toc1579"/>
      <w:r>
        <w:rPr>
          <w:rFonts w:hint="eastAsia" w:ascii="宋体" w:hAnsi="宋体"/>
          <w:color w:val="auto"/>
          <w:highlight w:val="none"/>
        </w:rPr>
        <w:t>（一）推动激发各类市场主体活力</w:t>
      </w:r>
      <w:bookmarkEnd w:id="695"/>
      <w:bookmarkEnd w:id="696"/>
      <w:bookmarkEnd w:id="697"/>
      <w:bookmarkEnd w:id="698"/>
      <w:bookmarkEnd w:id="699"/>
    </w:p>
    <w:p>
      <w:pPr>
        <w:ind w:firstLine="643"/>
        <w:rPr>
          <w:rFonts w:ascii="宋体" w:hAnsi="宋体"/>
          <w:color w:val="auto"/>
          <w:highlight w:val="none"/>
        </w:rPr>
      </w:pPr>
      <w:bookmarkStart w:id="700" w:name="_Toc22880"/>
      <w:bookmarkStart w:id="701" w:name="_Toc32739"/>
      <w:bookmarkStart w:id="702" w:name="_Toc30436"/>
      <w:bookmarkStart w:id="703" w:name="_Toc32306"/>
      <w:bookmarkStart w:id="704" w:name="_Toc6474"/>
      <w:r>
        <w:rPr>
          <w:rStyle w:val="24"/>
          <w:rFonts w:hint="eastAsia" w:ascii="宋体" w:hAnsi="宋体"/>
          <w:color w:val="auto"/>
          <w:highlight w:val="none"/>
        </w:rPr>
        <w:t>1.</w:t>
      </w:r>
      <w:r>
        <w:rPr>
          <w:rStyle w:val="24"/>
          <w:rFonts w:hint="eastAsia"/>
          <w:color w:val="auto"/>
          <w:highlight w:val="none"/>
          <w:lang w:eastAsia="zh-CN"/>
        </w:rPr>
        <w:t>深化国资国企</w:t>
      </w:r>
      <w:r>
        <w:rPr>
          <w:rStyle w:val="24"/>
          <w:rFonts w:hint="eastAsia" w:ascii="宋体" w:hAnsi="宋体"/>
          <w:color w:val="auto"/>
          <w:highlight w:val="none"/>
        </w:rPr>
        <w:t>改革。</w:t>
      </w:r>
      <w:bookmarkEnd w:id="700"/>
      <w:bookmarkEnd w:id="701"/>
      <w:bookmarkEnd w:id="702"/>
      <w:bookmarkEnd w:id="703"/>
      <w:bookmarkEnd w:id="704"/>
      <w:r>
        <w:rPr>
          <w:rFonts w:hint="eastAsia" w:ascii="宋体" w:hAnsi="宋体"/>
          <w:color w:val="auto"/>
          <w:highlight w:val="none"/>
        </w:rPr>
        <w:t>推动国企混合所有制改革，促进国有资本向重要行业、关键领域和战略新兴产业集中。加强经营性国有资产集中统一监管，稳步推进国有资本划转和市场化处置，提高国有资本配置和监管效率。落实划转部分国有资本充实社保基金工作，加强对承接主体的监督，规范划转国有资本</w:t>
      </w:r>
      <w:r>
        <w:rPr>
          <w:rFonts w:hint="eastAsia" w:ascii="宋体" w:hAnsi="宋体"/>
          <w:color w:val="auto"/>
          <w:highlight w:val="none"/>
          <w:lang w:eastAsia="zh-CN"/>
        </w:rPr>
        <w:t>的</w:t>
      </w:r>
      <w:r>
        <w:rPr>
          <w:rFonts w:hint="eastAsia" w:ascii="宋体" w:hAnsi="宋体"/>
          <w:color w:val="auto"/>
          <w:highlight w:val="none"/>
        </w:rPr>
        <w:t>运作和管理，促进划转国有资本保值增值，拓宽养老保险基金来源渠道。</w:t>
      </w:r>
    </w:p>
    <w:p>
      <w:pPr>
        <w:ind w:firstLine="643"/>
        <w:rPr>
          <w:rFonts w:hint="eastAsia" w:ascii="宋体" w:hAnsi="宋体"/>
          <w:color w:val="auto"/>
          <w:highlight w:val="none"/>
          <w:lang w:eastAsia="zh-CN"/>
        </w:rPr>
      </w:pPr>
      <w:bookmarkStart w:id="705" w:name="_Toc17186"/>
      <w:bookmarkStart w:id="706" w:name="_Toc4407"/>
      <w:bookmarkStart w:id="707" w:name="_Toc9748"/>
      <w:bookmarkStart w:id="708" w:name="_Toc7982"/>
      <w:bookmarkStart w:id="709" w:name="_Toc24584"/>
      <w:r>
        <w:rPr>
          <w:rStyle w:val="24"/>
          <w:rFonts w:hint="eastAsia" w:ascii="宋体" w:hAnsi="宋体"/>
          <w:color w:val="auto"/>
          <w:highlight w:val="none"/>
        </w:rPr>
        <w:t>2.全面落实减税降费纾困惠企政策。</w:t>
      </w:r>
      <w:bookmarkEnd w:id="705"/>
      <w:bookmarkEnd w:id="706"/>
      <w:bookmarkEnd w:id="707"/>
      <w:bookmarkEnd w:id="708"/>
      <w:bookmarkEnd w:id="709"/>
      <w:r>
        <w:rPr>
          <w:rFonts w:hint="eastAsia" w:ascii="宋体" w:hAnsi="宋体"/>
          <w:color w:val="auto"/>
          <w:highlight w:val="none"/>
        </w:rPr>
        <w:t>落实已出台的小微企业普惠性税费减免、支持和促进重点群体创业就业等系列减税降费政策；延续易地扶贫搬迁税收优惠、扶贫货物捐赠免征增值税等政策，将脱贫攻坚相关税收优惠政策延续至2025年。结合我省经济发展实际和政策管理权限，统筹考虑社会减负和财政收支平衡，适时调整政府性基金征收政策，推进“十三五”期间停征的各项收费基金在“十四五”期间继续停征。</w:t>
      </w:r>
      <w:r>
        <w:rPr>
          <w:rFonts w:hint="eastAsia" w:ascii="宋体" w:hAnsi="宋体"/>
          <w:color w:val="auto"/>
          <w:highlight w:val="none"/>
          <w:lang w:eastAsia="zh-CN"/>
        </w:rPr>
        <w:t>加强税费优惠与资金支持、政府采购等财税政策间的协调互补，提升政策合力。</w:t>
      </w:r>
    </w:p>
    <w:p>
      <w:pPr>
        <w:bidi w:val="0"/>
      </w:pPr>
      <w:r>
        <w:rPr>
          <w:rStyle w:val="24"/>
          <w:rFonts w:hint="eastAsia"/>
        </w:rPr>
        <w:t>3.推进政府购买服务改革。</w:t>
      </w:r>
      <w:r>
        <w:rPr>
          <w:rFonts w:hint="eastAsia"/>
        </w:rPr>
        <w:t>深入贯彻落实政府购买服务政策精神，健全完善政府购买服务管理制度,转变公共服务提供方式，将推广政府购买服务与事业单位改革和社会组织培育发展紧密结合，充分发挥政府购买服务在促进政府职能转变、提高公共服务供给质量和效率、创新社会治理等方面的作用。健全规范政府购买服务指导性目录体系，修订省级政府购买服务指导性目录，推动各部门制定完善部门指导性目录。推进政府购买服务项目绩效评价工作。强化信息报送机制，结合预算一体化系统建设，不断完善政府购买服务信息化管理体系。有效发挥政府购买服务联席会商机制作用，持续推动重点公共服务领域购买服务改革。</w:t>
      </w:r>
    </w:p>
    <w:p>
      <w:pPr>
        <w:ind w:firstLine="643"/>
        <w:rPr>
          <w:rFonts w:ascii="宋体" w:hAnsi="宋体"/>
          <w:color w:val="auto"/>
          <w:highlight w:val="none"/>
        </w:rPr>
      </w:pPr>
      <w:bookmarkStart w:id="710" w:name="_Toc25599"/>
      <w:bookmarkStart w:id="711" w:name="_Toc31251"/>
      <w:bookmarkStart w:id="712" w:name="_Toc29407"/>
      <w:bookmarkStart w:id="713" w:name="_Toc28961"/>
      <w:bookmarkStart w:id="714" w:name="_Toc187"/>
      <w:r>
        <w:rPr>
          <w:rStyle w:val="24"/>
          <w:rFonts w:hint="eastAsia"/>
          <w:color w:val="auto"/>
          <w:highlight w:val="none"/>
          <w:lang w:val="en-US" w:eastAsia="zh-CN"/>
        </w:rPr>
        <w:t>4</w:t>
      </w:r>
      <w:r>
        <w:rPr>
          <w:rStyle w:val="24"/>
          <w:rFonts w:hint="eastAsia" w:ascii="宋体" w:hAnsi="宋体"/>
          <w:color w:val="auto"/>
          <w:highlight w:val="none"/>
        </w:rPr>
        <w:t>.支持知识产权保护和运用。</w:t>
      </w:r>
      <w:bookmarkEnd w:id="710"/>
      <w:bookmarkEnd w:id="711"/>
      <w:bookmarkEnd w:id="712"/>
      <w:bookmarkEnd w:id="713"/>
      <w:bookmarkEnd w:id="714"/>
      <w:r>
        <w:rPr>
          <w:rFonts w:hint="eastAsia" w:ascii="宋体" w:hAnsi="宋体"/>
          <w:color w:val="auto"/>
          <w:highlight w:val="none"/>
        </w:rPr>
        <w:t>强化财政对知识产权保护投入，逐步形成政府引导、企业主导、社会参与多元化投入保障机制。通过支持专利技术转移转化、专利质押融资、知识产权企业试点示范培育等，促进知识产权与产业发展深度融合</w:t>
      </w:r>
      <w:r>
        <w:rPr>
          <w:rFonts w:hint="eastAsia" w:ascii="宋体" w:hAnsi="宋体"/>
          <w:color w:val="auto"/>
          <w:highlight w:val="none"/>
          <w:lang w:eastAsia="zh-CN"/>
        </w:rPr>
        <w:t>，</w:t>
      </w:r>
      <w:r>
        <w:rPr>
          <w:rFonts w:hint="eastAsia" w:ascii="宋体" w:hAnsi="宋体"/>
          <w:color w:val="auto"/>
          <w:highlight w:val="none"/>
        </w:rPr>
        <w:t>打造一批具备竞争优势的知识产权强企。支持推动中国（吉林）知识产权保护中心建设，实现关键领域专利快速授权、确权和维权。引导专利保护发展资金和国家</w:t>
      </w:r>
      <w:r>
        <w:rPr>
          <w:rFonts w:hint="eastAsia"/>
          <w:color w:val="auto"/>
          <w:highlight w:val="none"/>
          <w:lang w:eastAsia="zh-CN"/>
        </w:rPr>
        <w:t>知识产权</w:t>
      </w:r>
      <w:r>
        <w:rPr>
          <w:rFonts w:hint="eastAsia" w:ascii="宋体" w:hAnsi="宋体"/>
          <w:color w:val="auto"/>
          <w:highlight w:val="none"/>
        </w:rPr>
        <w:t>运营</w:t>
      </w:r>
      <w:r>
        <w:rPr>
          <w:rFonts w:hint="eastAsia"/>
          <w:color w:val="auto"/>
          <w:highlight w:val="none"/>
          <w:lang w:eastAsia="zh-CN"/>
        </w:rPr>
        <w:t>服务</w:t>
      </w:r>
      <w:r>
        <w:rPr>
          <w:rFonts w:hint="eastAsia" w:ascii="宋体" w:hAnsi="宋体"/>
          <w:color w:val="auto"/>
          <w:highlight w:val="none"/>
        </w:rPr>
        <w:t>体系建设资金向激励高质量创造倾斜，培育形成一批高价值发明专利,增强市场主体核心技术竞争力。</w:t>
      </w:r>
    </w:p>
    <w:p>
      <w:pPr>
        <w:pStyle w:val="5"/>
        <w:rPr>
          <w:rFonts w:ascii="宋体" w:hAnsi="宋体"/>
          <w:color w:val="auto"/>
          <w:highlight w:val="none"/>
        </w:rPr>
      </w:pPr>
      <w:bookmarkStart w:id="715" w:name="_Toc20681"/>
      <w:bookmarkStart w:id="716" w:name="_Toc24585"/>
      <w:bookmarkStart w:id="717" w:name="_Toc11064"/>
      <w:bookmarkStart w:id="718" w:name="_Toc22598"/>
      <w:bookmarkStart w:id="719" w:name="_Toc28593"/>
      <w:bookmarkStart w:id="720" w:name="_Toc9732"/>
      <w:r>
        <w:rPr>
          <w:rFonts w:hint="eastAsia" w:ascii="宋体" w:hAnsi="宋体"/>
          <w:color w:val="auto"/>
          <w:highlight w:val="none"/>
        </w:rPr>
        <w:t>（二）</w:t>
      </w:r>
      <w:r>
        <w:rPr>
          <w:rFonts w:hint="eastAsia"/>
          <w:color w:val="auto"/>
          <w:highlight w:val="none"/>
          <w:lang w:eastAsia="zh-CN"/>
        </w:rPr>
        <w:t>推动财政金融在市场经济中促进作用</w:t>
      </w:r>
      <w:bookmarkEnd w:id="715"/>
      <w:bookmarkEnd w:id="716"/>
      <w:bookmarkEnd w:id="717"/>
      <w:bookmarkEnd w:id="718"/>
      <w:bookmarkEnd w:id="719"/>
      <w:bookmarkEnd w:id="720"/>
    </w:p>
    <w:p>
      <w:pPr>
        <w:ind w:firstLine="643"/>
        <w:rPr>
          <w:rFonts w:ascii="宋体" w:hAnsi="宋体"/>
          <w:color w:val="auto"/>
          <w:highlight w:val="none"/>
        </w:rPr>
      </w:pPr>
      <w:bookmarkStart w:id="721" w:name="_Toc21814"/>
      <w:bookmarkStart w:id="722" w:name="_Toc16301"/>
      <w:bookmarkStart w:id="723" w:name="_Toc11958"/>
      <w:bookmarkStart w:id="724" w:name="_Toc5004"/>
      <w:bookmarkStart w:id="725" w:name="_Toc1167"/>
      <w:r>
        <w:rPr>
          <w:rStyle w:val="24"/>
          <w:rFonts w:hint="eastAsia" w:ascii="宋体" w:hAnsi="宋体"/>
          <w:color w:val="auto"/>
          <w:highlight w:val="none"/>
        </w:rPr>
        <w:t>1.加强国有金融资本管理</w:t>
      </w:r>
      <w:bookmarkEnd w:id="721"/>
      <w:r>
        <w:rPr>
          <w:rStyle w:val="24"/>
          <w:rFonts w:hint="eastAsia" w:ascii="宋体" w:hAnsi="宋体"/>
          <w:color w:val="auto"/>
          <w:highlight w:val="none"/>
        </w:rPr>
        <w:t>。</w:t>
      </w:r>
      <w:bookmarkEnd w:id="722"/>
      <w:bookmarkEnd w:id="723"/>
      <w:bookmarkEnd w:id="724"/>
      <w:bookmarkEnd w:id="725"/>
      <w:r>
        <w:rPr>
          <w:rFonts w:hint="eastAsia" w:ascii="宋体" w:hAnsi="宋体"/>
          <w:color w:val="auto"/>
          <w:highlight w:val="none"/>
        </w:rPr>
        <w:t>持续强化</w:t>
      </w:r>
      <w:r>
        <w:rPr>
          <w:rFonts w:hint="eastAsia"/>
          <w:color w:val="auto"/>
          <w:highlight w:val="none"/>
          <w:lang w:eastAsia="zh-CN"/>
        </w:rPr>
        <w:t>国有</w:t>
      </w:r>
      <w:r>
        <w:rPr>
          <w:rFonts w:hint="eastAsia" w:ascii="宋体" w:hAnsi="宋体"/>
          <w:color w:val="auto"/>
          <w:highlight w:val="none"/>
        </w:rPr>
        <w:t>金融资本管理制度体系建设，统筹规划国有金融资本布局，提高资本配置效率。履行国有金融资本出资人职责，按照穿透管理原则做好国有金融资本全周期动态监管，深化公司制股份制改革，健全公司法人治理结构，落实国有金融资本经营预算管理制度，建立绩效考核与薪酬分配的奖惩联动机制。发挥好国有金融资本“压舱石”作用，指导省属国有金融企业强化内部治理、完善内部控制和风险防控体系，牢牢守住不发生系统性金融风险的底线。</w:t>
      </w:r>
    </w:p>
    <w:p>
      <w:pPr>
        <w:ind w:firstLine="643"/>
        <w:rPr>
          <w:rFonts w:ascii="宋体" w:hAnsi="宋体"/>
          <w:color w:val="auto"/>
          <w:highlight w:val="none"/>
        </w:rPr>
      </w:pPr>
      <w:bookmarkStart w:id="726" w:name="_Toc9838"/>
      <w:bookmarkStart w:id="727" w:name="_Toc12480"/>
      <w:bookmarkStart w:id="728" w:name="_Toc15550"/>
      <w:bookmarkStart w:id="729" w:name="_Toc14475"/>
      <w:bookmarkStart w:id="730" w:name="_Toc25064"/>
      <w:r>
        <w:rPr>
          <w:rStyle w:val="24"/>
          <w:rFonts w:hint="eastAsia" w:ascii="宋体" w:hAnsi="宋体"/>
          <w:color w:val="auto"/>
          <w:highlight w:val="none"/>
        </w:rPr>
        <w:t>2.进一步推进普惠金融发展</w:t>
      </w:r>
      <w:bookmarkEnd w:id="726"/>
      <w:r>
        <w:rPr>
          <w:rStyle w:val="24"/>
          <w:rFonts w:hint="eastAsia" w:ascii="宋体" w:hAnsi="宋体"/>
          <w:color w:val="auto"/>
          <w:highlight w:val="none"/>
        </w:rPr>
        <w:t>。</w:t>
      </w:r>
      <w:bookmarkEnd w:id="727"/>
      <w:bookmarkEnd w:id="728"/>
      <w:bookmarkEnd w:id="729"/>
      <w:bookmarkEnd w:id="730"/>
      <w:r>
        <w:rPr>
          <w:rFonts w:hint="eastAsia" w:ascii="宋体" w:hAnsi="宋体"/>
          <w:color w:val="auto"/>
          <w:highlight w:val="none"/>
        </w:rPr>
        <w:t>完善普惠融资服务体系，提高中小微企业金融服务可获得性。</w:t>
      </w:r>
      <w:r>
        <w:rPr>
          <w:rFonts w:hint="eastAsia" w:ascii="宋体" w:hAnsi="宋体"/>
          <w:color w:val="auto"/>
          <w:highlight w:val="none"/>
          <w:lang w:eastAsia="zh-CN"/>
        </w:rPr>
        <w:t>深入</w:t>
      </w:r>
      <w:r>
        <w:rPr>
          <w:rFonts w:hint="eastAsia" w:ascii="宋体" w:hAnsi="宋体"/>
          <w:color w:val="auto"/>
          <w:highlight w:val="none"/>
        </w:rPr>
        <w:t>推进农村金融综合改革</w:t>
      </w:r>
      <w:r>
        <w:rPr>
          <w:rFonts w:hint="eastAsia" w:ascii="宋体" w:hAnsi="宋体"/>
          <w:color w:val="auto"/>
          <w:highlight w:val="none"/>
          <w:lang w:eastAsia="zh-CN"/>
        </w:rPr>
        <w:t>，</w:t>
      </w:r>
      <w:r>
        <w:rPr>
          <w:rFonts w:hint="eastAsia" w:ascii="宋体" w:hAnsi="宋体"/>
          <w:color w:val="auto"/>
          <w:highlight w:val="none"/>
        </w:rPr>
        <w:t>统筹构建全省线上和线下农村综合产权交易市场网络，鼓励“吉农金服”等农村数字普惠金融服务乡村振兴。探索建立风险补偿机制，继续支持融资担保体系建设，促进专注于服务“三农”和小微企业的融资担保机构持续发展，提升政府性融资担保体系支持经济薄弱环节发展的功效。</w:t>
      </w:r>
    </w:p>
    <w:p>
      <w:pPr>
        <w:ind w:firstLine="643"/>
        <w:rPr>
          <w:rFonts w:ascii="宋体" w:hAnsi="宋体"/>
          <w:color w:val="auto"/>
          <w:highlight w:val="none"/>
        </w:rPr>
      </w:pPr>
      <w:bookmarkStart w:id="731" w:name="_Toc28349"/>
      <w:bookmarkStart w:id="732" w:name="_Toc32032"/>
      <w:bookmarkStart w:id="733" w:name="_Toc2639"/>
      <w:bookmarkStart w:id="734" w:name="_Toc29295"/>
      <w:bookmarkStart w:id="735" w:name="_Toc32106"/>
      <w:r>
        <w:rPr>
          <w:rStyle w:val="24"/>
          <w:rFonts w:hint="eastAsia" w:ascii="宋体" w:hAnsi="宋体"/>
          <w:color w:val="auto"/>
          <w:highlight w:val="none"/>
        </w:rPr>
        <w:t>3.加强财政金融政策协调配合</w:t>
      </w:r>
      <w:bookmarkEnd w:id="731"/>
      <w:r>
        <w:rPr>
          <w:rStyle w:val="24"/>
          <w:rFonts w:hint="eastAsia" w:ascii="宋体" w:hAnsi="宋体"/>
          <w:color w:val="auto"/>
          <w:highlight w:val="none"/>
        </w:rPr>
        <w:t>。</w:t>
      </w:r>
      <w:bookmarkEnd w:id="732"/>
      <w:bookmarkEnd w:id="733"/>
      <w:bookmarkEnd w:id="734"/>
      <w:bookmarkEnd w:id="735"/>
      <w:r>
        <w:rPr>
          <w:rFonts w:hint="eastAsia" w:ascii="宋体" w:hAnsi="宋体"/>
          <w:color w:val="auto"/>
          <w:highlight w:val="none"/>
        </w:rPr>
        <w:t>进一步转变财政资金投入方式，利用贴息、担保费补</w:t>
      </w:r>
      <w:r>
        <w:rPr>
          <w:rFonts w:hint="eastAsia"/>
          <w:color w:val="auto"/>
          <w:highlight w:val="none"/>
          <w:lang w:eastAsia="zh-CN"/>
        </w:rPr>
        <w:t>助</w:t>
      </w:r>
      <w:r>
        <w:rPr>
          <w:rFonts w:hint="eastAsia" w:ascii="宋体" w:hAnsi="宋体"/>
          <w:color w:val="auto"/>
          <w:highlight w:val="none"/>
        </w:rPr>
        <w:t>、保险费补贴、以奖代补等手段，发挥财政在降成本、补短板中的结构性优势，</w:t>
      </w:r>
      <w:r>
        <w:rPr>
          <w:rFonts w:hint="eastAsia" w:ascii="宋体" w:hAnsi="宋体"/>
          <w:color w:val="auto"/>
          <w:highlight w:val="none"/>
          <w:lang w:eastAsia="zh-CN"/>
        </w:rPr>
        <w:t>引导</w:t>
      </w:r>
      <w:r>
        <w:rPr>
          <w:rFonts w:hint="eastAsia" w:ascii="宋体" w:hAnsi="宋体"/>
          <w:color w:val="auto"/>
          <w:highlight w:val="none"/>
        </w:rPr>
        <w:t>金融和产业资本投入实体经济，全面提升财政金融协同服务实体经济</w:t>
      </w:r>
      <w:r>
        <w:rPr>
          <w:rFonts w:hint="eastAsia" w:ascii="宋体" w:hAnsi="宋体"/>
          <w:color w:val="auto"/>
          <w:highlight w:val="none"/>
          <w:lang w:eastAsia="zh-CN"/>
        </w:rPr>
        <w:t>的</w:t>
      </w:r>
      <w:r>
        <w:rPr>
          <w:rFonts w:hint="eastAsia" w:ascii="宋体" w:hAnsi="宋体"/>
          <w:color w:val="auto"/>
          <w:highlight w:val="none"/>
        </w:rPr>
        <w:t>效率和水平。创新财政资金运用方式，发挥财政金融发展基金作用，</w:t>
      </w:r>
      <w:r>
        <w:rPr>
          <w:rFonts w:hint="eastAsia" w:ascii="宋体" w:hAnsi="宋体"/>
          <w:color w:val="auto"/>
          <w:highlight w:val="none"/>
          <w:lang w:eastAsia="zh-CN"/>
        </w:rPr>
        <w:t>防范化解重大金融风险，维护省属金融企业稳健发展</w:t>
      </w:r>
      <w:r>
        <w:rPr>
          <w:rFonts w:hint="eastAsia" w:ascii="宋体" w:hAnsi="宋体"/>
          <w:color w:val="auto"/>
          <w:highlight w:val="none"/>
        </w:rPr>
        <w:t>。</w:t>
      </w:r>
    </w:p>
    <w:p>
      <w:pPr>
        <w:ind w:firstLine="643"/>
        <w:rPr>
          <w:rFonts w:ascii="宋体" w:hAnsi="宋体"/>
          <w:color w:val="auto"/>
          <w:highlight w:val="none"/>
        </w:rPr>
      </w:pPr>
      <w:bookmarkStart w:id="736" w:name="_Toc28343"/>
      <w:bookmarkStart w:id="737" w:name="_Toc7735"/>
      <w:bookmarkStart w:id="738" w:name="_Toc17199"/>
      <w:bookmarkStart w:id="739" w:name="_Toc4562"/>
      <w:r>
        <w:rPr>
          <w:rStyle w:val="24"/>
          <w:rFonts w:hint="eastAsia" w:ascii="宋体" w:hAnsi="宋体"/>
          <w:color w:val="auto"/>
          <w:highlight w:val="none"/>
        </w:rPr>
        <w:t>4.加强</w:t>
      </w:r>
      <w:r>
        <w:rPr>
          <w:rStyle w:val="24"/>
          <w:rFonts w:hint="eastAsia" w:ascii="宋体" w:hAnsi="宋体"/>
          <w:color w:val="auto"/>
          <w:highlight w:val="none"/>
          <w:lang w:eastAsia="zh-CN"/>
        </w:rPr>
        <w:t>财政</w:t>
      </w:r>
      <w:r>
        <w:rPr>
          <w:rStyle w:val="24"/>
          <w:rFonts w:hint="eastAsia" w:ascii="宋体" w:hAnsi="宋体"/>
          <w:color w:val="auto"/>
          <w:highlight w:val="none"/>
        </w:rPr>
        <w:t>金融人才队伍建设。</w:t>
      </w:r>
      <w:bookmarkEnd w:id="736"/>
      <w:bookmarkEnd w:id="737"/>
      <w:bookmarkEnd w:id="738"/>
      <w:bookmarkEnd w:id="739"/>
      <w:r>
        <w:rPr>
          <w:rFonts w:hint="eastAsia" w:ascii="宋体" w:hAnsi="宋体"/>
          <w:color w:val="auto"/>
          <w:highlight w:val="none"/>
        </w:rPr>
        <w:t>着力构建财政系统金融企业人才工作新格局。实施高端金融人才培养三年行动计划，不断加强国有金融机构</w:t>
      </w:r>
      <w:r>
        <w:rPr>
          <w:rFonts w:hint="eastAsia"/>
          <w:color w:val="auto"/>
          <w:highlight w:val="none"/>
          <w:lang w:eastAsia="zh-CN"/>
        </w:rPr>
        <w:t>工作</w:t>
      </w:r>
      <w:r>
        <w:rPr>
          <w:rFonts w:hint="eastAsia" w:ascii="宋体" w:hAnsi="宋体"/>
          <w:color w:val="auto"/>
          <w:highlight w:val="none"/>
        </w:rPr>
        <w:t>人员政治素养、专业知识和职业道德教育培训，培养一批懂企业的金融监管者、懂风险的金融从业者、懂市场的金融管理者</w:t>
      </w:r>
      <w:r>
        <w:rPr>
          <w:rFonts w:hint="eastAsia" w:ascii="宋体" w:hAnsi="宋体"/>
          <w:color w:val="auto"/>
          <w:highlight w:val="none"/>
          <w:lang w:eastAsia="zh-CN"/>
        </w:rPr>
        <w:t>。</w:t>
      </w:r>
    </w:p>
    <w:p>
      <w:pPr>
        <w:pStyle w:val="4"/>
        <w:ind w:firstLine="640" w:firstLineChars="200"/>
        <w:rPr>
          <w:rFonts w:ascii="宋体" w:hAnsi="宋体"/>
          <w:color w:val="auto"/>
          <w:highlight w:val="none"/>
        </w:rPr>
      </w:pPr>
      <w:bookmarkStart w:id="740" w:name="_Toc3894"/>
      <w:bookmarkStart w:id="741" w:name="_Toc4028"/>
      <w:bookmarkStart w:id="742" w:name="_Toc31930"/>
      <w:bookmarkStart w:id="743" w:name="_Toc19740"/>
      <w:bookmarkStart w:id="744" w:name="_Toc4638"/>
      <w:bookmarkStart w:id="745" w:name="_Toc14239"/>
      <w:r>
        <w:rPr>
          <w:rFonts w:hint="eastAsia" w:ascii="宋体" w:hAnsi="宋体"/>
          <w:color w:val="auto"/>
          <w:highlight w:val="none"/>
        </w:rPr>
        <w:t>十三、继续大力支持乡村振兴</w:t>
      </w:r>
      <w:bookmarkEnd w:id="740"/>
      <w:bookmarkEnd w:id="741"/>
      <w:bookmarkEnd w:id="742"/>
      <w:bookmarkEnd w:id="743"/>
      <w:bookmarkEnd w:id="744"/>
      <w:bookmarkEnd w:id="745"/>
    </w:p>
    <w:p>
      <w:pPr>
        <w:rPr>
          <w:rFonts w:ascii="宋体" w:hAnsi="宋体"/>
          <w:color w:val="auto"/>
          <w:highlight w:val="none"/>
        </w:rPr>
      </w:pPr>
      <w:bookmarkStart w:id="746" w:name="_Toc18591"/>
      <w:bookmarkStart w:id="747" w:name="_Toc11860"/>
      <w:r>
        <w:rPr>
          <w:rFonts w:hint="eastAsia" w:ascii="宋体" w:hAnsi="宋体"/>
          <w:color w:val="auto"/>
          <w:highlight w:val="none"/>
          <w:lang w:eastAsia="zh-CN"/>
        </w:rPr>
        <w:t>发挥财政对农业农村发展的优先支持作用，把高质量发展贯穿“三农”工作始终，持续推进农业供给侧结构性改革，支持加强乡村建设和深化农村改革，做好</w:t>
      </w:r>
      <w:r>
        <w:rPr>
          <w:rFonts w:hint="eastAsia" w:ascii="宋体" w:hAnsi="宋体"/>
          <w:color w:val="auto"/>
          <w:highlight w:val="none"/>
        </w:rPr>
        <w:t>脱贫攻坚</w:t>
      </w:r>
      <w:r>
        <w:rPr>
          <w:rFonts w:hint="eastAsia" w:ascii="宋体" w:hAnsi="宋体"/>
          <w:color w:val="auto"/>
          <w:highlight w:val="none"/>
          <w:lang w:eastAsia="zh-CN"/>
        </w:rPr>
        <w:t>与</w:t>
      </w:r>
      <w:r>
        <w:rPr>
          <w:rFonts w:hint="eastAsia" w:ascii="宋体" w:hAnsi="宋体"/>
          <w:color w:val="auto"/>
          <w:highlight w:val="none"/>
        </w:rPr>
        <w:t>乡村振兴有效衔接</w:t>
      </w:r>
      <w:r>
        <w:rPr>
          <w:rFonts w:hint="eastAsia" w:ascii="宋体" w:hAnsi="宋体"/>
          <w:color w:val="auto"/>
          <w:highlight w:val="none"/>
          <w:lang w:eastAsia="zh-CN"/>
        </w:rPr>
        <w:t>，</w:t>
      </w:r>
      <w:r>
        <w:rPr>
          <w:rFonts w:ascii="宋体" w:hAnsi="宋体"/>
          <w:color w:val="auto"/>
          <w:highlight w:val="none"/>
        </w:rPr>
        <w:t>充分发挥国家重要商品粮基地优势，支持吉林农业走出集约、高效、安全、持续的现代</w:t>
      </w:r>
      <w:r>
        <w:rPr>
          <w:rFonts w:hint="eastAsia" w:ascii="宋体" w:hAnsi="宋体"/>
          <w:color w:val="auto"/>
          <w:highlight w:val="none"/>
          <w:lang w:eastAsia="zh-CN"/>
        </w:rPr>
        <w:t>化</w:t>
      </w:r>
      <w:r>
        <w:rPr>
          <w:rFonts w:ascii="宋体" w:hAnsi="宋体"/>
          <w:color w:val="auto"/>
          <w:highlight w:val="none"/>
        </w:rPr>
        <w:t>发展道路。</w:t>
      </w:r>
      <w:bookmarkEnd w:id="746"/>
    </w:p>
    <w:p>
      <w:pPr>
        <w:pStyle w:val="5"/>
        <w:bidi w:val="0"/>
        <w:rPr>
          <w:rFonts w:hint="eastAsia"/>
          <w:lang w:eastAsia="zh-CN"/>
        </w:rPr>
      </w:pPr>
      <w:bookmarkStart w:id="748" w:name="_Toc30905"/>
      <w:bookmarkStart w:id="749" w:name="_Toc6019"/>
      <w:bookmarkStart w:id="750" w:name="_Toc7204"/>
      <w:bookmarkStart w:id="751" w:name="_Toc2247"/>
      <w:r>
        <w:rPr>
          <w:rFonts w:hint="eastAsia"/>
          <w:lang w:eastAsia="zh-CN"/>
        </w:rPr>
        <w:t>（一）完善农业农村投入机制</w:t>
      </w:r>
      <w:bookmarkEnd w:id="748"/>
      <w:bookmarkEnd w:id="749"/>
      <w:bookmarkEnd w:id="750"/>
      <w:bookmarkEnd w:id="751"/>
    </w:p>
    <w:p>
      <w:pPr>
        <w:bidi w:val="0"/>
        <w:rPr>
          <w:rFonts w:hint="eastAsia" w:ascii="宋体" w:hAnsi="宋体"/>
          <w:lang w:eastAsia="zh-CN"/>
        </w:rPr>
      </w:pPr>
      <w:r>
        <w:rPr>
          <w:rFonts w:hint="eastAsia" w:ascii="宋体" w:hAnsi="宋体"/>
          <w:lang w:eastAsia="zh-CN"/>
        </w:rPr>
        <w:t>坚持把农业农村作为财政优先保障领域，加强财政投入保障，确保财政投入与全面实施乡村振兴战略相适应。落实调整完善土地出让收入使用范围优先支持乡村振兴的相关制度安排，加强督导考核，确保土地出让收入按规定比例用于农业农村。设立吉林省乡村振兴产业发展基金，发挥财政资金引导作用和放大效应，充分利用资本市场支持乡村产业发展。进一步完善涉农资金统筹整合长效机制。</w:t>
      </w:r>
    </w:p>
    <w:p>
      <w:pPr>
        <w:pStyle w:val="5"/>
        <w:rPr>
          <w:rFonts w:ascii="宋体" w:hAnsi="宋体"/>
          <w:color w:val="auto"/>
          <w:highlight w:val="none"/>
        </w:rPr>
      </w:pPr>
      <w:bookmarkStart w:id="752" w:name="_Toc9708"/>
      <w:bookmarkStart w:id="753" w:name="_Toc26502"/>
      <w:bookmarkStart w:id="754" w:name="_Toc21782"/>
      <w:bookmarkStart w:id="755" w:name="_Toc21508"/>
      <w:bookmarkStart w:id="756" w:name="_Toc14099"/>
      <w:r>
        <w:rPr>
          <w:rFonts w:hint="eastAsia" w:ascii="宋体" w:hAnsi="宋体"/>
          <w:color w:val="auto"/>
          <w:highlight w:val="none"/>
        </w:rPr>
        <w:t>（</w:t>
      </w:r>
      <w:r>
        <w:rPr>
          <w:rFonts w:hint="eastAsia" w:ascii="宋体" w:hAnsi="宋体"/>
          <w:color w:val="auto"/>
          <w:highlight w:val="none"/>
          <w:lang w:eastAsia="zh-CN"/>
        </w:rPr>
        <w:t>二</w:t>
      </w:r>
      <w:r>
        <w:rPr>
          <w:rFonts w:hint="eastAsia" w:ascii="宋体" w:hAnsi="宋体"/>
          <w:color w:val="auto"/>
          <w:highlight w:val="none"/>
        </w:rPr>
        <w:t>）支持提高农业质量效益和竞争力</w:t>
      </w:r>
      <w:bookmarkEnd w:id="747"/>
      <w:bookmarkEnd w:id="752"/>
      <w:bookmarkEnd w:id="753"/>
      <w:bookmarkEnd w:id="754"/>
      <w:bookmarkEnd w:id="755"/>
      <w:bookmarkEnd w:id="756"/>
    </w:p>
    <w:p>
      <w:pPr>
        <w:bidi w:val="0"/>
        <w:rPr>
          <w:rStyle w:val="24"/>
          <w:rFonts w:hint="eastAsia" w:ascii="宋体" w:hAnsi="宋体"/>
          <w:color w:val="auto"/>
          <w:highlight w:val="none"/>
        </w:rPr>
      </w:pPr>
      <w:bookmarkStart w:id="757" w:name="_Toc27004"/>
      <w:bookmarkStart w:id="758" w:name="_Toc19865"/>
      <w:bookmarkStart w:id="759" w:name="_Toc7744"/>
      <w:bookmarkStart w:id="760" w:name="_Toc1539"/>
      <w:bookmarkStart w:id="761" w:name="_Toc6246"/>
      <w:r>
        <w:rPr>
          <w:rStyle w:val="24"/>
          <w:rFonts w:hint="eastAsia"/>
          <w:lang w:val="en-US" w:eastAsia="zh-CN"/>
        </w:rPr>
        <w:t>1</w:t>
      </w:r>
      <w:r>
        <w:rPr>
          <w:rStyle w:val="24"/>
          <w:rFonts w:hint="eastAsia"/>
        </w:rPr>
        <w:t>.支持加强黑土地保护。</w:t>
      </w:r>
      <w:r>
        <w:rPr>
          <w:rFonts w:hint="eastAsia"/>
        </w:rPr>
        <w:t>统筹黑土地保护相关资金，大力支持深松整地、增施有机肥、保护性耕作技术推广和畜禽养殖废弃物回收利用为主的农牧结合循环模式等，不断探索实施农作物秸秆综合利用、农机深松整地等黑土地保护利用新技术、新模式，切实保护好“耕地中的大熊猫”。支持水土保持规划，对坡耕地、侵蚀沟、风蚀沙化土地等进行水土流失综合治理。支持健全完善黑土地监测评估体系，及时开展监测和评估，进一步提高黑土地保护的精准性。巩固农业“三项补贴”改革成果，探索推动补贴发放与耕地地力保护相挂钩。</w:t>
      </w:r>
    </w:p>
    <w:p>
      <w:pPr>
        <w:ind w:firstLine="643"/>
        <w:rPr>
          <w:rFonts w:ascii="宋体" w:hAnsi="宋体"/>
          <w:color w:val="auto"/>
          <w:highlight w:val="none"/>
        </w:rPr>
      </w:pPr>
      <w:r>
        <w:rPr>
          <w:rStyle w:val="24"/>
          <w:rFonts w:hint="eastAsia"/>
          <w:color w:val="auto"/>
          <w:highlight w:val="none"/>
          <w:lang w:val="en-US" w:eastAsia="zh-CN"/>
        </w:rPr>
        <w:t>2</w:t>
      </w:r>
      <w:r>
        <w:rPr>
          <w:rStyle w:val="24"/>
          <w:rFonts w:hint="eastAsia" w:ascii="宋体" w:hAnsi="宋体"/>
          <w:color w:val="auto"/>
          <w:highlight w:val="none"/>
        </w:rPr>
        <w:t>.支持高标准农田建设</w:t>
      </w:r>
      <w:bookmarkEnd w:id="757"/>
      <w:r>
        <w:rPr>
          <w:rStyle w:val="24"/>
          <w:rFonts w:hint="eastAsia" w:ascii="宋体" w:hAnsi="宋体"/>
          <w:color w:val="auto"/>
          <w:highlight w:val="none"/>
        </w:rPr>
        <w:t>。</w:t>
      </w:r>
      <w:bookmarkEnd w:id="758"/>
      <w:bookmarkEnd w:id="759"/>
      <w:bookmarkEnd w:id="760"/>
      <w:bookmarkEnd w:id="761"/>
      <w:r>
        <w:rPr>
          <w:rFonts w:hint="eastAsia" w:ascii="宋体" w:hAnsi="宋体"/>
          <w:color w:val="auto"/>
          <w:highlight w:val="none"/>
        </w:rPr>
        <w:t>因地制宜、分区施策，实施差异化补助，重点支持粮食生产功能区和重要农产品生产保护区建成集中连片的高产稳产、旱涝保收的高标准农田。配套完善农田灌排设施、机耕道路、输配电设施、培肥地力和改良土壤，增强耕地的稳产增产能力。支持加强小型农田水利建设，切实增加灌溉面积，提高防汛抗旱能力，夯实粮食生产基础。</w:t>
      </w:r>
    </w:p>
    <w:p>
      <w:pPr>
        <w:ind w:firstLine="643"/>
        <w:rPr>
          <w:rFonts w:ascii="宋体" w:hAnsi="宋体"/>
          <w:color w:val="auto"/>
          <w:highlight w:val="none"/>
        </w:rPr>
      </w:pPr>
      <w:bookmarkStart w:id="762" w:name="_Toc25817"/>
      <w:bookmarkStart w:id="763" w:name="_Toc17223"/>
      <w:bookmarkStart w:id="764" w:name="_Toc12130"/>
      <w:bookmarkStart w:id="765" w:name="_Toc15356"/>
      <w:bookmarkStart w:id="766" w:name="_Toc13931"/>
      <w:r>
        <w:rPr>
          <w:rStyle w:val="24"/>
          <w:rFonts w:hint="eastAsia"/>
          <w:color w:val="auto"/>
          <w:highlight w:val="none"/>
          <w:lang w:val="en-US" w:eastAsia="zh-CN"/>
        </w:rPr>
        <w:t>3</w:t>
      </w:r>
      <w:r>
        <w:rPr>
          <w:rStyle w:val="24"/>
          <w:rFonts w:hint="eastAsia" w:ascii="宋体" w:hAnsi="宋体"/>
          <w:color w:val="auto"/>
          <w:highlight w:val="none"/>
        </w:rPr>
        <w:t>.强化农业科技和装备支撑</w:t>
      </w:r>
      <w:bookmarkEnd w:id="762"/>
      <w:r>
        <w:rPr>
          <w:rStyle w:val="24"/>
          <w:rFonts w:hint="eastAsia" w:ascii="宋体" w:hAnsi="宋体"/>
          <w:color w:val="auto"/>
          <w:highlight w:val="none"/>
        </w:rPr>
        <w:t>。</w:t>
      </w:r>
      <w:bookmarkEnd w:id="763"/>
      <w:bookmarkEnd w:id="764"/>
      <w:bookmarkEnd w:id="765"/>
      <w:bookmarkEnd w:id="766"/>
      <w:r>
        <w:rPr>
          <w:rFonts w:hint="eastAsia" w:ascii="宋体" w:hAnsi="宋体"/>
          <w:color w:val="auto"/>
          <w:highlight w:val="none"/>
        </w:rPr>
        <w:t>支持农业技术推广和基层农技推广体系改革建设，不断促进农业科技进步；支持示范推广旱作农业节水等技术，提高水资源节约利用效率；</w:t>
      </w:r>
      <w:r>
        <w:rPr>
          <w:rFonts w:hint="eastAsia"/>
          <w:color w:val="auto"/>
          <w:highlight w:val="none"/>
          <w:lang w:eastAsia="zh-CN"/>
        </w:rPr>
        <w:t>深入</w:t>
      </w:r>
      <w:r>
        <w:rPr>
          <w:rFonts w:hint="eastAsia" w:ascii="宋体" w:hAnsi="宋体"/>
          <w:color w:val="auto"/>
          <w:highlight w:val="none"/>
        </w:rPr>
        <w:t>落实国家农机购置补贴政策，积极支持产粮大县农机装备主体建设，支持发展节能、环保、高效型农业机械，不断提高全程农业机械化水平。</w:t>
      </w:r>
    </w:p>
    <w:p>
      <w:pPr>
        <w:ind w:firstLine="643"/>
        <w:rPr>
          <w:rFonts w:ascii="宋体" w:hAnsi="宋体"/>
          <w:color w:val="auto"/>
          <w:highlight w:val="none"/>
        </w:rPr>
      </w:pPr>
      <w:bookmarkStart w:id="767" w:name="_Toc22992"/>
      <w:bookmarkStart w:id="768" w:name="_Toc24572"/>
      <w:bookmarkStart w:id="769" w:name="_Toc28357"/>
      <w:bookmarkStart w:id="770" w:name="_Toc19791"/>
      <w:r>
        <w:rPr>
          <w:rStyle w:val="24"/>
          <w:rFonts w:hint="eastAsia"/>
          <w:color w:val="auto"/>
          <w:highlight w:val="none"/>
          <w:lang w:val="en-US" w:eastAsia="zh-CN"/>
        </w:rPr>
        <w:t>4</w:t>
      </w:r>
      <w:r>
        <w:rPr>
          <w:rStyle w:val="24"/>
          <w:rFonts w:hint="eastAsia" w:ascii="宋体" w:hAnsi="宋体"/>
          <w:color w:val="auto"/>
          <w:highlight w:val="none"/>
        </w:rPr>
        <w:t>.支持农业高质量发展。</w:t>
      </w:r>
      <w:bookmarkEnd w:id="767"/>
      <w:bookmarkEnd w:id="768"/>
      <w:bookmarkEnd w:id="769"/>
      <w:bookmarkEnd w:id="770"/>
      <w:r>
        <w:rPr>
          <w:rFonts w:hint="eastAsia" w:ascii="宋体" w:hAnsi="宋体"/>
          <w:color w:val="auto"/>
          <w:highlight w:val="none"/>
        </w:rPr>
        <w:t>支持农作物、畜禽和渔业等现代种业创新发展，推动打好“种业翻身仗”。</w:t>
      </w:r>
      <w:r>
        <w:rPr>
          <w:rFonts w:hint="eastAsia"/>
          <w:color w:val="auto"/>
          <w:highlight w:val="none"/>
          <w:lang w:eastAsia="zh-CN"/>
        </w:rPr>
        <w:t>支持农业现代化示范区建设，发展</w:t>
      </w:r>
      <w:r>
        <w:rPr>
          <w:rFonts w:hint="eastAsia" w:ascii="宋体" w:hAnsi="宋体"/>
          <w:color w:val="auto"/>
          <w:highlight w:val="none"/>
        </w:rPr>
        <w:t>农业产业集群、现代农业产业园</w:t>
      </w:r>
      <w:r>
        <w:rPr>
          <w:rFonts w:hint="eastAsia"/>
          <w:color w:val="auto"/>
          <w:highlight w:val="none"/>
          <w:lang w:eastAsia="zh-CN"/>
        </w:rPr>
        <w:t>、农业</w:t>
      </w:r>
      <w:r>
        <w:rPr>
          <w:rFonts w:hint="eastAsia" w:ascii="宋体" w:hAnsi="宋体"/>
          <w:color w:val="auto"/>
          <w:highlight w:val="none"/>
        </w:rPr>
        <w:t>产业强镇</w:t>
      </w:r>
      <w:r>
        <w:rPr>
          <w:rFonts w:hint="eastAsia"/>
          <w:color w:val="auto"/>
          <w:highlight w:val="none"/>
          <w:lang w:eastAsia="zh-CN"/>
        </w:rPr>
        <w:t>和农产品加工示范园区</w:t>
      </w:r>
      <w:r>
        <w:rPr>
          <w:rFonts w:hint="eastAsia" w:ascii="宋体" w:hAnsi="宋体"/>
          <w:color w:val="auto"/>
          <w:highlight w:val="none"/>
        </w:rPr>
        <w:t>，支持玉米水稻、生猪、禽蛋、人参（中药材）、林特（食用菌、林蛙、矿泉水等）等十大优势产业加快发展，</w:t>
      </w:r>
      <w:r>
        <w:rPr>
          <w:rFonts w:hint="eastAsia"/>
          <w:color w:val="auto"/>
          <w:highlight w:val="none"/>
          <w:lang w:eastAsia="zh-CN"/>
        </w:rPr>
        <w:t>支持农产品精深化加工和安全绿色优质农产品发展、集群化发展，做大做强做优农产品加工业和食品产业，</w:t>
      </w:r>
      <w:r>
        <w:rPr>
          <w:rFonts w:hint="eastAsia" w:ascii="宋体" w:hAnsi="宋体"/>
          <w:color w:val="auto"/>
          <w:highlight w:val="none"/>
        </w:rPr>
        <w:t>不断提高农村一二三产业融合发展水平。瞄准安全、绿色和有机发展方向，提升</w:t>
      </w:r>
      <w:r>
        <w:rPr>
          <w:rFonts w:hint="eastAsia"/>
          <w:color w:val="auto"/>
          <w:highlight w:val="none"/>
          <w:lang w:eastAsia="zh-CN"/>
        </w:rPr>
        <w:t>“</w:t>
      </w:r>
      <w:r>
        <w:rPr>
          <w:rFonts w:hint="eastAsia" w:ascii="宋体" w:hAnsi="宋体"/>
          <w:color w:val="auto"/>
          <w:highlight w:val="none"/>
        </w:rPr>
        <w:t>冰箱餐桌</w:t>
      </w:r>
      <w:r>
        <w:rPr>
          <w:rFonts w:hint="eastAsia"/>
          <w:color w:val="auto"/>
          <w:highlight w:val="none"/>
          <w:lang w:eastAsia="zh-CN"/>
        </w:rPr>
        <w:t>”</w:t>
      </w:r>
      <w:r>
        <w:rPr>
          <w:rFonts w:hint="eastAsia" w:ascii="宋体" w:hAnsi="宋体"/>
          <w:color w:val="auto"/>
          <w:highlight w:val="none"/>
        </w:rPr>
        <w:t>吉林产品比重，做强禽畜养殖和肉蛋奶深加工业，做响长白山生态特色资源产业，做大吉林水产品加工产业，再造现代玉米深加工业新优势</w:t>
      </w:r>
      <w:r>
        <w:rPr>
          <w:rFonts w:hint="eastAsia"/>
          <w:color w:val="auto"/>
          <w:highlight w:val="none"/>
          <w:lang w:eastAsia="zh-CN"/>
        </w:rPr>
        <w:t>。</w:t>
      </w:r>
      <w:r>
        <w:rPr>
          <w:rFonts w:hint="eastAsia" w:ascii="宋体" w:hAnsi="宋体"/>
          <w:color w:val="auto"/>
          <w:highlight w:val="none"/>
        </w:rPr>
        <w:t>围绕“秸秆变肉”暨千万头肉牛建设工程，支持肉牛引种、养殖、屠宰、加工等全产业链建设。</w:t>
      </w:r>
      <w:r>
        <w:rPr>
          <w:rFonts w:hint="eastAsia"/>
          <w:color w:val="auto"/>
          <w:highlight w:val="none"/>
          <w:lang w:eastAsia="zh-CN"/>
        </w:rPr>
        <w:t>完善农产品监管监测，支持</w:t>
      </w:r>
      <w:r>
        <w:rPr>
          <w:rFonts w:hint="eastAsia" w:ascii="宋体" w:hAnsi="宋体"/>
          <w:color w:val="auto"/>
          <w:highlight w:val="none"/>
        </w:rPr>
        <w:t>绿色</w:t>
      </w:r>
      <w:r>
        <w:rPr>
          <w:rFonts w:hint="eastAsia"/>
          <w:color w:val="auto"/>
          <w:highlight w:val="none"/>
          <w:lang w:eastAsia="zh-CN"/>
        </w:rPr>
        <w:t>食品、有机农产品</w:t>
      </w:r>
      <w:r>
        <w:rPr>
          <w:rFonts w:hint="eastAsia" w:ascii="宋体" w:hAnsi="宋体"/>
          <w:color w:val="auto"/>
          <w:highlight w:val="none"/>
        </w:rPr>
        <w:t>、农产品</w:t>
      </w:r>
      <w:r>
        <w:rPr>
          <w:rFonts w:hint="eastAsia"/>
          <w:color w:val="auto"/>
          <w:highlight w:val="none"/>
          <w:lang w:eastAsia="zh-CN"/>
        </w:rPr>
        <w:t>地理标志和良好农业规范论证（登记），培育安全优质绿色农产品生产示范基地，培育打造一批国内外知名区域公用品牌和特色农产品品牌。</w:t>
      </w:r>
      <w:r>
        <w:rPr>
          <w:rFonts w:hint="eastAsia" w:ascii="宋体" w:hAnsi="宋体"/>
          <w:color w:val="auto"/>
          <w:highlight w:val="none"/>
        </w:rPr>
        <w:t>支持畜禽粪污资源化利用、草原禁牧、渔业增殖放流等，实现农业可持续发展。支持提高农业生产救灾、动物防疫等农业防灾减灾能力。</w:t>
      </w:r>
    </w:p>
    <w:p>
      <w:pPr>
        <w:pStyle w:val="5"/>
        <w:rPr>
          <w:rFonts w:ascii="宋体" w:hAnsi="宋体"/>
          <w:color w:val="auto"/>
          <w:highlight w:val="none"/>
        </w:rPr>
      </w:pPr>
      <w:bookmarkStart w:id="771" w:name="_Toc27603"/>
      <w:bookmarkStart w:id="772" w:name="_Toc24188"/>
      <w:bookmarkStart w:id="773" w:name="_Toc2944"/>
      <w:bookmarkStart w:id="774" w:name="_Toc13925"/>
      <w:bookmarkStart w:id="775" w:name="_Toc22110"/>
      <w:bookmarkStart w:id="776" w:name="_Toc17824"/>
      <w:r>
        <w:rPr>
          <w:rFonts w:hint="eastAsia" w:ascii="宋体" w:hAnsi="宋体"/>
          <w:color w:val="auto"/>
          <w:highlight w:val="none"/>
        </w:rPr>
        <w:t>（</w:t>
      </w:r>
      <w:r>
        <w:rPr>
          <w:rFonts w:hint="eastAsia" w:ascii="宋体" w:hAnsi="宋体"/>
          <w:color w:val="auto"/>
          <w:highlight w:val="none"/>
          <w:lang w:eastAsia="zh-CN"/>
        </w:rPr>
        <w:t>三</w:t>
      </w:r>
      <w:r>
        <w:rPr>
          <w:rFonts w:hint="eastAsia" w:ascii="宋体" w:hAnsi="宋体"/>
          <w:color w:val="auto"/>
          <w:highlight w:val="none"/>
        </w:rPr>
        <w:t>）支持实施乡村建设提升行动</w:t>
      </w:r>
      <w:bookmarkEnd w:id="771"/>
      <w:bookmarkEnd w:id="772"/>
      <w:bookmarkEnd w:id="773"/>
      <w:bookmarkEnd w:id="774"/>
      <w:bookmarkEnd w:id="775"/>
      <w:bookmarkEnd w:id="776"/>
    </w:p>
    <w:p>
      <w:pPr>
        <w:tabs>
          <w:tab w:val="left" w:pos="7040"/>
        </w:tabs>
        <w:ind w:firstLine="643"/>
        <w:rPr>
          <w:rFonts w:ascii="宋体" w:hAnsi="宋体"/>
          <w:color w:val="auto"/>
          <w:highlight w:val="none"/>
        </w:rPr>
      </w:pPr>
      <w:bookmarkStart w:id="777" w:name="_Toc14980"/>
      <w:bookmarkStart w:id="778" w:name="_Toc27459"/>
      <w:bookmarkStart w:id="779" w:name="_Toc32275"/>
      <w:bookmarkStart w:id="780" w:name="_Toc15482"/>
      <w:bookmarkStart w:id="781" w:name="_Toc28506"/>
      <w:r>
        <w:rPr>
          <w:rStyle w:val="24"/>
          <w:rFonts w:hint="eastAsia" w:ascii="宋体" w:hAnsi="宋体"/>
          <w:color w:val="auto"/>
          <w:highlight w:val="none"/>
        </w:rPr>
        <w:t>1.推动改善农村人居环境。</w:t>
      </w:r>
      <w:bookmarkEnd w:id="777"/>
      <w:bookmarkEnd w:id="778"/>
      <w:bookmarkEnd w:id="779"/>
      <w:bookmarkEnd w:id="780"/>
      <w:bookmarkEnd w:id="781"/>
      <w:r>
        <w:rPr>
          <w:rFonts w:hint="eastAsia" w:ascii="宋体" w:hAnsi="宋体"/>
          <w:color w:val="auto"/>
          <w:highlight w:val="none"/>
          <w:lang w:eastAsia="zh-CN"/>
        </w:rPr>
        <w:t>实施整村推进财政奖补政策，因地制宜推进农村改厕</w:t>
      </w:r>
      <w:r>
        <w:rPr>
          <w:rFonts w:hint="eastAsia" w:ascii="宋体" w:hAnsi="宋体"/>
          <w:color w:val="auto"/>
          <w:highlight w:val="none"/>
        </w:rPr>
        <w:t>。完善农村危房改造和地震高烈度设防地区农房抗震改造的经费保障体系，逐步建立农村低收入人口住房安全保障长效机制，保障低收入人口基本住房安全。推进农村人居环境运行管护机制建设，在项目布局、资金安排、功能衔接等方面加强统筹，切实发挥好政策合力，确保设施建成后长效运行。强化资金监管、积极配合相关部门合理确定整治任务，精准施策有序推进。</w:t>
      </w:r>
    </w:p>
    <w:p>
      <w:pPr>
        <w:ind w:firstLine="643"/>
        <w:rPr>
          <w:rFonts w:ascii="宋体" w:hAnsi="宋体"/>
          <w:color w:val="auto"/>
          <w:highlight w:val="none"/>
        </w:rPr>
      </w:pPr>
      <w:bookmarkStart w:id="782" w:name="_Toc1713"/>
      <w:bookmarkStart w:id="783" w:name="_Toc11075"/>
      <w:bookmarkStart w:id="784" w:name="_Toc15384"/>
      <w:bookmarkStart w:id="785" w:name="_Toc24762"/>
      <w:bookmarkStart w:id="786" w:name="_Toc9474"/>
      <w:r>
        <w:rPr>
          <w:rStyle w:val="24"/>
          <w:rFonts w:hint="eastAsia" w:ascii="宋体" w:hAnsi="宋体"/>
          <w:color w:val="auto"/>
          <w:highlight w:val="none"/>
        </w:rPr>
        <w:t>2.推动乡村人才振兴。</w:t>
      </w:r>
      <w:bookmarkEnd w:id="782"/>
      <w:bookmarkEnd w:id="783"/>
      <w:bookmarkEnd w:id="784"/>
      <w:bookmarkEnd w:id="785"/>
      <w:bookmarkEnd w:id="786"/>
      <w:r>
        <w:rPr>
          <w:rFonts w:hint="eastAsia" w:ascii="宋体" w:hAnsi="宋体"/>
          <w:color w:val="auto"/>
          <w:highlight w:val="none"/>
        </w:rPr>
        <w:t>充分发挥财政资金在乡村人才振兴中的基础和支撑作用，逐步完善财政资金投入机制，培育打造乡村技能人才。支持农民培训教育体系建设，依托和利用涉农职业院校、科研院所、推广机构以及农业新型经营主体，围绕现代农业发展和全产业链需求，广泛培养农村实用人才和高素质农民。支持开展农业专业技术培训，聚焦农民、家庭农场、农民合作社和农业社会化服务组织发展需求，支持开展不同类型的培训课程，培养具有较强示范带动作用的新型经营主体、服务主体和农业经理人。</w:t>
      </w:r>
    </w:p>
    <w:p>
      <w:pPr>
        <w:pStyle w:val="5"/>
        <w:rPr>
          <w:rFonts w:ascii="宋体" w:hAnsi="宋体"/>
          <w:color w:val="auto"/>
          <w:highlight w:val="none"/>
        </w:rPr>
      </w:pPr>
      <w:bookmarkStart w:id="787" w:name="_Toc10338"/>
      <w:bookmarkStart w:id="788" w:name="_Toc8591"/>
      <w:bookmarkStart w:id="789" w:name="_Toc30606"/>
      <w:bookmarkStart w:id="790" w:name="_Toc24540"/>
      <w:r>
        <w:rPr>
          <w:rFonts w:hint="eastAsia" w:ascii="宋体" w:hAnsi="宋体"/>
          <w:color w:val="auto"/>
          <w:highlight w:val="none"/>
        </w:rPr>
        <w:t>（</w:t>
      </w:r>
      <w:r>
        <w:rPr>
          <w:rFonts w:hint="eastAsia" w:ascii="宋体" w:hAnsi="宋体"/>
          <w:color w:val="auto"/>
          <w:highlight w:val="none"/>
          <w:lang w:eastAsia="zh-CN"/>
        </w:rPr>
        <w:t>四</w:t>
      </w:r>
      <w:r>
        <w:rPr>
          <w:rFonts w:hint="eastAsia" w:ascii="宋体" w:hAnsi="宋体"/>
          <w:color w:val="auto"/>
          <w:highlight w:val="none"/>
        </w:rPr>
        <w:t>）支持深化农村改革</w:t>
      </w:r>
      <w:bookmarkEnd w:id="787"/>
      <w:bookmarkEnd w:id="788"/>
      <w:bookmarkEnd w:id="789"/>
      <w:bookmarkEnd w:id="790"/>
    </w:p>
    <w:p>
      <w:pPr>
        <w:ind w:firstLine="643"/>
        <w:rPr>
          <w:rFonts w:ascii="宋体" w:hAnsi="宋体"/>
          <w:color w:val="auto"/>
          <w:highlight w:val="none"/>
        </w:rPr>
      </w:pPr>
      <w:bookmarkStart w:id="791" w:name="_Toc20666"/>
      <w:bookmarkStart w:id="792" w:name="_Toc27899"/>
      <w:bookmarkStart w:id="793" w:name="_Toc5572"/>
      <w:bookmarkStart w:id="794" w:name="_Toc26212"/>
      <w:bookmarkStart w:id="795" w:name="_Toc10209"/>
      <w:r>
        <w:rPr>
          <w:rStyle w:val="24"/>
          <w:rFonts w:hint="eastAsia" w:ascii="宋体" w:hAnsi="宋体"/>
          <w:color w:val="auto"/>
          <w:highlight w:val="none"/>
        </w:rPr>
        <w:t>1.支持新型农业经营主体。</w:t>
      </w:r>
      <w:bookmarkEnd w:id="791"/>
      <w:bookmarkEnd w:id="792"/>
      <w:bookmarkEnd w:id="793"/>
      <w:bookmarkEnd w:id="794"/>
      <w:bookmarkEnd w:id="795"/>
      <w:r>
        <w:rPr>
          <w:rFonts w:hint="eastAsia" w:ascii="宋体" w:hAnsi="宋体"/>
          <w:color w:val="auto"/>
          <w:highlight w:val="none"/>
        </w:rPr>
        <w:t>通过直接投资、贷款贴息、担保费补助、风险补偿等方式，支持</w:t>
      </w:r>
      <w:r>
        <w:rPr>
          <w:rFonts w:hint="eastAsia"/>
          <w:color w:val="auto"/>
          <w:highlight w:val="none"/>
          <w:lang w:eastAsia="zh-CN"/>
        </w:rPr>
        <w:t>龙头企业</w:t>
      </w:r>
      <w:r>
        <w:rPr>
          <w:rFonts w:hint="eastAsia" w:ascii="宋体" w:hAnsi="宋体"/>
          <w:color w:val="auto"/>
          <w:highlight w:val="none"/>
        </w:rPr>
        <w:t>、农民合作社、家庭农场等新型农业经营主体发展，</w:t>
      </w:r>
      <w:r>
        <w:rPr>
          <w:rFonts w:hint="eastAsia"/>
          <w:color w:val="auto"/>
          <w:highlight w:val="none"/>
          <w:lang w:eastAsia="zh-CN"/>
        </w:rPr>
        <w:t>推动以龙头企业为核心，与农民合作社、家庭农场分工协作，带动农户广泛参与的农业产业化联合体发展，</w:t>
      </w:r>
      <w:r>
        <w:rPr>
          <w:rFonts w:hint="eastAsia" w:ascii="宋体" w:hAnsi="宋体"/>
          <w:color w:val="auto"/>
          <w:highlight w:val="none"/>
        </w:rPr>
        <w:t>强化</w:t>
      </w:r>
      <w:r>
        <w:rPr>
          <w:rFonts w:hint="eastAsia" w:ascii="宋体" w:hAnsi="宋体"/>
          <w:color w:val="auto"/>
          <w:highlight w:val="none"/>
          <w:lang w:eastAsia="zh-CN"/>
        </w:rPr>
        <w:t>联</w:t>
      </w:r>
      <w:r>
        <w:rPr>
          <w:rFonts w:hint="eastAsia" w:ascii="宋体" w:hAnsi="宋体"/>
          <w:color w:val="auto"/>
          <w:highlight w:val="none"/>
        </w:rPr>
        <w:t>农带农机制。</w:t>
      </w:r>
    </w:p>
    <w:p>
      <w:pPr>
        <w:ind w:firstLine="643"/>
        <w:rPr>
          <w:rFonts w:ascii="宋体" w:hAnsi="宋体"/>
          <w:color w:val="auto"/>
          <w:highlight w:val="none"/>
        </w:rPr>
      </w:pPr>
      <w:bookmarkStart w:id="796" w:name="_Toc31799"/>
      <w:bookmarkStart w:id="797" w:name="_Toc5851"/>
      <w:bookmarkStart w:id="798" w:name="_Toc21141"/>
      <w:bookmarkStart w:id="799" w:name="_Toc8041"/>
      <w:bookmarkStart w:id="800" w:name="_Toc453"/>
      <w:r>
        <w:rPr>
          <w:rStyle w:val="24"/>
          <w:rFonts w:hint="eastAsia" w:ascii="宋体" w:hAnsi="宋体"/>
          <w:color w:val="auto"/>
          <w:highlight w:val="none"/>
        </w:rPr>
        <w:t>2.支持推进农村要素市场改革。</w:t>
      </w:r>
      <w:bookmarkEnd w:id="796"/>
      <w:bookmarkEnd w:id="797"/>
      <w:bookmarkEnd w:id="798"/>
      <w:bookmarkEnd w:id="799"/>
      <w:bookmarkEnd w:id="800"/>
      <w:r>
        <w:rPr>
          <w:rFonts w:hint="eastAsia" w:ascii="宋体" w:hAnsi="宋体"/>
          <w:color w:val="auto"/>
          <w:highlight w:val="none"/>
        </w:rPr>
        <w:t>支持深化农村土地制度改革，完善农村“三权分置”制度。鼓励农民通过代耕代种、联耕联种、土地托管、土地流转、土地入股、代地入社等多种形式，流转土地，实现农村土地集约化经营。</w:t>
      </w:r>
    </w:p>
    <w:p>
      <w:pPr>
        <w:ind w:firstLine="643"/>
        <w:rPr>
          <w:rFonts w:ascii="宋体" w:hAnsi="宋体"/>
          <w:color w:val="auto"/>
          <w:highlight w:val="none"/>
        </w:rPr>
      </w:pPr>
      <w:bookmarkStart w:id="801" w:name="_Toc30646"/>
      <w:bookmarkStart w:id="802" w:name="_Toc2480"/>
      <w:bookmarkStart w:id="803" w:name="_Toc149"/>
      <w:bookmarkStart w:id="804" w:name="_Toc10153"/>
      <w:bookmarkStart w:id="805" w:name="_Toc13908"/>
      <w:r>
        <w:rPr>
          <w:rStyle w:val="24"/>
          <w:rFonts w:hint="eastAsia" w:ascii="宋体" w:hAnsi="宋体"/>
          <w:color w:val="auto"/>
          <w:highlight w:val="none"/>
        </w:rPr>
        <w:t>3.推动健全农村金融服务体系。</w:t>
      </w:r>
      <w:bookmarkEnd w:id="801"/>
      <w:bookmarkEnd w:id="802"/>
      <w:bookmarkEnd w:id="803"/>
      <w:bookmarkEnd w:id="804"/>
      <w:bookmarkEnd w:id="805"/>
      <w:r>
        <w:rPr>
          <w:rFonts w:hint="eastAsia" w:ascii="宋体" w:hAnsi="宋体"/>
          <w:color w:val="auto"/>
          <w:highlight w:val="none"/>
        </w:rPr>
        <w:t>按照“扩面、增品、提标”的要求，完善农业保险体系</w:t>
      </w:r>
      <w:r>
        <w:rPr>
          <w:rFonts w:hint="eastAsia" w:ascii="宋体" w:hAnsi="宋体"/>
          <w:color w:val="auto"/>
          <w:highlight w:val="none"/>
          <w:lang w:eastAsia="zh-CN"/>
        </w:rPr>
        <w:t>，推动农业保险高质量发展</w:t>
      </w:r>
      <w:r>
        <w:rPr>
          <w:rFonts w:hint="eastAsia" w:ascii="宋体" w:hAnsi="宋体"/>
          <w:color w:val="auto"/>
          <w:highlight w:val="none"/>
        </w:rPr>
        <w:t>。不断拓宽参保范围，鼓励农险经办机构让利广大农户，提高农业保险保障程度。巩固种植业成本保险，积极</w:t>
      </w:r>
      <w:r>
        <w:rPr>
          <w:rFonts w:hint="eastAsia" w:ascii="宋体" w:hAnsi="宋体"/>
          <w:color w:val="auto"/>
          <w:highlight w:val="none"/>
          <w:lang w:eastAsia="zh-CN"/>
        </w:rPr>
        <w:t>开展</w:t>
      </w:r>
      <w:r>
        <w:rPr>
          <w:rFonts w:hint="eastAsia"/>
          <w:color w:val="auto"/>
          <w:highlight w:val="none"/>
          <w:lang w:eastAsia="zh-CN"/>
        </w:rPr>
        <w:t>玉米、水稻</w:t>
      </w:r>
      <w:r>
        <w:rPr>
          <w:rFonts w:hint="eastAsia" w:ascii="宋体" w:hAnsi="宋体"/>
          <w:color w:val="auto"/>
          <w:highlight w:val="none"/>
        </w:rPr>
        <w:t>完全成本保险和收入保险试点。探索搭建全省农业保险综合信息管理平台，提升农业保险工作管理水平。</w:t>
      </w:r>
      <w:r>
        <w:rPr>
          <w:rFonts w:hint="eastAsia"/>
          <w:color w:val="auto"/>
          <w:highlight w:val="none"/>
          <w:lang w:eastAsia="zh-CN"/>
        </w:rPr>
        <w:t>探索</w:t>
      </w:r>
      <w:r>
        <w:rPr>
          <w:rFonts w:hint="eastAsia" w:ascii="宋体" w:hAnsi="宋体"/>
          <w:color w:val="auto"/>
          <w:highlight w:val="none"/>
          <w:lang w:eastAsia="zh-CN"/>
        </w:rPr>
        <w:t>建立</w:t>
      </w:r>
      <w:r>
        <w:rPr>
          <w:rFonts w:hint="eastAsia" w:ascii="宋体" w:hAnsi="宋体"/>
          <w:color w:val="auto"/>
          <w:highlight w:val="none"/>
        </w:rPr>
        <w:t>基于地区风险的差异化定价</w:t>
      </w:r>
      <w:r>
        <w:rPr>
          <w:rFonts w:hint="eastAsia" w:ascii="宋体" w:hAnsi="宋体"/>
          <w:color w:val="auto"/>
          <w:highlight w:val="none"/>
          <w:lang w:eastAsia="zh-CN"/>
        </w:rPr>
        <w:t>机制</w:t>
      </w:r>
      <w:r>
        <w:rPr>
          <w:rFonts w:hint="eastAsia" w:ascii="宋体" w:hAnsi="宋体"/>
          <w:color w:val="auto"/>
          <w:highlight w:val="none"/>
        </w:rPr>
        <w:t>。加快农业担保体系建设，实现农业大县融资担保服务网点全覆盖，提升农村担保服务能力。</w:t>
      </w:r>
    </w:p>
    <w:p>
      <w:pPr>
        <w:ind w:firstLine="643"/>
        <w:rPr>
          <w:rFonts w:ascii="宋体" w:hAnsi="宋体"/>
          <w:color w:val="auto"/>
          <w:highlight w:val="none"/>
        </w:rPr>
      </w:pPr>
      <w:bookmarkStart w:id="806" w:name="_Toc11703"/>
      <w:bookmarkStart w:id="807" w:name="_Toc18726"/>
      <w:bookmarkStart w:id="808" w:name="_Toc9632"/>
      <w:bookmarkStart w:id="809" w:name="_Toc6518"/>
      <w:bookmarkStart w:id="810" w:name="_Toc25189"/>
      <w:r>
        <w:rPr>
          <w:rStyle w:val="24"/>
          <w:rFonts w:hint="eastAsia" w:ascii="宋体" w:hAnsi="宋体"/>
          <w:color w:val="auto"/>
          <w:highlight w:val="none"/>
        </w:rPr>
        <w:t>4.</w:t>
      </w:r>
      <w:r>
        <w:rPr>
          <w:rStyle w:val="24"/>
          <w:rFonts w:hint="eastAsia" w:ascii="宋体" w:hAnsi="宋体"/>
          <w:color w:val="auto"/>
          <w:highlight w:val="none"/>
          <w:lang w:eastAsia="zh-CN"/>
        </w:rPr>
        <w:t>支持改进乡村治理</w:t>
      </w:r>
      <w:r>
        <w:rPr>
          <w:rStyle w:val="24"/>
          <w:rFonts w:hint="eastAsia" w:ascii="宋体" w:hAnsi="宋体"/>
          <w:color w:val="auto"/>
          <w:highlight w:val="none"/>
        </w:rPr>
        <w:t>。</w:t>
      </w:r>
      <w:bookmarkEnd w:id="806"/>
      <w:bookmarkEnd w:id="807"/>
      <w:r>
        <w:rPr>
          <w:rStyle w:val="24"/>
          <w:rFonts w:hint="eastAsia" w:ascii="宋体" w:hAnsi="宋体"/>
          <w:b w:val="0"/>
          <w:bCs w:val="0"/>
          <w:color w:val="auto"/>
          <w:highlight w:val="none"/>
          <w:lang w:eastAsia="zh-CN"/>
        </w:rPr>
        <w:t>落实村级组织运转经费保障制度，支持农村基层党组织建设，夯实党在农村的执政根基。深入推进农村综合改革，扶持壮大村级集体经济，对农民通过民主程序议定的农村公益建设项目给予奖补，促进农村基本生产生活条件改善。</w:t>
      </w:r>
      <w:bookmarkEnd w:id="808"/>
      <w:bookmarkEnd w:id="809"/>
      <w:bookmarkEnd w:id="810"/>
      <w:r>
        <w:rPr>
          <w:rFonts w:hint="eastAsia" w:ascii="宋体" w:hAnsi="宋体"/>
          <w:color w:val="auto"/>
          <w:highlight w:val="none"/>
          <w:lang w:val="en-US" w:eastAsia="zh-CN"/>
        </w:rPr>
        <w:t>完善财政投入为主、社会资本参与、农民筹资筹劳的乡村建设投入机制，合理保障乡村公共基础设施建设和运行</w:t>
      </w:r>
      <w:r>
        <w:rPr>
          <w:rFonts w:hint="eastAsia" w:ascii="宋体" w:hAnsi="宋体"/>
          <w:color w:val="auto"/>
          <w:highlight w:val="none"/>
        </w:rPr>
        <w:t>。</w:t>
      </w:r>
    </w:p>
    <w:p>
      <w:pPr>
        <w:pStyle w:val="5"/>
        <w:rPr>
          <w:rFonts w:ascii="宋体" w:hAnsi="宋体"/>
          <w:color w:val="auto"/>
          <w:highlight w:val="none"/>
        </w:rPr>
      </w:pPr>
      <w:bookmarkStart w:id="811" w:name="_Toc4736"/>
      <w:bookmarkStart w:id="812" w:name="_Toc9076"/>
      <w:bookmarkStart w:id="813" w:name="_Toc30409"/>
      <w:bookmarkStart w:id="814" w:name="_Toc21564"/>
      <w:bookmarkStart w:id="815" w:name="_Toc3088"/>
      <w:bookmarkStart w:id="816" w:name="_Toc6488"/>
      <w:r>
        <w:rPr>
          <w:rFonts w:hint="eastAsia" w:ascii="宋体" w:hAnsi="宋体"/>
          <w:color w:val="auto"/>
          <w:highlight w:val="none"/>
        </w:rPr>
        <w:t>（</w:t>
      </w:r>
      <w:r>
        <w:rPr>
          <w:rFonts w:hint="eastAsia" w:ascii="宋体" w:hAnsi="宋体"/>
          <w:color w:val="auto"/>
          <w:highlight w:val="none"/>
          <w:lang w:eastAsia="zh-CN"/>
        </w:rPr>
        <w:t>五</w:t>
      </w:r>
      <w:r>
        <w:rPr>
          <w:rFonts w:hint="eastAsia" w:ascii="宋体" w:hAnsi="宋体"/>
          <w:color w:val="auto"/>
          <w:highlight w:val="none"/>
        </w:rPr>
        <w:t>）支持加快农村水利薄弱环节建设</w:t>
      </w:r>
      <w:bookmarkEnd w:id="811"/>
      <w:bookmarkEnd w:id="812"/>
      <w:bookmarkEnd w:id="813"/>
      <w:bookmarkEnd w:id="814"/>
      <w:bookmarkEnd w:id="815"/>
      <w:bookmarkEnd w:id="816"/>
    </w:p>
    <w:p>
      <w:pPr>
        <w:ind w:firstLine="643"/>
        <w:rPr>
          <w:rFonts w:ascii="宋体" w:hAnsi="宋体"/>
          <w:color w:val="auto"/>
          <w:highlight w:val="none"/>
        </w:rPr>
      </w:pPr>
      <w:bookmarkStart w:id="817" w:name="_Toc13675"/>
      <w:bookmarkStart w:id="818" w:name="_Toc30886"/>
      <w:bookmarkStart w:id="819" w:name="_Toc10393"/>
      <w:bookmarkStart w:id="820" w:name="_Toc19135"/>
      <w:bookmarkStart w:id="821" w:name="_Toc14456"/>
      <w:r>
        <w:rPr>
          <w:rStyle w:val="24"/>
          <w:rFonts w:hint="eastAsia" w:ascii="宋体" w:hAnsi="宋体"/>
          <w:color w:val="auto"/>
          <w:highlight w:val="none"/>
        </w:rPr>
        <w:t>1.支持加强防汛抗旱提升工程建设</w:t>
      </w:r>
      <w:bookmarkEnd w:id="817"/>
      <w:r>
        <w:rPr>
          <w:rStyle w:val="24"/>
          <w:rFonts w:hint="eastAsia" w:ascii="宋体" w:hAnsi="宋体"/>
          <w:color w:val="auto"/>
          <w:highlight w:val="none"/>
        </w:rPr>
        <w:t>。</w:t>
      </w:r>
      <w:bookmarkEnd w:id="818"/>
      <w:bookmarkEnd w:id="819"/>
      <w:bookmarkEnd w:id="820"/>
      <w:bookmarkEnd w:id="821"/>
      <w:r>
        <w:rPr>
          <w:rFonts w:hint="eastAsia" w:ascii="宋体" w:hAnsi="宋体"/>
          <w:color w:val="auto"/>
          <w:highlight w:val="none"/>
        </w:rPr>
        <w:t>支持加强中小河流</w:t>
      </w:r>
      <w:r>
        <w:rPr>
          <w:rFonts w:hint="eastAsia" w:ascii="宋体" w:hAnsi="宋体"/>
          <w:color w:val="auto"/>
          <w:highlight w:val="none"/>
          <w:lang w:eastAsia="zh-CN"/>
        </w:rPr>
        <w:t>治理、山洪灾害防治、</w:t>
      </w:r>
      <w:r>
        <w:rPr>
          <w:rFonts w:hint="eastAsia" w:ascii="宋体" w:hAnsi="宋体"/>
          <w:color w:val="auto"/>
          <w:highlight w:val="none"/>
        </w:rPr>
        <w:t>小型病险水库除险加固，消除安全隐患，提高防洪标准和防洪能力</w:t>
      </w:r>
      <w:r>
        <w:rPr>
          <w:rFonts w:hint="eastAsia" w:ascii="宋体" w:hAnsi="宋体"/>
          <w:color w:val="auto"/>
          <w:highlight w:val="none"/>
          <w:lang w:eastAsia="zh-CN"/>
        </w:rPr>
        <w:t>。</w:t>
      </w:r>
      <w:r>
        <w:rPr>
          <w:rFonts w:hint="eastAsia" w:ascii="宋体" w:hAnsi="宋体"/>
          <w:color w:val="auto"/>
          <w:highlight w:val="none"/>
        </w:rPr>
        <w:t>加大</w:t>
      </w:r>
      <w:r>
        <w:rPr>
          <w:rFonts w:hint="eastAsia" w:ascii="宋体" w:hAnsi="宋体"/>
          <w:color w:val="auto"/>
          <w:highlight w:val="none"/>
          <w:lang w:eastAsia="zh-CN"/>
        </w:rPr>
        <w:t>小型水库等水利工程</w:t>
      </w:r>
      <w:r>
        <w:rPr>
          <w:rFonts w:hint="eastAsia" w:ascii="宋体" w:hAnsi="宋体"/>
          <w:color w:val="auto"/>
          <w:highlight w:val="none"/>
        </w:rPr>
        <w:t>维修养护的投入力度，</w:t>
      </w:r>
      <w:r>
        <w:rPr>
          <w:rFonts w:hint="eastAsia" w:ascii="宋体" w:hAnsi="宋体"/>
          <w:color w:val="auto"/>
          <w:highlight w:val="none"/>
          <w:lang w:eastAsia="zh-CN"/>
        </w:rPr>
        <w:t>建立健全长效运行管护机制，提升水利工程蓄水抗旱能力</w:t>
      </w:r>
      <w:r>
        <w:rPr>
          <w:rFonts w:hint="eastAsia" w:ascii="宋体" w:hAnsi="宋体"/>
          <w:color w:val="auto"/>
          <w:highlight w:val="none"/>
        </w:rPr>
        <w:t>。</w:t>
      </w:r>
    </w:p>
    <w:p>
      <w:pPr>
        <w:ind w:firstLine="643"/>
        <w:rPr>
          <w:rFonts w:ascii="宋体" w:hAnsi="宋体"/>
          <w:color w:val="auto"/>
          <w:highlight w:val="none"/>
        </w:rPr>
      </w:pPr>
      <w:bookmarkStart w:id="822" w:name="_Toc20817"/>
      <w:bookmarkStart w:id="823" w:name="_Toc20589"/>
      <w:bookmarkStart w:id="824" w:name="_Toc7839"/>
      <w:bookmarkStart w:id="825" w:name="_Toc8865"/>
      <w:bookmarkStart w:id="826" w:name="_Toc16967"/>
      <w:r>
        <w:rPr>
          <w:rStyle w:val="24"/>
          <w:rFonts w:hint="eastAsia" w:ascii="宋体" w:hAnsi="宋体"/>
          <w:color w:val="auto"/>
          <w:highlight w:val="none"/>
        </w:rPr>
        <w:t>2.支持强化节水和水资源合理配置</w:t>
      </w:r>
      <w:bookmarkEnd w:id="822"/>
      <w:r>
        <w:rPr>
          <w:rStyle w:val="24"/>
          <w:rFonts w:hint="eastAsia" w:ascii="宋体" w:hAnsi="宋体"/>
          <w:color w:val="auto"/>
          <w:highlight w:val="none"/>
        </w:rPr>
        <w:t>。</w:t>
      </w:r>
      <w:bookmarkEnd w:id="823"/>
      <w:bookmarkEnd w:id="824"/>
      <w:bookmarkEnd w:id="825"/>
      <w:bookmarkEnd w:id="826"/>
      <w:r>
        <w:rPr>
          <w:rFonts w:hint="eastAsia" w:ascii="宋体" w:hAnsi="宋体"/>
          <w:color w:val="auto"/>
          <w:highlight w:val="none"/>
        </w:rPr>
        <w:t>支持</w:t>
      </w:r>
      <w:r>
        <w:rPr>
          <w:rFonts w:hint="eastAsia" w:ascii="宋体" w:hAnsi="宋体"/>
          <w:color w:val="auto"/>
          <w:highlight w:val="none"/>
          <w:lang w:eastAsia="zh-CN"/>
        </w:rPr>
        <w:t>建立</w:t>
      </w:r>
      <w:r>
        <w:rPr>
          <w:rFonts w:hint="eastAsia" w:ascii="宋体" w:hAnsi="宋体"/>
          <w:color w:val="auto"/>
          <w:highlight w:val="none"/>
        </w:rPr>
        <w:t>农村饮水安全工程</w:t>
      </w:r>
      <w:r>
        <w:rPr>
          <w:rFonts w:hint="eastAsia" w:ascii="宋体" w:hAnsi="宋体"/>
          <w:color w:val="auto"/>
          <w:highlight w:val="none"/>
          <w:lang w:eastAsia="zh-CN"/>
        </w:rPr>
        <w:t>长效</w:t>
      </w:r>
      <w:r>
        <w:rPr>
          <w:rFonts w:hint="eastAsia" w:ascii="宋体" w:hAnsi="宋体"/>
          <w:color w:val="auto"/>
          <w:highlight w:val="none"/>
        </w:rPr>
        <w:t>维修养护</w:t>
      </w:r>
      <w:r>
        <w:rPr>
          <w:rFonts w:hint="eastAsia" w:ascii="宋体" w:hAnsi="宋体"/>
          <w:color w:val="auto"/>
          <w:highlight w:val="none"/>
          <w:lang w:eastAsia="zh-CN"/>
        </w:rPr>
        <w:t>机制</w:t>
      </w:r>
      <w:r>
        <w:rPr>
          <w:rFonts w:hint="eastAsia" w:ascii="宋体" w:hAnsi="宋体"/>
          <w:color w:val="auto"/>
          <w:highlight w:val="none"/>
        </w:rPr>
        <w:t>，巩固提升农村饮水安全保障能力</w:t>
      </w:r>
      <w:r>
        <w:rPr>
          <w:rFonts w:hint="eastAsia" w:ascii="宋体" w:hAnsi="宋体"/>
          <w:color w:val="auto"/>
          <w:highlight w:val="none"/>
          <w:lang w:eastAsia="zh-CN"/>
        </w:rPr>
        <w:t>。支持</w:t>
      </w:r>
      <w:r>
        <w:rPr>
          <w:rFonts w:hint="eastAsia" w:ascii="宋体" w:hAnsi="宋体"/>
          <w:color w:val="auto"/>
          <w:highlight w:val="none"/>
        </w:rPr>
        <w:t>中型灌区续建配套和</w:t>
      </w:r>
      <w:r>
        <w:rPr>
          <w:rFonts w:hint="eastAsia" w:ascii="宋体" w:hAnsi="宋体"/>
          <w:color w:val="auto"/>
          <w:highlight w:val="none"/>
          <w:lang w:eastAsia="zh-CN"/>
        </w:rPr>
        <w:t>节水</w:t>
      </w:r>
      <w:r>
        <w:rPr>
          <w:rFonts w:hint="eastAsia" w:ascii="宋体" w:hAnsi="宋体"/>
          <w:color w:val="auto"/>
          <w:highlight w:val="none"/>
        </w:rPr>
        <w:t>现代化改造，健全骨干灌排工程体系，</w:t>
      </w:r>
      <w:r>
        <w:rPr>
          <w:rFonts w:hint="eastAsia" w:ascii="宋体" w:hAnsi="宋体"/>
          <w:color w:val="auto"/>
          <w:highlight w:val="none"/>
          <w:lang w:eastAsia="zh-CN"/>
        </w:rPr>
        <w:t>强化</w:t>
      </w:r>
      <w:r>
        <w:rPr>
          <w:rFonts w:hint="eastAsia" w:ascii="宋体" w:hAnsi="宋体"/>
          <w:color w:val="auto"/>
          <w:highlight w:val="none"/>
        </w:rPr>
        <w:t>灌区用水调度与监管，提高农田灌溉保障程度</w:t>
      </w:r>
      <w:r>
        <w:rPr>
          <w:rFonts w:hint="eastAsia" w:ascii="宋体" w:hAnsi="宋体"/>
          <w:color w:val="auto"/>
          <w:highlight w:val="none"/>
          <w:lang w:eastAsia="zh-CN"/>
        </w:rPr>
        <w:t>。</w:t>
      </w:r>
      <w:r>
        <w:rPr>
          <w:rFonts w:hint="eastAsia" w:ascii="宋体" w:hAnsi="宋体"/>
          <w:color w:val="auto"/>
          <w:highlight w:val="none"/>
        </w:rPr>
        <w:t>大力推进农业水价综合改革，促进农业节水，提高用水效率，优化</w:t>
      </w:r>
      <w:r>
        <w:rPr>
          <w:rFonts w:hint="eastAsia" w:ascii="宋体" w:hAnsi="宋体"/>
          <w:color w:val="auto"/>
          <w:highlight w:val="none"/>
          <w:lang w:eastAsia="zh-CN"/>
        </w:rPr>
        <w:t>水</w:t>
      </w:r>
      <w:r>
        <w:rPr>
          <w:rFonts w:hint="eastAsia" w:ascii="宋体" w:hAnsi="宋体"/>
          <w:color w:val="auto"/>
          <w:highlight w:val="none"/>
        </w:rPr>
        <w:t>资源配置。</w:t>
      </w:r>
    </w:p>
    <w:p>
      <w:pPr>
        <w:ind w:firstLine="643"/>
        <w:rPr>
          <w:rFonts w:ascii="宋体" w:hAnsi="宋体"/>
          <w:color w:val="auto"/>
          <w:highlight w:val="none"/>
        </w:rPr>
      </w:pPr>
      <w:bookmarkStart w:id="827" w:name="_Toc10995"/>
      <w:bookmarkStart w:id="828" w:name="_Toc6411"/>
      <w:bookmarkStart w:id="829" w:name="_Toc5622"/>
      <w:bookmarkStart w:id="830" w:name="_Toc26663"/>
      <w:bookmarkStart w:id="831" w:name="_Toc4910"/>
      <w:r>
        <w:rPr>
          <w:rStyle w:val="24"/>
          <w:rFonts w:hint="eastAsia" w:ascii="宋体" w:hAnsi="宋体"/>
          <w:color w:val="auto"/>
          <w:highlight w:val="none"/>
        </w:rPr>
        <w:t>3.支持水利防灾减灾体系建设</w:t>
      </w:r>
      <w:bookmarkEnd w:id="827"/>
      <w:r>
        <w:rPr>
          <w:rStyle w:val="24"/>
          <w:rFonts w:hint="eastAsia" w:ascii="宋体" w:hAnsi="宋体"/>
          <w:color w:val="auto"/>
          <w:highlight w:val="none"/>
        </w:rPr>
        <w:t>。</w:t>
      </w:r>
      <w:bookmarkEnd w:id="828"/>
      <w:bookmarkEnd w:id="829"/>
      <w:bookmarkEnd w:id="830"/>
      <w:bookmarkEnd w:id="831"/>
      <w:r>
        <w:rPr>
          <w:rFonts w:hint="eastAsia" w:ascii="宋体" w:hAnsi="宋体"/>
          <w:color w:val="auto"/>
          <w:highlight w:val="none"/>
        </w:rPr>
        <w:t>支持完善农村基层防汛预报预警体系建设，支持水旱灾害防御体系建设，</w:t>
      </w:r>
      <w:r>
        <w:rPr>
          <w:rFonts w:hint="eastAsia" w:ascii="宋体" w:hAnsi="宋体"/>
          <w:color w:val="auto"/>
          <w:highlight w:val="none"/>
          <w:lang w:eastAsia="zh-CN"/>
        </w:rPr>
        <w:t>提升</w:t>
      </w:r>
      <w:r>
        <w:rPr>
          <w:rFonts w:hint="eastAsia" w:ascii="宋体" w:hAnsi="宋体"/>
          <w:color w:val="auto"/>
          <w:highlight w:val="none"/>
        </w:rPr>
        <w:t>水旱灾害防御监管能力。支持加强水利信息化</w:t>
      </w:r>
      <w:r>
        <w:rPr>
          <w:rFonts w:hint="eastAsia" w:ascii="宋体" w:hAnsi="宋体"/>
          <w:color w:val="auto"/>
          <w:highlight w:val="none"/>
          <w:lang w:eastAsia="zh-CN"/>
        </w:rPr>
        <w:t>和</w:t>
      </w:r>
      <w:r>
        <w:rPr>
          <w:rFonts w:hint="eastAsia" w:ascii="宋体" w:hAnsi="宋体"/>
          <w:color w:val="auto"/>
          <w:highlight w:val="none"/>
        </w:rPr>
        <w:t>人工影响天气作业，提</w:t>
      </w:r>
      <w:r>
        <w:rPr>
          <w:rFonts w:hint="eastAsia" w:ascii="宋体" w:hAnsi="宋体"/>
          <w:color w:val="auto"/>
          <w:highlight w:val="none"/>
          <w:lang w:eastAsia="zh-CN"/>
        </w:rPr>
        <w:t>升水利</w:t>
      </w:r>
      <w:r>
        <w:rPr>
          <w:rFonts w:hint="eastAsia" w:ascii="宋体" w:hAnsi="宋体"/>
          <w:color w:val="auto"/>
          <w:highlight w:val="none"/>
        </w:rPr>
        <w:t>气象为农服务能力。</w:t>
      </w:r>
    </w:p>
    <w:p>
      <w:pPr>
        <w:pStyle w:val="5"/>
        <w:rPr>
          <w:rFonts w:ascii="宋体" w:hAnsi="宋体"/>
          <w:color w:val="auto"/>
          <w:highlight w:val="none"/>
        </w:rPr>
      </w:pPr>
      <w:bookmarkStart w:id="832" w:name="_Toc17563"/>
      <w:bookmarkStart w:id="833" w:name="_Toc28158"/>
      <w:bookmarkStart w:id="834" w:name="_Toc31687"/>
      <w:bookmarkStart w:id="835" w:name="_Toc14832"/>
      <w:bookmarkStart w:id="836" w:name="_Toc28290"/>
      <w:bookmarkStart w:id="837" w:name="_Toc1741"/>
      <w:r>
        <w:rPr>
          <w:rFonts w:hint="eastAsia" w:ascii="宋体" w:hAnsi="宋体"/>
          <w:color w:val="auto"/>
          <w:highlight w:val="none"/>
        </w:rPr>
        <w:t>（</w:t>
      </w:r>
      <w:r>
        <w:rPr>
          <w:rFonts w:hint="eastAsia" w:ascii="宋体" w:hAnsi="宋体"/>
          <w:color w:val="auto"/>
          <w:highlight w:val="none"/>
          <w:lang w:eastAsia="zh-CN"/>
        </w:rPr>
        <w:t>六</w:t>
      </w:r>
      <w:r>
        <w:rPr>
          <w:rFonts w:hint="eastAsia" w:ascii="宋体" w:hAnsi="宋体"/>
          <w:color w:val="auto"/>
          <w:highlight w:val="none"/>
        </w:rPr>
        <w:t>）推动实现巩固拓展脱贫攻坚成果同乡村振兴有效衔接</w:t>
      </w:r>
      <w:bookmarkEnd w:id="832"/>
      <w:bookmarkEnd w:id="833"/>
      <w:bookmarkEnd w:id="834"/>
      <w:bookmarkEnd w:id="835"/>
      <w:bookmarkEnd w:id="836"/>
      <w:bookmarkEnd w:id="837"/>
    </w:p>
    <w:p>
      <w:pPr>
        <w:ind w:firstLine="643"/>
        <w:rPr>
          <w:rFonts w:ascii="宋体" w:hAnsi="宋体"/>
          <w:color w:val="auto"/>
          <w:highlight w:val="none"/>
        </w:rPr>
      </w:pPr>
      <w:bookmarkStart w:id="838" w:name="_Toc27964"/>
      <w:bookmarkStart w:id="839" w:name="_Toc13636"/>
      <w:bookmarkStart w:id="840" w:name="_Toc31604"/>
      <w:bookmarkStart w:id="841" w:name="_Toc279"/>
      <w:bookmarkStart w:id="842" w:name="_Toc26086"/>
      <w:r>
        <w:rPr>
          <w:rStyle w:val="24"/>
          <w:rFonts w:hint="eastAsia" w:ascii="宋体" w:hAnsi="宋体"/>
          <w:color w:val="auto"/>
          <w:highlight w:val="none"/>
        </w:rPr>
        <w:t>1.保持财政支持政策总体稳定</w:t>
      </w:r>
      <w:bookmarkEnd w:id="838"/>
      <w:r>
        <w:rPr>
          <w:rStyle w:val="24"/>
          <w:rFonts w:hint="eastAsia" w:ascii="宋体" w:hAnsi="宋体"/>
          <w:color w:val="auto"/>
          <w:highlight w:val="none"/>
        </w:rPr>
        <w:t>。</w:t>
      </w:r>
      <w:bookmarkEnd w:id="839"/>
      <w:bookmarkEnd w:id="840"/>
      <w:bookmarkEnd w:id="841"/>
      <w:bookmarkEnd w:id="842"/>
      <w:r>
        <w:rPr>
          <w:rFonts w:hint="eastAsia" w:ascii="宋体" w:hAnsi="宋体"/>
          <w:color w:val="auto"/>
          <w:highlight w:val="none"/>
        </w:rPr>
        <w:t>过渡期内，把脱贫县市作为全面推进乡村振兴的支持重点，稳定脱贫攻坚期间给予强化财政保障能力的政策，并与全面推进乡村振兴加强衔接。在分配相关转移支付资金时，对脱贫县市予以适当倾斜。</w:t>
      </w:r>
    </w:p>
    <w:p>
      <w:pPr>
        <w:ind w:firstLine="643"/>
        <w:rPr>
          <w:rFonts w:ascii="宋体" w:hAnsi="宋体"/>
          <w:color w:val="auto"/>
          <w:highlight w:val="none"/>
        </w:rPr>
      </w:pPr>
      <w:bookmarkStart w:id="843" w:name="_Toc11732"/>
      <w:bookmarkStart w:id="844" w:name="_Toc3323"/>
      <w:bookmarkStart w:id="845" w:name="_Toc14535"/>
      <w:bookmarkStart w:id="846" w:name="_Toc10826"/>
      <w:bookmarkStart w:id="847" w:name="_Toc20032"/>
      <w:r>
        <w:rPr>
          <w:rStyle w:val="24"/>
          <w:rFonts w:hint="eastAsia" w:ascii="宋体" w:hAnsi="宋体"/>
          <w:color w:val="auto"/>
          <w:highlight w:val="none"/>
        </w:rPr>
        <w:t>2.调整优化财政衔接补助资金投向</w:t>
      </w:r>
      <w:bookmarkEnd w:id="843"/>
      <w:r>
        <w:rPr>
          <w:rStyle w:val="24"/>
          <w:rFonts w:hint="eastAsia" w:ascii="宋体" w:hAnsi="宋体"/>
          <w:color w:val="auto"/>
          <w:highlight w:val="none"/>
        </w:rPr>
        <w:t>。</w:t>
      </w:r>
      <w:bookmarkEnd w:id="844"/>
      <w:bookmarkEnd w:id="845"/>
      <w:bookmarkEnd w:id="846"/>
      <w:bookmarkEnd w:id="847"/>
      <w:r>
        <w:rPr>
          <w:rFonts w:hint="eastAsia" w:ascii="宋体" w:hAnsi="宋体"/>
          <w:color w:val="auto"/>
          <w:highlight w:val="none"/>
        </w:rPr>
        <w:t>将原财政专项扶贫资金调整优化为财政衔接推进乡村振兴补助资金，将产业发展作为补助资金支持的重中之重。培育和壮大欠发达地区特色优势产业并逐年提高资金占比，支持外出务工脱贫劳动力稳定就业，支持农村人居环境整治以及必要的产业配套基础设施和小型公益性生产生活设施等建设，支持做好“十四五”时期少数民族发展、以工代赈、欠发达国有农场、欠发达国有林场等工作。</w:t>
      </w:r>
    </w:p>
    <w:p>
      <w:pPr>
        <w:ind w:firstLine="643"/>
        <w:rPr>
          <w:rFonts w:ascii="宋体" w:hAnsi="宋体"/>
          <w:color w:val="auto"/>
          <w:highlight w:val="none"/>
        </w:rPr>
      </w:pPr>
      <w:bookmarkStart w:id="848" w:name="_Toc10948"/>
      <w:bookmarkStart w:id="849" w:name="_Toc32314"/>
      <w:bookmarkStart w:id="850" w:name="_Toc24630"/>
      <w:bookmarkStart w:id="851" w:name="_Toc12254"/>
      <w:bookmarkStart w:id="852" w:name="_Toc19402"/>
      <w:r>
        <w:rPr>
          <w:rStyle w:val="24"/>
          <w:rFonts w:hint="eastAsia" w:ascii="宋体" w:hAnsi="宋体"/>
          <w:color w:val="auto"/>
          <w:highlight w:val="none"/>
        </w:rPr>
        <w:t>3.继续支持脱贫县市统筹整合涉农资金</w:t>
      </w:r>
      <w:bookmarkEnd w:id="848"/>
      <w:r>
        <w:rPr>
          <w:rStyle w:val="24"/>
          <w:rFonts w:hint="eastAsia" w:ascii="宋体" w:hAnsi="宋体"/>
          <w:color w:val="auto"/>
          <w:highlight w:val="none"/>
        </w:rPr>
        <w:t>。</w:t>
      </w:r>
      <w:bookmarkEnd w:id="849"/>
      <w:bookmarkEnd w:id="850"/>
      <w:bookmarkEnd w:id="851"/>
      <w:bookmarkEnd w:id="852"/>
      <w:r>
        <w:rPr>
          <w:rFonts w:hint="eastAsia" w:ascii="宋体" w:hAnsi="宋体"/>
          <w:color w:val="auto"/>
          <w:highlight w:val="none"/>
        </w:rPr>
        <w:t>落实脱贫县市资金倾斜保障政策，过渡期前3年继续实行涉农资金统筹整合试点政策，支持脱贫县市采用“多个渠道引水、一个龙头放水”的新模式，根据本地需要，统筹整合各项纳入范围的财政涉农资金，在大类间打通，跨类别使用，统筹支持巩固拓展脱贫攻坚成果，并与乡村振兴进行有效衔接。</w:t>
      </w:r>
    </w:p>
    <w:p>
      <w:pPr>
        <w:ind w:firstLine="643"/>
        <w:rPr>
          <w:rFonts w:ascii="宋体" w:hAnsi="宋体"/>
          <w:color w:val="auto"/>
          <w:highlight w:val="none"/>
        </w:rPr>
      </w:pPr>
      <w:bookmarkStart w:id="853" w:name="_Toc19132"/>
      <w:bookmarkStart w:id="854" w:name="_Toc5054"/>
      <w:bookmarkStart w:id="855" w:name="_Toc32767"/>
      <w:bookmarkStart w:id="856" w:name="_Toc25340"/>
      <w:bookmarkStart w:id="857" w:name="_Toc25984"/>
      <w:r>
        <w:rPr>
          <w:rStyle w:val="24"/>
          <w:rFonts w:hint="eastAsia" w:ascii="宋体" w:hAnsi="宋体"/>
          <w:color w:val="auto"/>
          <w:highlight w:val="none"/>
        </w:rPr>
        <w:t>4.全面落实各项财政支持衔接政策</w:t>
      </w:r>
      <w:bookmarkEnd w:id="853"/>
      <w:r>
        <w:rPr>
          <w:rStyle w:val="24"/>
          <w:rFonts w:hint="eastAsia" w:ascii="宋体" w:hAnsi="宋体"/>
          <w:color w:val="auto"/>
          <w:highlight w:val="none"/>
        </w:rPr>
        <w:t>。</w:t>
      </w:r>
      <w:bookmarkEnd w:id="854"/>
      <w:bookmarkEnd w:id="855"/>
      <w:bookmarkEnd w:id="856"/>
      <w:bookmarkEnd w:id="857"/>
      <w:r>
        <w:rPr>
          <w:rFonts w:hint="eastAsia" w:ascii="宋体" w:hAnsi="宋体"/>
          <w:color w:val="auto"/>
          <w:highlight w:val="none"/>
        </w:rPr>
        <w:t>用好城乡建设用地增减挂钩结余指标调剂资金，重点用于支持巩固脱贫攻坚成果、衔接全面推进乡村振兴等方面</w:t>
      </w:r>
      <w:r>
        <w:rPr>
          <w:rFonts w:hint="eastAsia" w:ascii="宋体" w:hAnsi="宋体"/>
          <w:color w:val="auto"/>
          <w:highlight w:val="none"/>
          <w:lang w:eastAsia="zh-CN"/>
        </w:rPr>
        <w:t>。</w:t>
      </w:r>
      <w:r>
        <w:rPr>
          <w:rFonts w:hint="eastAsia" w:ascii="宋体" w:hAnsi="宋体"/>
          <w:color w:val="auto"/>
          <w:highlight w:val="none"/>
        </w:rPr>
        <w:t>运用政府采购政策支持脱贫地区产业发展</w:t>
      </w:r>
      <w:r>
        <w:rPr>
          <w:rFonts w:hint="eastAsia" w:ascii="宋体" w:hAnsi="宋体"/>
          <w:color w:val="auto"/>
          <w:highlight w:val="none"/>
          <w:lang w:eastAsia="zh-CN"/>
        </w:rPr>
        <w:t>，</w:t>
      </w:r>
      <w:r>
        <w:rPr>
          <w:rFonts w:hint="eastAsia" w:ascii="宋体" w:hAnsi="宋体"/>
          <w:color w:val="auto"/>
          <w:highlight w:val="none"/>
        </w:rPr>
        <w:t>发挥财政投入对金融资本帮扶脱贫人口的引导作用</w:t>
      </w:r>
      <w:r>
        <w:rPr>
          <w:rFonts w:hint="eastAsia" w:ascii="宋体" w:hAnsi="宋体"/>
          <w:color w:val="auto"/>
          <w:highlight w:val="none"/>
          <w:lang w:val="en-US" w:eastAsia="zh-CN"/>
        </w:rPr>
        <w:t>，</w:t>
      </w:r>
      <w:r>
        <w:rPr>
          <w:rFonts w:hint="eastAsia" w:ascii="宋体" w:hAnsi="宋体"/>
          <w:color w:val="auto"/>
          <w:highlight w:val="none"/>
        </w:rPr>
        <w:t>加大对脱贫县、民族特色县的农业保险扶持力度</w:t>
      </w:r>
      <w:r>
        <w:rPr>
          <w:rFonts w:hint="eastAsia" w:ascii="宋体" w:hAnsi="宋体"/>
          <w:color w:val="auto"/>
          <w:highlight w:val="none"/>
          <w:lang w:eastAsia="zh-CN"/>
        </w:rPr>
        <w:t>。</w:t>
      </w:r>
      <w:r>
        <w:rPr>
          <w:rFonts w:hint="eastAsia" w:ascii="宋体" w:hAnsi="宋体"/>
          <w:color w:val="auto"/>
          <w:highlight w:val="none"/>
        </w:rPr>
        <w:t>落实易地扶贫搬迁等各项脱贫攻坚相关税费优惠政策，持续发挥税收调节功能，切实减轻企业税费负担。</w:t>
      </w:r>
    </w:p>
    <w:p>
      <w:pPr>
        <w:ind w:firstLine="643"/>
        <w:rPr>
          <w:rFonts w:ascii="宋体" w:hAnsi="宋体"/>
          <w:color w:val="auto"/>
          <w:highlight w:val="none"/>
        </w:rPr>
      </w:pPr>
      <w:bookmarkStart w:id="858" w:name="_Toc5270"/>
      <w:bookmarkStart w:id="859" w:name="_Toc11032"/>
      <w:bookmarkStart w:id="860" w:name="_Toc28237"/>
      <w:r>
        <w:rPr>
          <w:rStyle w:val="24"/>
          <w:rFonts w:hint="eastAsia" w:ascii="宋体" w:hAnsi="宋体"/>
          <w:color w:val="auto"/>
          <w:highlight w:val="none"/>
        </w:rPr>
        <w:t>5.推动健全农村社会保障和救助制度。</w:t>
      </w:r>
      <w:bookmarkEnd w:id="858"/>
      <w:bookmarkEnd w:id="859"/>
      <w:bookmarkEnd w:id="860"/>
      <w:r>
        <w:rPr>
          <w:rFonts w:hint="eastAsia" w:ascii="宋体" w:hAnsi="宋体"/>
          <w:color w:val="auto"/>
          <w:highlight w:val="none"/>
        </w:rPr>
        <w:t>调整优化过渡期财政社保支持政策，以现有社会保障体系为基础，对农村低收入人口实施分层分类帮扶</w:t>
      </w:r>
      <w:r>
        <w:rPr>
          <w:rFonts w:hint="eastAsia" w:ascii="宋体" w:hAnsi="宋体"/>
          <w:color w:val="auto"/>
          <w:highlight w:val="none"/>
          <w:lang w:eastAsia="zh-CN"/>
        </w:rPr>
        <w:t>。</w:t>
      </w:r>
      <w:r>
        <w:rPr>
          <w:rFonts w:hint="eastAsia" w:ascii="宋体" w:hAnsi="宋体"/>
          <w:color w:val="auto"/>
          <w:highlight w:val="none"/>
        </w:rPr>
        <w:t>巩固城乡居民</w:t>
      </w:r>
      <w:r>
        <w:rPr>
          <w:rFonts w:hint="eastAsia" w:ascii="宋体" w:hAnsi="宋体"/>
          <w:color w:val="auto"/>
          <w:highlight w:val="none"/>
          <w:lang w:eastAsia="zh-CN"/>
        </w:rPr>
        <w:t>基本</w:t>
      </w:r>
      <w:r>
        <w:rPr>
          <w:rFonts w:hint="eastAsia" w:ascii="宋体" w:hAnsi="宋体"/>
          <w:color w:val="auto"/>
          <w:highlight w:val="none"/>
        </w:rPr>
        <w:t>养老保险</w:t>
      </w:r>
      <w:r>
        <w:rPr>
          <w:rFonts w:hint="eastAsia" w:ascii="宋体" w:hAnsi="宋体"/>
          <w:color w:val="auto"/>
          <w:highlight w:val="none"/>
          <w:lang w:eastAsia="zh-CN"/>
        </w:rPr>
        <w:t>和基本医疗保险</w:t>
      </w:r>
      <w:r>
        <w:rPr>
          <w:rFonts w:hint="eastAsia" w:ascii="宋体" w:hAnsi="宋体"/>
          <w:color w:val="auto"/>
          <w:highlight w:val="none"/>
        </w:rPr>
        <w:t>覆盖面，持续为参加城乡居民养老保险的困难群体按照最低缴费档次代缴部分或全部保费</w:t>
      </w:r>
      <w:r>
        <w:rPr>
          <w:rFonts w:hint="eastAsia" w:ascii="宋体" w:hAnsi="宋体"/>
          <w:color w:val="auto"/>
          <w:highlight w:val="none"/>
          <w:lang w:eastAsia="zh-CN"/>
        </w:rPr>
        <w:t>，</w:t>
      </w:r>
      <w:r>
        <w:rPr>
          <w:rFonts w:hint="eastAsia" w:ascii="宋体" w:hAnsi="宋体"/>
          <w:color w:val="auto"/>
          <w:highlight w:val="none"/>
        </w:rPr>
        <w:t>对符合条件的困难群体参加基本医疗保险给予部分或全部参保资助</w:t>
      </w:r>
      <w:r>
        <w:rPr>
          <w:rFonts w:hint="eastAsia" w:ascii="宋体" w:hAnsi="宋体"/>
          <w:color w:val="auto"/>
          <w:highlight w:val="none"/>
          <w:lang w:eastAsia="zh-CN"/>
        </w:rPr>
        <w:t>。</w:t>
      </w:r>
      <w:r>
        <w:rPr>
          <w:rFonts w:hint="eastAsia" w:ascii="宋体" w:hAnsi="宋体"/>
          <w:color w:val="auto"/>
          <w:highlight w:val="none"/>
        </w:rPr>
        <w:t>支持建立健全常态化控辍保学工作机制，确保具有学习能力的贫困家庭适龄儿童少年全部接受义务教育。</w:t>
      </w:r>
    </w:p>
    <w:p>
      <w:pPr>
        <w:pStyle w:val="4"/>
        <w:ind w:firstLine="640" w:firstLineChars="200"/>
        <w:rPr>
          <w:rFonts w:ascii="宋体" w:hAnsi="宋体"/>
          <w:color w:val="auto"/>
          <w:highlight w:val="none"/>
        </w:rPr>
      </w:pPr>
      <w:bookmarkStart w:id="861" w:name="_Toc22134"/>
      <w:bookmarkStart w:id="862" w:name="_Toc12770"/>
      <w:bookmarkStart w:id="863" w:name="_Toc25684"/>
      <w:bookmarkStart w:id="864" w:name="_Toc18835"/>
      <w:bookmarkStart w:id="865" w:name="_Toc27481"/>
      <w:bookmarkStart w:id="866" w:name="_Toc8348"/>
      <w:r>
        <w:rPr>
          <w:rFonts w:hint="eastAsia" w:ascii="宋体" w:hAnsi="宋体"/>
          <w:color w:val="auto"/>
          <w:highlight w:val="none"/>
        </w:rPr>
        <w:t>十四、支持推进区域协调发展和新型城镇化</w:t>
      </w:r>
      <w:bookmarkEnd w:id="861"/>
      <w:bookmarkEnd w:id="862"/>
      <w:bookmarkEnd w:id="863"/>
      <w:bookmarkEnd w:id="864"/>
      <w:bookmarkEnd w:id="865"/>
      <w:bookmarkEnd w:id="866"/>
    </w:p>
    <w:p>
      <w:pPr>
        <w:rPr>
          <w:rFonts w:ascii="宋体" w:hAnsi="宋体"/>
          <w:color w:val="auto"/>
          <w:highlight w:val="none"/>
        </w:rPr>
      </w:pPr>
      <w:bookmarkStart w:id="867" w:name="_Toc13416"/>
      <w:r>
        <w:rPr>
          <w:rFonts w:hint="eastAsia" w:ascii="宋体" w:hAnsi="宋体"/>
          <w:color w:val="auto"/>
          <w:highlight w:val="none"/>
        </w:rPr>
        <w:t>推动中东西“三大板块”差异化定位、一体化发展。促进各类要素合理流动和高效集聚，支持推动区域协调发展和新型城镇化建设。按照国家和省战略发展导向，顺应区域发展深刻变化，健全完善相关支持机制和区域政策体系。</w:t>
      </w:r>
    </w:p>
    <w:p>
      <w:pPr>
        <w:pStyle w:val="5"/>
        <w:rPr>
          <w:rFonts w:ascii="宋体" w:hAnsi="宋体"/>
          <w:color w:val="auto"/>
          <w:highlight w:val="none"/>
        </w:rPr>
      </w:pPr>
      <w:bookmarkStart w:id="868" w:name="_Toc4980"/>
      <w:bookmarkStart w:id="869" w:name="_Toc5117"/>
      <w:bookmarkStart w:id="870" w:name="_Toc29056"/>
      <w:bookmarkStart w:id="871" w:name="_Toc18827"/>
      <w:bookmarkStart w:id="872" w:name="_Toc23765"/>
      <w:r>
        <w:rPr>
          <w:rFonts w:hint="eastAsia" w:ascii="宋体" w:hAnsi="宋体"/>
          <w:color w:val="auto"/>
          <w:highlight w:val="none"/>
        </w:rPr>
        <w:t>（一）继续支持完善区域协调发展</w:t>
      </w:r>
      <w:bookmarkEnd w:id="867"/>
      <w:bookmarkEnd w:id="868"/>
      <w:bookmarkEnd w:id="869"/>
      <w:bookmarkEnd w:id="870"/>
      <w:bookmarkEnd w:id="871"/>
      <w:bookmarkEnd w:id="872"/>
    </w:p>
    <w:p>
      <w:pPr>
        <w:rPr>
          <w:rFonts w:hint="eastAsia" w:ascii="宋体" w:hAnsi="宋体"/>
          <w:color w:val="auto"/>
          <w:highlight w:val="none"/>
        </w:rPr>
      </w:pPr>
      <w:bookmarkStart w:id="873" w:name="_Toc4631"/>
      <w:bookmarkStart w:id="874" w:name="_Toc7137"/>
      <w:bookmarkStart w:id="875" w:name="_Toc14966"/>
      <w:r>
        <w:rPr>
          <w:rStyle w:val="24"/>
          <w:rFonts w:hint="eastAsia" w:ascii="宋体" w:hAnsi="宋体"/>
        </w:rPr>
        <w:t>1.推进中东西“三大板块”建设。</w:t>
      </w:r>
      <w:bookmarkEnd w:id="873"/>
      <w:bookmarkEnd w:id="874"/>
      <w:bookmarkEnd w:id="875"/>
      <w:r>
        <w:rPr>
          <w:rFonts w:hint="eastAsia" w:ascii="宋体" w:hAnsi="宋体"/>
          <w:color w:val="auto"/>
          <w:highlight w:val="none"/>
        </w:rPr>
        <w:t>加快推动中部创新转型发展，支持开展创新平台、“双创”服务、人才引培等技术创新行动，推动智能制造、数字经济、人工智能、航空航天、光电信息、生物医药等高新技术产业和创新创业资源要素布局集聚。支持推进东部绿色转型发展，巩固提升长白山森林生态系统功能，保障国家生态安全。大力发展生态经济、绿色产业，壮大医药健康、新材料、生态旅游、生态食品等特色资源产业。支持推进西部打造生态经济体系，实施河湖连通、防沙治碱、草原保护、湿地修复等重大工程，构筑西部生态屏障。</w:t>
      </w:r>
    </w:p>
    <w:p>
      <w:pPr>
        <w:rPr>
          <w:rFonts w:hint="eastAsia" w:ascii="宋体" w:hAnsi="宋体"/>
          <w:color w:val="auto"/>
          <w:highlight w:val="none"/>
        </w:rPr>
      </w:pPr>
      <w:bookmarkStart w:id="876" w:name="_Toc21239"/>
      <w:bookmarkStart w:id="877" w:name="_Toc7440"/>
      <w:bookmarkStart w:id="878" w:name="_Toc22347"/>
      <w:r>
        <w:rPr>
          <w:rStyle w:val="24"/>
          <w:rFonts w:hint="eastAsia" w:ascii="宋体" w:hAnsi="宋体"/>
        </w:rPr>
        <w:t>2.支持重要节点城市发展壮大。</w:t>
      </w:r>
      <w:bookmarkEnd w:id="876"/>
      <w:bookmarkEnd w:id="877"/>
      <w:bookmarkEnd w:id="878"/>
      <w:r>
        <w:rPr>
          <w:rFonts w:hint="eastAsia" w:ascii="宋体" w:hAnsi="宋体"/>
          <w:color w:val="auto"/>
          <w:highlight w:val="none"/>
        </w:rPr>
        <w:t>支持推进“一主、六双”</w:t>
      </w:r>
      <w:r>
        <w:rPr>
          <w:rFonts w:hint="eastAsia"/>
          <w:color w:val="auto"/>
          <w:highlight w:val="none"/>
          <w:lang w:eastAsia="zh-CN"/>
        </w:rPr>
        <w:t>高质量发展战略</w:t>
      </w:r>
      <w:r>
        <w:rPr>
          <w:rFonts w:hint="eastAsia" w:ascii="宋体" w:hAnsi="宋体"/>
          <w:color w:val="auto"/>
          <w:highlight w:val="none"/>
        </w:rPr>
        <w:t>，协同推进交通、能源、水利、信息等跨区域重大基础设施建设。合理运用财政体制政策支持长春市、梅河口市等重点城市做大收入体量。发挥中心城市省级以上开发区奖补资金激励作用，强化中心城市区位优势带动作用。支持</w:t>
      </w:r>
      <w:r>
        <w:rPr>
          <w:rFonts w:hint="eastAsia"/>
          <w:color w:val="auto"/>
          <w:highlight w:val="none"/>
          <w:lang w:eastAsia="zh-CN"/>
        </w:rPr>
        <w:t>长春新区、梅河新区、</w:t>
      </w:r>
      <w:r>
        <w:rPr>
          <w:rFonts w:hint="eastAsia" w:ascii="宋体" w:hAnsi="宋体"/>
          <w:color w:val="auto"/>
          <w:highlight w:val="none"/>
        </w:rPr>
        <w:t>长春国家区域创新中心、长春国际汽车城、中韩（长春）国家合作示范区</w:t>
      </w:r>
      <w:r>
        <w:rPr>
          <w:rFonts w:hint="eastAsia"/>
          <w:color w:val="auto"/>
          <w:highlight w:val="none"/>
          <w:lang w:eastAsia="zh-CN"/>
        </w:rPr>
        <w:t>、珲春海洋经济发展示范区、长春临空经济示范区</w:t>
      </w:r>
      <w:r>
        <w:rPr>
          <w:rFonts w:hint="eastAsia" w:ascii="宋体" w:hAnsi="宋体"/>
          <w:color w:val="auto"/>
          <w:highlight w:val="none"/>
        </w:rPr>
        <w:t>等加快建设发展。支持梅河口市打造高质量发展先行示范区</w:t>
      </w:r>
      <w:r>
        <w:rPr>
          <w:rFonts w:hint="eastAsia"/>
          <w:color w:val="auto"/>
          <w:highlight w:val="none"/>
          <w:lang w:eastAsia="zh-CN"/>
        </w:rPr>
        <w:t>、</w:t>
      </w:r>
      <w:r>
        <w:rPr>
          <w:rFonts w:hint="eastAsia" w:ascii="宋体" w:hAnsi="宋体"/>
          <w:color w:val="auto"/>
          <w:highlight w:val="none"/>
        </w:rPr>
        <w:t>支持敦化市建设绿色转型创新发展示范区</w:t>
      </w:r>
      <w:r>
        <w:rPr>
          <w:rFonts w:hint="eastAsia"/>
          <w:color w:val="auto"/>
          <w:highlight w:val="none"/>
          <w:lang w:eastAsia="zh-CN"/>
        </w:rPr>
        <w:t>、</w:t>
      </w:r>
      <w:r>
        <w:rPr>
          <w:rFonts w:hint="eastAsia" w:ascii="宋体" w:hAnsi="宋体"/>
          <w:color w:val="auto"/>
          <w:highlight w:val="none"/>
        </w:rPr>
        <w:t>支持大安市建设生态经济创新发展示范区</w:t>
      </w:r>
      <w:r>
        <w:rPr>
          <w:rFonts w:hint="eastAsia"/>
          <w:color w:val="auto"/>
          <w:highlight w:val="none"/>
          <w:lang w:eastAsia="zh-CN"/>
        </w:rPr>
        <w:t>、支持前郭县建设生态优先绿色发展示范区</w:t>
      </w:r>
      <w:r>
        <w:rPr>
          <w:rFonts w:hint="eastAsia" w:ascii="宋体" w:hAnsi="宋体"/>
          <w:color w:val="auto"/>
          <w:highlight w:val="none"/>
        </w:rPr>
        <w:t>。</w:t>
      </w:r>
    </w:p>
    <w:p>
      <w:pPr>
        <w:rPr>
          <w:rFonts w:hint="eastAsia" w:ascii="宋体" w:hAnsi="宋体"/>
          <w:color w:val="auto"/>
          <w:highlight w:val="none"/>
        </w:rPr>
      </w:pPr>
      <w:bookmarkStart w:id="879" w:name="_Toc25150"/>
      <w:bookmarkStart w:id="880" w:name="_Toc30589"/>
      <w:bookmarkStart w:id="881" w:name="_Toc32192"/>
      <w:r>
        <w:rPr>
          <w:rStyle w:val="24"/>
          <w:rFonts w:hint="eastAsia" w:ascii="宋体" w:hAnsi="宋体"/>
        </w:rPr>
        <w:t>3.加大财政困难地区财力支持。</w:t>
      </w:r>
      <w:bookmarkEnd w:id="879"/>
      <w:bookmarkEnd w:id="880"/>
      <w:bookmarkEnd w:id="881"/>
      <w:r>
        <w:rPr>
          <w:rFonts w:hint="eastAsia" w:ascii="宋体" w:hAnsi="宋体"/>
          <w:color w:val="auto"/>
          <w:highlight w:val="none"/>
        </w:rPr>
        <w:t>加大均衡性转移支付、县级基本财力保障机制奖补资金、老少边穷地区转移支付力度，完善省与市县财政体制，均衡区域间财力水平，支持深入实施兴边富民行动。统筹中央补助资金和自有财力加大向基层和财政困难地区倾斜，提高基本公共服务保障能力，支持市县扎实做好“六稳”工作、全面落实“六保”任务，坚决兜牢基层“三保”底线。</w:t>
      </w:r>
    </w:p>
    <w:p>
      <w:pPr>
        <w:rPr>
          <w:rFonts w:ascii="宋体" w:hAnsi="宋体"/>
          <w:color w:val="auto"/>
          <w:highlight w:val="none"/>
        </w:rPr>
      </w:pPr>
      <w:bookmarkStart w:id="882" w:name="_Toc16233"/>
      <w:bookmarkStart w:id="883" w:name="_Toc19585"/>
      <w:bookmarkStart w:id="884" w:name="_Toc19053"/>
      <w:r>
        <w:rPr>
          <w:rStyle w:val="24"/>
          <w:rFonts w:hint="eastAsia" w:ascii="宋体" w:hAnsi="宋体"/>
        </w:rPr>
        <w:t>4.支持资源（能源）型地区加快转型发展。</w:t>
      </w:r>
      <w:bookmarkEnd w:id="882"/>
      <w:bookmarkEnd w:id="883"/>
      <w:bookmarkEnd w:id="884"/>
      <w:r>
        <w:rPr>
          <w:rFonts w:hint="eastAsia" w:ascii="宋体" w:hAnsi="宋体"/>
          <w:color w:val="auto"/>
          <w:highlight w:val="none"/>
        </w:rPr>
        <w:t>积极争取中央财政支持，继续实施资源枯竭城市转移支付政策，支持辽源、白山、通化等资源枯竭城市解决本地因资源开发产生的社保欠账、环境保护、矿业权退出、公共基础设施建设和棚户区改造等历史遗留问题，加快转型发展。加大重点生态功能区转移支付力度，支持重点生态功能区县（市）推进生态文明建设，加强生态环境保护力度，提高国家重点生态功能区等生态功能重要地区政府基本公共服务保障能力，维护国家生态安全。</w:t>
      </w:r>
    </w:p>
    <w:p>
      <w:pPr>
        <w:pStyle w:val="5"/>
        <w:rPr>
          <w:rFonts w:ascii="宋体" w:hAnsi="宋体"/>
          <w:color w:val="auto"/>
          <w:highlight w:val="none"/>
        </w:rPr>
      </w:pPr>
      <w:bookmarkStart w:id="885" w:name="_Toc6559"/>
      <w:bookmarkStart w:id="886" w:name="_Toc26764"/>
      <w:bookmarkStart w:id="887" w:name="_Toc28230"/>
      <w:bookmarkStart w:id="888" w:name="_Toc6071"/>
      <w:bookmarkStart w:id="889" w:name="_Toc25680"/>
      <w:bookmarkStart w:id="890" w:name="_Toc15018"/>
      <w:r>
        <w:rPr>
          <w:rFonts w:hint="eastAsia" w:ascii="宋体" w:hAnsi="宋体"/>
          <w:color w:val="auto"/>
          <w:highlight w:val="none"/>
        </w:rPr>
        <w:t>（二）持续支持新型城镇化建设</w:t>
      </w:r>
      <w:bookmarkEnd w:id="885"/>
      <w:bookmarkEnd w:id="886"/>
      <w:bookmarkEnd w:id="887"/>
      <w:bookmarkEnd w:id="888"/>
      <w:bookmarkEnd w:id="889"/>
      <w:bookmarkEnd w:id="890"/>
    </w:p>
    <w:p>
      <w:pPr>
        <w:ind w:firstLine="643"/>
        <w:rPr>
          <w:rFonts w:hint="default" w:ascii="宋体" w:hAnsi="宋体" w:eastAsia="仿宋"/>
          <w:color w:val="auto"/>
          <w:highlight w:val="none"/>
          <w:lang w:val="en-US" w:eastAsia="zh-CN"/>
        </w:rPr>
      </w:pPr>
      <w:bookmarkStart w:id="891" w:name="_Toc6723"/>
      <w:bookmarkStart w:id="892" w:name="_Toc10573"/>
      <w:bookmarkStart w:id="893" w:name="_Toc21036"/>
      <w:bookmarkStart w:id="894" w:name="_Toc7581"/>
      <w:bookmarkStart w:id="895" w:name="_Toc29004"/>
      <w:r>
        <w:rPr>
          <w:rStyle w:val="24"/>
          <w:rFonts w:hint="eastAsia" w:ascii="宋体" w:hAnsi="宋体"/>
          <w:color w:val="auto"/>
          <w:highlight w:val="none"/>
        </w:rPr>
        <w:t>1.完善新型城镇化战略</w:t>
      </w:r>
      <w:bookmarkEnd w:id="891"/>
      <w:r>
        <w:rPr>
          <w:rStyle w:val="24"/>
          <w:rFonts w:hint="eastAsia" w:ascii="宋体" w:hAnsi="宋体"/>
          <w:color w:val="auto"/>
          <w:highlight w:val="none"/>
        </w:rPr>
        <w:t>。</w:t>
      </w:r>
      <w:bookmarkEnd w:id="892"/>
      <w:bookmarkEnd w:id="893"/>
      <w:bookmarkEnd w:id="894"/>
      <w:bookmarkEnd w:id="895"/>
      <w:r>
        <w:rPr>
          <w:rFonts w:hint="eastAsia"/>
          <w:color w:val="auto"/>
          <w:highlight w:val="none"/>
          <w:lang w:eastAsia="zh-CN"/>
        </w:rPr>
        <w:t>支持新型城镇化发展。积极推动哈长一体化示范区建设，发展壮大哈长城市群。支持长吉接合片区国家城乡融合发展试验区建设，促进城乡融合发展。重点推动县城城镇化建设，提升县城公共设施和服务能力。做好省级特色产业小镇创建工作，促进特色产业小镇规范健康发展。推动都市卫星型、工业主导型、商贸流通型、文化旅游型、兴边富民型、综合服务型等重点小城镇发展。健全城镇建设投融资机制，以财政资金引导金融资本和社会资本加大投入力度。</w:t>
      </w:r>
    </w:p>
    <w:p>
      <w:pPr>
        <w:ind w:firstLine="643"/>
        <w:rPr>
          <w:rFonts w:ascii="宋体" w:hAnsi="宋体"/>
          <w:color w:val="auto"/>
          <w:highlight w:val="none"/>
        </w:rPr>
      </w:pPr>
      <w:bookmarkStart w:id="896" w:name="_Toc16168"/>
      <w:bookmarkStart w:id="897" w:name="_Toc24219"/>
      <w:bookmarkStart w:id="898" w:name="_Toc2011"/>
      <w:bookmarkStart w:id="899" w:name="_Toc27492"/>
      <w:bookmarkStart w:id="900" w:name="_Toc1170"/>
      <w:r>
        <w:rPr>
          <w:rStyle w:val="24"/>
          <w:rFonts w:hint="eastAsia" w:ascii="宋体" w:hAnsi="宋体"/>
          <w:color w:val="auto"/>
          <w:highlight w:val="none"/>
        </w:rPr>
        <w:t>2.支持实施城市更新行动</w:t>
      </w:r>
      <w:bookmarkEnd w:id="896"/>
      <w:r>
        <w:rPr>
          <w:rStyle w:val="24"/>
          <w:rFonts w:hint="eastAsia" w:ascii="宋体" w:hAnsi="宋体"/>
          <w:color w:val="auto"/>
          <w:highlight w:val="none"/>
        </w:rPr>
        <w:t>。</w:t>
      </w:r>
      <w:bookmarkEnd w:id="897"/>
      <w:bookmarkEnd w:id="898"/>
      <w:bookmarkEnd w:id="899"/>
      <w:bookmarkEnd w:id="900"/>
      <w:r>
        <w:rPr>
          <w:rFonts w:hint="eastAsia" w:ascii="宋体" w:hAnsi="宋体"/>
          <w:color w:val="auto"/>
          <w:highlight w:val="none"/>
        </w:rPr>
        <w:t>积极对接国家政策意见及方案计划，配合行业主管部门争取中央资金支持，加快市政基础设施建设力度，持续推进城镇基础设施和公共服务配套建设，重点支持老商业街、传统街区、街道空间等整体更新改造。加大政府债券支持力度，有效激发市场积极性，吸引社会力量积极参与，推进城市补齐基础设施短板进程。</w:t>
      </w:r>
    </w:p>
    <w:p>
      <w:pPr>
        <w:ind w:firstLine="643"/>
        <w:rPr>
          <w:rFonts w:ascii="宋体" w:hAnsi="宋体"/>
          <w:color w:val="auto"/>
          <w:highlight w:val="none"/>
        </w:rPr>
      </w:pPr>
      <w:bookmarkStart w:id="901" w:name="_Toc29941"/>
      <w:bookmarkStart w:id="902" w:name="_Toc5023"/>
      <w:bookmarkStart w:id="903" w:name="_Toc28910"/>
      <w:bookmarkStart w:id="904" w:name="_Toc32723"/>
      <w:bookmarkStart w:id="905" w:name="_Toc13759"/>
      <w:r>
        <w:rPr>
          <w:rStyle w:val="24"/>
          <w:rFonts w:hint="eastAsia" w:ascii="宋体" w:hAnsi="宋体"/>
          <w:color w:val="auto"/>
          <w:highlight w:val="none"/>
        </w:rPr>
        <w:t>3.支持保障性住房建设。</w:t>
      </w:r>
      <w:bookmarkEnd w:id="901"/>
      <w:bookmarkEnd w:id="902"/>
      <w:bookmarkEnd w:id="903"/>
      <w:bookmarkEnd w:id="904"/>
      <w:bookmarkEnd w:id="905"/>
      <w:r>
        <w:rPr>
          <w:rFonts w:hint="eastAsia" w:ascii="宋体" w:hAnsi="宋体"/>
          <w:color w:val="auto"/>
          <w:highlight w:val="none"/>
        </w:rPr>
        <w:t>坚持房子是用来住的，不是用来的炒的定位，以供给侧结构性改革为主线，发挥保障性住房在促进房地产市场平稳健康发展中的作用。落实国家工作部署，进一步</w:t>
      </w:r>
      <w:r>
        <w:rPr>
          <w:rFonts w:hint="eastAsia"/>
          <w:color w:val="auto"/>
          <w:highlight w:val="none"/>
          <w:lang w:eastAsia="zh-CN"/>
        </w:rPr>
        <w:t>健全完善</w:t>
      </w:r>
      <w:r>
        <w:rPr>
          <w:rFonts w:hint="eastAsia" w:ascii="宋体" w:hAnsi="宋体"/>
          <w:color w:val="auto"/>
          <w:highlight w:val="none"/>
        </w:rPr>
        <w:t>制度体系，持续推进保障性安居工程建设。按照尽力而为、量力而行的原则，积极筹措资金支持公租房保障和城市棚户区改造、</w:t>
      </w:r>
      <w:r>
        <w:rPr>
          <w:rFonts w:hint="eastAsia"/>
          <w:color w:val="auto"/>
          <w:highlight w:val="none"/>
          <w:lang w:eastAsia="zh-CN"/>
        </w:rPr>
        <w:t>保障性租赁住房建设、</w:t>
      </w:r>
      <w:r>
        <w:rPr>
          <w:rFonts w:hint="eastAsia" w:ascii="宋体" w:hAnsi="宋体"/>
          <w:color w:val="auto"/>
          <w:highlight w:val="none"/>
        </w:rPr>
        <w:t>城镇老旧小区改造。落实好长春市住房租赁市场试点政策，做好总结验收。</w:t>
      </w:r>
    </w:p>
    <w:p>
      <w:pPr>
        <w:ind w:firstLine="643"/>
        <w:rPr>
          <w:rFonts w:ascii="宋体" w:hAnsi="宋体"/>
          <w:color w:val="auto"/>
          <w:highlight w:val="none"/>
        </w:rPr>
      </w:pPr>
      <w:bookmarkStart w:id="906" w:name="_Toc23372"/>
      <w:bookmarkStart w:id="907" w:name="_Toc6257"/>
      <w:bookmarkStart w:id="908" w:name="_Toc14093"/>
      <w:bookmarkStart w:id="909" w:name="_Toc13482"/>
      <w:bookmarkStart w:id="910" w:name="_Toc21545"/>
      <w:r>
        <w:rPr>
          <w:rStyle w:val="24"/>
          <w:rFonts w:hint="eastAsia" w:ascii="宋体" w:hAnsi="宋体"/>
          <w:color w:val="auto"/>
          <w:highlight w:val="none"/>
        </w:rPr>
        <w:t>4.完善农业转移人口市民化支持政策。</w:t>
      </w:r>
      <w:bookmarkEnd w:id="906"/>
      <w:bookmarkEnd w:id="907"/>
      <w:bookmarkEnd w:id="908"/>
      <w:bookmarkEnd w:id="909"/>
      <w:bookmarkEnd w:id="910"/>
      <w:r>
        <w:rPr>
          <w:rFonts w:hint="eastAsia" w:ascii="宋体" w:hAnsi="宋体"/>
          <w:color w:val="auto"/>
          <w:highlight w:val="none"/>
        </w:rPr>
        <w:t>健全完善支持农业转移人口市民化的财政政策体系，继续安排农业转移人口市民化奖补资金，加大对吸纳农业转移人口城市的支持力度，引导鼓励市县政府加大投入，保障农业转移人口的基本公共服务需求。完善转移支付资金与农业转移人口市民化挂钩机制，为农业转移人口市民化政策的有效实施提供财力保障，促进有能力在城镇稳定就业和生活的常住人口有序实现市民化。</w:t>
      </w:r>
    </w:p>
    <w:p>
      <w:pPr>
        <w:pStyle w:val="4"/>
        <w:ind w:firstLine="640" w:firstLineChars="200"/>
        <w:rPr>
          <w:rFonts w:ascii="宋体" w:hAnsi="宋体"/>
          <w:color w:val="auto"/>
          <w:highlight w:val="none"/>
        </w:rPr>
      </w:pPr>
      <w:bookmarkStart w:id="911" w:name="_Toc26336"/>
      <w:bookmarkStart w:id="912" w:name="_Toc19019"/>
      <w:bookmarkStart w:id="913" w:name="_Toc15723"/>
      <w:bookmarkStart w:id="914" w:name="_Toc20736"/>
      <w:bookmarkStart w:id="915" w:name="_Toc29055"/>
      <w:bookmarkStart w:id="916" w:name="_Toc7003"/>
      <w:r>
        <w:rPr>
          <w:rFonts w:hint="eastAsia" w:ascii="宋体" w:hAnsi="宋体"/>
          <w:color w:val="auto"/>
          <w:highlight w:val="none"/>
        </w:rPr>
        <w:t>十五、继续支持文化事业和文化产业繁荣发展</w:t>
      </w:r>
      <w:bookmarkEnd w:id="911"/>
      <w:bookmarkEnd w:id="912"/>
      <w:bookmarkEnd w:id="913"/>
      <w:bookmarkEnd w:id="914"/>
      <w:bookmarkEnd w:id="915"/>
      <w:bookmarkEnd w:id="916"/>
    </w:p>
    <w:p>
      <w:pPr>
        <w:rPr>
          <w:rFonts w:ascii="宋体" w:hAnsi="宋体"/>
          <w:color w:val="auto"/>
          <w:highlight w:val="none"/>
        </w:rPr>
      </w:pPr>
      <w:bookmarkStart w:id="917" w:name="_Toc29168"/>
      <w:r>
        <w:rPr>
          <w:rFonts w:hint="eastAsia" w:ascii="宋体" w:hAnsi="宋体"/>
          <w:color w:val="auto"/>
          <w:highlight w:val="none"/>
          <w:lang w:eastAsia="zh-CN"/>
        </w:rPr>
        <w:t>落实和完善支持文化发展的财政政策，确保财政文化投入水平与经济社会发展阶段相适应</w:t>
      </w:r>
      <w:r>
        <w:rPr>
          <w:rFonts w:hint="eastAsia" w:ascii="宋体" w:hAnsi="宋体"/>
          <w:color w:val="auto"/>
          <w:highlight w:val="none"/>
          <w:lang w:val="en-US" w:eastAsia="zh-CN"/>
        </w:rPr>
        <w:t>。</w:t>
      </w:r>
      <w:r>
        <w:rPr>
          <w:rFonts w:hint="eastAsia" w:ascii="宋体" w:hAnsi="宋体"/>
          <w:color w:val="auto"/>
          <w:highlight w:val="none"/>
          <w:lang w:eastAsia="zh-CN"/>
        </w:rPr>
        <w:t>调整优化支出结构，优先保障党中央宣传思想重大工作任务，把满足人民文化需求和增强人民精神力量作为支持的重点，深化</w:t>
      </w:r>
      <w:r>
        <w:rPr>
          <w:rFonts w:ascii="宋体" w:hAnsi="宋体"/>
          <w:color w:val="auto"/>
          <w:highlight w:val="none"/>
        </w:rPr>
        <w:t>文化体制改革</w:t>
      </w:r>
      <w:r>
        <w:rPr>
          <w:rFonts w:hint="eastAsia" w:ascii="宋体" w:hAnsi="宋体"/>
          <w:color w:val="auto"/>
          <w:highlight w:val="none"/>
        </w:rPr>
        <w:t>，</w:t>
      </w:r>
      <w:r>
        <w:rPr>
          <w:rFonts w:hint="eastAsia" w:ascii="宋体" w:hAnsi="宋体"/>
          <w:color w:val="auto"/>
          <w:highlight w:val="none"/>
          <w:lang w:eastAsia="zh-CN"/>
        </w:rPr>
        <w:t>发展</w:t>
      </w:r>
      <w:r>
        <w:rPr>
          <w:rFonts w:ascii="宋体" w:hAnsi="宋体"/>
          <w:color w:val="auto"/>
          <w:highlight w:val="none"/>
        </w:rPr>
        <w:t>现代公共文化服务体系和现代文化市场体系</w:t>
      </w:r>
      <w:r>
        <w:rPr>
          <w:rFonts w:hint="eastAsia" w:ascii="宋体" w:hAnsi="宋体"/>
          <w:color w:val="auto"/>
          <w:highlight w:val="none"/>
        </w:rPr>
        <w:t>，</w:t>
      </w:r>
      <w:r>
        <w:rPr>
          <w:rFonts w:ascii="宋体" w:hAnsi="宋体"/>
          <w:color w:val="auto"/>
          <w:highlight w:val="none"/>
        </w:rPr>
        <w:t>加快</w:t>
      </w:r>
      <w:r>
        <w:rPr>
          <w:rFonts w:hint="eastAsia" w:ascii="宋体" w:hAnsi="宋体"/>
          <w:color w:val="auto"/>
          <w:highlight w:val="none"/>
          <w:lang w:eastAsia="zh-CN"/>
        </w:rPr>
        <w:t>推进</w:t>
      </w:r>
      <w:r>
        <w:rPr>
          <w:rFonts w:ascii="宋体" w:hAnsi="宋体"/>
          <w:color w:val="auto"/>
          <w:highlight w:val="none"/>
        </w:rPr>
        <w:t>文化强省建设。</w:t>
      </w:r>
    </w:p>
    <w:p>
      <w:pPr>
        <w:pStyle w:val="5"/>
        <w:rPr>
          <w:rFonts w:ascii="宋体" w:hAnsi="宋体"/>
          <w:color w:val="auto"/>
          <w:highlight w:val="none"/>
        </w:rPr>
      </w:pPr>
      <w:bookmarkStart w:id="918" w:name="_Toc19293"/>
      <w:bookmarkStart w:id="919" w:name="_Toc11549"/>
      <w:bookmarkStart w:id="920" w:name="_Toc29769"/>
      <w:bookmarkStart w:id="921" w:name="_Toc32308"/>
      <w:bookmarkStart w:id="922" w:name="_Toc13742"/>
      <w:r>
        <w:rPr>
          <w:rFonts w:hint="eastAsia" w:ascii="宋体" w:hAnsi="宋体"/>
          <w:color w:val="auto"/>
          <w:highlight w:val="none"/>
        </w:rPr>
        <w:t>（一）支持加强宣传思想文化工作</w:t>
      </w:r>
      <w:bookmarkEnd w:id="917"/>
      <w:bookmarkEnd w:id="918"/>
      <w:bookmarkEnd w:id="919"/>
      <w:bookmarkEnd w:id="920"/>
      <w:bookmarkEnd w:id="921"/>
      <w:bookmarkEnd w:id="922"/>
    </w:p>
    <w:p>
      <w:pPr>
        <w:ind w:firstLine="643"/>
        <w:rPr>
          <w:rFonts w:ascii="宋体" w:hAnsi="宋体"/>
          <w:color w:val="auto"/>
          <w:highlight w:val="none"/>
        </w:rPr>
      </w:pPr>
      <w:bookmarkStart w:id="923" w:name="_Toc2931"/>
      <w:bookmarkStart w:id="924" w:name="_Toc16441"/>
      <w:bookmarkStart w:id="925" w:name="_Toc4734"/>
      <w:bookmarkStart w:id="926" w:name="_Toc14036"/>
      <w:bookmarkStart w:id="927" w:name="_Toc18299"/>
      <w:r>
        <w:rPr>
          <w:rStyle w:val="24"/>
          <w:rFonts w:hint="eastAsia" w:ascii="宋体" w:hAnsi="宋体"/>
          <w:color w:val="auto"/>
          <w:highlight w:val="none"/>
        </w:rPr>
        <w:t>1.支持社会主义意识形态建设</w:t>
      </w:r>
      <w:bookmarkEnd w:id="923"/>
      <w:r>
        <w:rPr>
          <w:rStyle w:val="24"/>
          <w:rFonts w:hint="eastAsia" w:ascii="宋体" w:hAnsi="宋体"/>
          <w:color w:val="auto"/>
          <w:highlight w:val="none"/>
        </w:rPr>
        <w:t>。</w:t>
      </w:r>
      <w:bookmarkEnd w:id="924"/>
      <w:bookmarkEnd w:id="925"/>
      <w:bookmarkEnd w:id="926"/>
      <w:bookmarkEnd w:id="927"/>
      <w:r>
        <w:rPr>
          <w:rFonts w:hint="eastAsia" w:ascii="宋体" w:hAnsi="宋体"/>
          <w:color w:val="auto"/>
          <w:highlight w:val="none"/>
        </w:rPr>
        <w:t>支持“学习强国”学习平台运行维护，深入学习宣传习近平新时代中国特色社会主义思想。支持县级融媒体中心等阵地建设，巩固拓展宣传思想文化阵地，夯实党的意识形态工作根基。</w:t>
      </w:r>
      <w:r>
        <w:rPr>
          <w:rFonts w:hint="eastAsia" w:ascii="宋体" w:hAnsi="宋体"/>
          <w:color w:val="auto"/>
          <w:highlight w:val="none"/>
          <w:lang w:eastAsia="zh-CN"/>
        </w:rPr>
        <w:t>支持党史馆建设和陈列展览，加强思想信念教育。</w:t>
      </w:r>
      <w:r>
        <w:rPr>
          <w:rFonts w:hint="eastAsia" w:ascii="宋体" w:hAnsi="宋体"/>
          <w:color w:val="auto"/>
          <w:highlight w:val="none"/>
        </w:rPr>
        <w:t>支持少数民族文字图书（期刊）出版发行、少数民族语言节目译制等，促进民族团结和社会主义文化认同。</w:t>
      </w:r>
    </w:p>
    <w:p>
      <w:pPr>
        <w:ind w:firstLine="643"/>
        <w:rPr>
          <w:rFonts w:ascii="宋体" w:hAnsi="宋体"/>
          <w:color w:val="auto"/>
          <w:highlight w:val="none"/>
        </w:rPr>
      </w:pPr>
      <w:bookmarkStart w:id="928" w:name="_Toc660"/>
      <w:bookmarkStart w:id="929" w:name="_Toc29573"/>
      <w:bookmarkStart w:id="930" w:name="_Toc11191"/>
      <w:bookmarkStart w:id="931" w:name="_Toc25840"/>
      <w:bookmarkStart w:id="932" w:name="_Toc16093"/>
      <w:r>
        <w:rPr>
          <w:rStyle w:val="24"/>
          <w:rFonts w:hint="eastAsia" w:ascii="宋体" w:hAnsi="宋体"/>
          <w:color w:val="auto"/>
          <w:highlight w:val="none"/>
        </w:rPr>
        <w:t>2.支持精神文明创建活动</w:t>
      </w:r>
      <w:bookmarkEnd w:id="928"/>
      <w:r>
        <w:rPr>
          <w:rStyle w:val="24"/>
          <w:rFonts w:hint="eastAsia" w:ascii="宋体" w:hAnsi="宋体"/>
          <w:color w:val="auto"/>
          <w:highlight w:val="none"/>
        </w:rPr>
        <w:t>。</w:t>
      </w:r>
      <w:bookmarkEnd w:id="929"/>
      <w:bookmarkEnd w:id="930"/>
      <w:bookmarkEnd w:id="931"/>
      <w:bookmarkEnd w:id="932"/>
      <w:r>
        <w:rPr>
          <w:rFonts w:hint="eastAsia" w:ascii="宋体" w:hAnsi="宋体"/>
          <w:color w:val="auto"/>
          <w:highlight w:val="none"/>
        </w:rPr>
        <w:t>支持拓展新时代文明实践中心建设，支持开展精神文明创建主题活动，大力宣传时代楷模、道德模范和吉林好人等先进事迹，引导公民提高道德水平，培育良好社会风尚</w:t>
      </w:r>
      <w:r>
        <w:rPr>
          <w:rFonts w:hint="eastAsia" w:ascii="宋体" w:hAnsi="宋体"/>
          <w:color w:val="auto"/>
          <w:highlight w:val="none"/>
          <w:lang w:eastAsia="zh-CN"/>
        </w:rPr>
        <w:t>，增强文明实践自觉</w:t>
      </w:r>
      <w:r>
        <w:rPr>
          <w:rFonts w:hint="eastAsia" w:ascii="宋体" w:hAnsi="宋体"/>
          <w:color w:val="auto"/>
          <w:highlight w:val="none"/>
        </w:rPr>
        <w:t>。</w:t>
      </w:r>
    </w:p>
    <w:p>
      <w:pPr>
        <w:pStyle w:val="5"/>
        <w:rPr>
          <w:rFonts w:ascii="宋体" w:hAnsi="宋体"/>
          <w:color w:val="auto"/>
          <w:highlight w:val="none"/>
        </w:rPr>
      </w:pPr>
      <w:bookmarkStart w:id="933" w:name="_Toc12449"/>
      <w:bookmarkStart w:id="934" w:name="_Toc21925"/>
      <w:bookmarkStart w:id="935" w:name="_Toc4712"/>
      <w:bookmarkStart w:id="936" w:name="_Toc3109"/>
      <w:bookmarkStart w:id="937" w:name="_Toc6917"/>
      <w:bookmarkStart w:id="938" w:name="_Toc28850"/>
      <w:r>
        <w:rPr>
          <w:rFonts w:hint="eastAsia" w:ascii="宋体" w:hAnsi="宋体"/>
          <w:color w:val="auto"/>
          <w:highlight w:val="none"/>
        </w:rPr>
        <w:t>（二）完善公共文化服务体系支持政策</w:t>
      </w:r>
      <w:bookmarkEnd w:id="933"/>
      <w:bookmarkEnd w:id="934"/>
      <w:bookmarkEnd w:id="935"/>
      <w:bookmarkEnd w:id="936"/>
      <w:bookmarkEnd w:id="937"/>
      <w:bookmarkEnd w:id="938"/>
    </w:p>
    <w:p>
      <w:pPr>
        <w:ind w:firstLine="643"/>
        <w:rPr>
          <w:rFonts w:ascii="宋体" w:hAnsi="宋体"/>
          <w:color w:val="auto"/>
          <w:highlight w:val="none"/>
        </w:rPr>
      </w:pPr>
      <w:bookmarkStart w:id="939" w:name="_Toc26828"/>
      <w:bookmarkStart w:id="940" w:name="_Toc3687"/>
      <w:bookmarkStart w:id="941" w:name="_Toc23550"/>
      <w:bookmarkStart w:id="942" w:name="_Toc2491"/>
      <w:bookmarkStart w:id="943" w:name="_Toc19393"/>
      <w:r>
        <w:rPr>
          <w:rStyle w:val="24"/>
          <w:rFonts w:hint="eastAsia" w:ascii="宋体" w:hAnsi="宋体"/>
          <w:color w:val="auto"/>
          <w:highlight w:val="none"/>
        </w:rPr>
        <w:t>1.推动社会主义文艺繁荣发展</w:t>
      </w:r>
      <w:bookmarkEnd w:id="939"/>
      <w:r>
        <w:rPr>
          <w:rStyle w:val="24"/>
          <w:rFonts w:hint="eastAsia" w:ascii="宋体" w:hAnsi="宋体"/>
          <w:color w:val="auto"/>
          <w:highlight w:val="none"/>
        </w:rPr>
        <w:t>。</w:t>
      </w:r>
      <w:bookmarkEnd w:id="940"/>
      <w:bookmarkEnd w:id="941"/>
      <w:bookmarkEnd w:id="942"/>
      <w:bookmarkEnd w:id="943"/>
      <w:r>
        <w:rPr>
          <w:rFonts w:hint="eastAsia" w:ascii="宋体" w:hAnsi="宋体"/>
          <w:color w:val="auto"/>
          <w:highlight w:val="none"/>
        </w:rPr>
        <w:t>完善省级文化发展专项资金运行和激励机制，支持促进优秀文艺作品创作生产，重点扶持具有吉林特色的转播度和影响力较大的文艺作品，着力推出更多优秀文艺作品。围绕党和国家重要时间节点，支持创作推出主题文艺作品、活动和重点出版物。</w:t>
      </w:r>
    </w:p>
    <w:p>
      <w:pPr>
        <w:ind w:firstLine="643"/>
        <w:rPr>
          <w:rFonts w:ascii="宋体" w:hAnsi="宋体"/>
          <w:color w:val="auto"/>
          <w:highlight w:val="none"/>
          <w:shd w:val="clear" w:color="auto" w:fill="FFFFFF"/>
        </w:rPr>
      </w:pPr>
      <w:bookmarkStart w:id="944" w:name="_Toc10548"/>
      <w:bookmarkStart w:id="945" w:name="_Toc17954"/>
      <w:bookmarkStart w:id="946" w:name="_Toc23857"/>
      <w:bookmarkStart w:id="947" w:name="_Toc8586"/>
      <w:bookmarkStart w:id="948" w:name="_Toc153"/>
      <w:r>
        <w:rPr>
          <w:rStyle w:val="24"/>
          <w:rFonts w:hint="eastAsia" w:ascii="宋体" w:hAnsi="宋体"/>
          <w:color w:val="auto"/>
          <w:highlight w:val="none"/>
        </w:rPr>
        <w:t>2.支持公共文化服务体系建设</w:t>
      </w:r>
      <w:bookmarkEnd w:id="944"/>
      <w:r>
        <w:rPr>
          <w:rStyle w:val="24"/>
          <w:rFonts w:hint="eastAsia" w:ascii="宋体" w:hAnsi="宋体"/>
          <w:color w:val="auto"/>
          <w:highlight w:val="none"/>
        </w:rPr>
        <w:t>。</w:t>
      </w:r>
      <w:bookmarkEnd w:id="945"/>
      <w:bookmarkEnd w:id="946"/>
      <w:bookmarkEnd w:id="947"/>
      <w:bookmarkEnd w:id="948"/>
      <w:r>
        <w:rPr>
          <w:rFonts w:hint="eastAsia" w:ascii="宋体" w:hAnsi="宋体"/>
          <w:color w:val="auto"/>
          <w:highlight w:val="none"/>
        </w:rPr>
        <w:t>支持开展省委省政府确定的文化民生实事等惠民工程，引导优质文化资源和文化服务向基层倾斜，提高覆盖面和实效性。</w:t>
      </w:r>
      <w:r>
        <w:rPr>
          <w:rFonts w:ascii="宋体" w:hAnsi="宋体"/>
          <w:color w:val="auto"/>
          <w:highlight w:val="none"/>
        </w:rPr>
        <w:t>推动公共文化数字化建设</w:t>
      </w:r>
      <w:r>
        <w:rPr>
          <w:rFonts w:hint="eastAsia" w:ascii="宋体" w:hAnsi="宋体"/>
          <w:color w:val="auto"/>
          <w:highlight w:val="none"/>
        </w:rPr>
        <w:t>，</w:t>
      </w:r>
      <w:r>
        <w:rPr>
          <w:rFonts w:ascii="宋体" w:hAnsi="宋体"/>
          <w:color w:val="auto"/>
          <w:highlight w:val="none"/>
        </w:rPr>
        <w:t>支持扩大公共文化设施免费开放范围</w:t>
      </w:r>
      <w:r>
        <w:rPr>
          <w:rFonts w:hint="eastAsia" w:ascii="宋体" w:hAnsi="宋体"/>
          <w:color w:val="auto"/>
          <w:highlight w:val="none"/>
        </w:rPr>
        <w:t>。健全和鼓励社会力量参与公共文化服务的体制机制，推动实施政府购买公共文化服务，提升公共文化服务效能。</w:t>
      </w:r>
    </w:p>
    <w:p>
      <w:pPr>
        <w:ind w:firstLine="643"/>
        <w:rPr>
          <w:rFonts w:ascii="宋体" w:hAnsi="宋体"/>
          <w:color w:val="auto"/>
          <w:highlight w:val="none"/>
        </w:rPr>
      </w:pPr>
      <w:bookmarkStart w:id="949" w:name="_Toc23953"/>
      <w:bookmarkStart w:id="950" w:name="_Toc15180"/>
      <w:bookmarkStart w:id="951" w:name="_Toc31464"/>
      <w:bookmarkStart w:id="952" w:name="_Toc30472"/>
      <w:bookmarkStart w:id="953" w:name="_Toc10713"/>
      <w:r>
        <w:rPr>
          <w:rStyle w:val="24"/>
          <w:rFonts w:hint="eastAsia" w:ascii="宋体" w:hAnsi="宋体"/>
          <w:color w:val="auto"/>
          <w:highlight w:val="none"/>
        </w:rPr>
        <w:t>3.支持媒体</w:t>
      </w:r>
      <w:r>
        <w:rPr>
          <w:rStyle w:val="24"/>
          <w:rFonts w:hint="eastAsia" w:ascii="宋体" w:hAnsi="宋体"/>
          <w:color w:val="auto"/>
          <w:highlight w:val="none"/>
          <w:lang w:eastAsia="zh-CN"/>
        </w:rPr>
        <w:t>融合</w:t>
      </w:r>
      <w:r>
        <w:rPr>
          <w:rStyle w:val="24"/>
          <w:rFonts w:hint="eastAsia" w:ascii="宋体" w:hAnsi="宋体"/>
          <w:color w:val="auto"/>
          <w:highlight w:val="none"/>
        </w:rPr>
        <w:t>发展</w:t>
      </w:r>
      <w:bookmarkEnd w:id="949"/>
      <w:r>
        <w:rPr>
          <w:rStyle w:val="24"/>
          <w:rFonts w:hint="eastAsia" w:ascii="宋体" w:hAnsi="宋体"/>
          <w:color w:val="auto"/>
          <w:highlight w:val="none"/>
        </w:rPr>
        <w:t>。</w:t>
      </w:r>
      <w:bookmarkEnd w:id="950"/>
      <w:bookmarkEnd w:id="951"/>
      <w:bookmarkEnd w:id="952"/>
      <w:bookmarkEnd w:id="953"/>
      <w:r>
        <w:rPr>
          <w:rFonts w:hint="eastAsia" w:ascii="宋体" w:hAnsi="宋体"/>
          <w:color w:val="auto"/>
          <w:highlight w:val="none"/>
        </w:rPr>
        <w:t>支持传统媒体和新兴媒体深度融合发展，做强新型主流媒体。支持广播电视信号发射台站运行维护，保障广播电视“三满”安全播出。支持媒体技术装备升级</w:t>
      </w:r>
      <w:r>
        <w:rPr>
          <w:rFonts w:hint="eastAsia" w:ascii="宋体" w:hAnsi="宋体"/>
          <w:color w:val="auto"/>
          <w:highlight w:val="none"/>
          <w:lang w:eastAsia="zh-CN"/>
        </w:rPr>
        <w:t>，</w:t>
      </w:r>
      <w:r>
        <w:rPr>
          <w:rFonts w:hint="eastAsia" w:ascii="宋体" w:hAnsi="宋体"/>
          <w:color w:val="auto"/>
          <w:highlight w:val="none"/>
        </w:rPr>
        <w:t>提升制播能力。支持</w:t>
      </w:r>
      <w:r>
        <w:rPr>
          <w:rFonts w:hint="eastAsia" w:ascii="宋体" w:hAnsi="宋体"/>
          <w:color w:val="auto"/>
          <w:highlight w:val="none"/>
          <w:lang w:eastAsia="zh-CN"/>
        </w:rPr>
        <w:t>推进网络综合治理体系建设，增强</w:t>
      </w:r>
      <w:r>
        <w:rPr>
          <w:rFonts w:hint="eastAsia" w:ascii="宋体" w:hAnsi="宋体"/>
          <w:color w:val="auto"/>
          <w:highlight w:val="none"/>
        </w:rPr>
        <w:t>网络安全保障</w:t>
      </w:r>
      <w:r>
        <w:rPr>
          <w:rFonts w:hint="eastAsia" w:ascii="宋体" w:hAnsi="宋体"/>
          <w:color w:val="auto"/>
          <w:highlight w:val="none"/>
          <w:lang w:eastAsia="zh-CN"/>
        </w:rPr>
        <w:t>能力</w:t>
      </w:r>
      <w:r>
        <w:rPr>
          <w:rFonts w:hint="eastAsia" w:ascii="宋体" w:hAnsi="宋体"/>
          <w:color w:val="auto"/>
          <w:highlight w:val="none"/>
        </w:rPr>
        <w:t>。</w:t>
      </w:r>
      <w:r>
        <w:rPr>
          <w:rFonts w:hint="eastAsia" w:ascii="宋体" w:hAnsi="宋体"/>
          <w:color w:val="auto"/>
          <w:highlight w:val="none"/>
          <w:lang w:eastAsia="zh-CN"/>
        </w:rPr>
        <w:t>支持</w:t>
      </w:r>
      <w:r>
        <w:rPr>
          <w:rFonts w:hint="eastAsia" w:ascii="宋体" w:hAnsi="宋体"/>
          <w:color w:val="auto"/>
          <w:highlight w:val="none"/>
        </w:rPr>
        <w:t>加强国际文化交流推广能力，扩大对外宣传影响力。</w:t>
      </w:r>
    </w:p>
    <w:p>
      <w:pPr>
        <w:ind w:firstLine="643"/>
        <w:rPr>
          <w:rFonts w:ascii="宋体" w:hAnsi="宋体"/>
          <w:color w:val="auto"/>
          <w:highlight w:val="none"/>
        </w:rPr>
      </w:pPr>
      <w:bookmarkStart w:id="954" w:name="_Toc30256"/>
      <w:bookmarkStart w:id="955" w:name="_Toc31769"/>
      <w:bookmarkStart w:id="956" w:name="_Toc23913"/>
      <w:bookmarkStart w:id="957" w:name="_Toc19519"/>
      <w:bookmarkStart w:id="958" w:name="_Toc31322"/>
      <w:r>
        <w:rPr>
          <w:rStyle w:val="24"/>
          <w:rFonts w:hint="eastAsia" w:ascii="宋体" w:hAnsi="宋体"/>
          <w:color w:val="auto"/>
          <w:highlight w:val="none"/>
        </w:rPr>
        <w:t>4.支持文化遗产保护传承与利用</w:t>
      </w:r>
      <w:bookmarkEnd w:id="954"/>
      <w:r>
        <w:rPr>
          <w:rStyle w:val="24"/>
          <w:rFonts w:hint="eastAsia" w:ascii="宋体" w:hAnsi="宋体"/>
          <w:color w:val="auto"/>
          <w:highlight w:val="none"/>
        </w:rPr>
        <w:t>。</w:t>
      </w:r>
      <w:bookmarkEnd w:id="955"/>
      <w:bookmarkEnd w:id="956"/>
      <w:bookmarkEnd w:id="957"/>
      <w:bookmarkEnd w:id="958"/>
      <w:r>
        <w:rPr>
          <w:rFonts w:hint="eastAsia" w:ascii="宋体" w:hAnsi="宋体"/>
          <w:color w:val="auto"/>
          <w:highlight w:val="none"/>
        </w:rPr>
        <w:t>支持</w:t>
      </w:r>
      <w:r>
        <w:rPr>
          <w:rFonts w:ascii="宋体" w:hAnsi="宋体"/>
          <w:color w:val="auto"/>
          <w:highlight w:val="none"/>
        </w:rPr>
        <w:t>文物保护利用和文化遗产保护传承</w:t>
      </w:r>
      <w:r>
        <w:rPr>
          <w:rFonts w:hint="eastAsia" w:ascii="宋体" w:hAnsi="宋体"/>
          <w:color w:val="auto"/>
          <w:highlight w:val="none"/>
        </w:rPr>
        <w:t>，持续推进“吉林印记”历史文化传承与保护工程、革命文物保护和利用等工程，有效提升历史文化传承与保护能力。支持非物质文化遗产系统性保护，促进传统工艺振兴、戏曲保护传承、文化生态保护区建设，加强代表性传承人队伍建设。</w:t>
      </w:r>
    </w:p>
    <w:p>
      <w:pPr>
        <w:ind w:firstLine="643"/>
        <w:rPr>
          <w:rFonts w:ascii="宋体" w:hAnsi="宋体"/>
          <w:color w:val="auto"/>
          <w:highlight w:val="none"/>
        </w:rPr>
      </w:pPr>
      <w:bookmarkStart w:id="959" w:name="_Toc2012"/>
      <w:bookmarkStart w:id="960" w:name="_Toc28020"/>
      <w:bookmarkStart w:id="961" w:name="_Toc8902"/>
      <w:bookmarkStart w:id="962" w:name="_Toc27183"/>
      <w:bookmarkStart w:id="963" w:name="_Toc23586"/>
      <w:r>
        <w:rPr>
          <w:rStyle w:val="24"/>
          <w:rFonts w:hint="eastAsia" w:ascii="宋体" w:hAnsi="宋体"/>
          <w:color w:val="auto"/>
          <w:highlight w:val="none"/>
        </w:rPr>
        <w:t>5.支持体育事业发展</w:t>
      </w:r>
      <w:bookmarkEnd w:id="959"/>
      <w:r>
        <w:rPr>
          <w:rStyle w:val="24"/>
          <w:rFonts w:hint="eastAsia" w:ascii="宋体" w:hAnsi="宋体"/>
          <w:color w:val="auto"/>
          <w:highlight w:val="none"/>
        </w:rPr>
        <w:t>。</w:t>
      </w:r>
      <w:bookmarkEnd w:id="960"/>
      <w:bookmarkEnd w:id="961"/>
      <w:bookmarkEnd w:id="962"/>
      <w:bookmarkEnd w:id="963"/>
      <w:r>
        <w:rPr>
          <w:rFonts w:hint="eastAsia" w:ascii="宋体" w:hAnsi="宋体"/>
          <w:color w:val="auto"/>
          <w:highlight w:val="none"/>
          <w:lang w:eastAsia="zh-CN"/>
        </w:rPr>
        <w:t>统筹</w:t>
      </w:r>
      <w:r>
        <w:rPr>
          <w:rFonts w:hint="eastAsia" w:ascii="宋体" w:hAnsi="宋体"/>
          <w:color w:val="auto"/>
          <w:highlight w:val="none"/>
        </w:rPr>
        <w:t>一般</w:t>
      </w:r>
      <w:r>
        <w:rPr>
          <w:rFonts w:hint="eastAsia" w:ascii="宋体" w:hAnsi="宋体"/>
          <w:color w:val="auto"/>
          <w:highlight w:val="none"/>
          <w:lang w:eastAsia="zh-CN"/>
        </w:rPr>
        <w:t>公共</w:t>
      </w:r>
      <w:r>
        <w:rPr>
          <w:rFonts w:hint="eastAsia" w:ascii="宋体" w:hAnsi="宋体"/>
          <w:color w:val="auto"/>
          <w:highlight w:val="none"/>
        </w:rPr>
        <w:t>预算和政府性基金</w:t>
      </w:r>
      <w:r>
        <w:rPr>
          <w:rFonts w:hint="eastAsia" w:ascii="宋体" w:hAnsi="宋体"/>
          <w:color w:val="auto"/>
          <w:highlight w:val="none"/>
          <w:lang w:eastAsia="zh-CN"/>
        </w:rPr>
        <w:t>预算等渠道</w:t>
      </w:r>
      <w:r>
        <w:rPr>
          <w:rFonts w:hint="eastAsia" w:ascii="宋体" w:hAnsi="宋体"/>
          <w:color w:val="auto"/>
          <w:highlight w:val="none"/>
        </w:rPr>
        <w:t>，支持体育强省建设。支持开展全民健身活动，落实公共体育场馆向社会免费或低收费开放补助政策，支持改善公共体育场地和训练比赛场地设施和条件。支持参加国内国际赛事活动，提升竞技体育综合实力，全力备战2022年北京冬奥会。营造良好政策环境，促进体育消费和体育产业加快发展。</w:t>
      </w:r>
    </w:p>
    <w:p>
      <w:pPr>
        <w:pStyle w:val="5"/>
        <w:rPr>
          <w:rFonts w:ascii="宋体" w:hAnsi="宋体"/>
          <w:color w:val="auto"/>
          <w:highlight w:val="none"/>
        </w:rPr>
      </w:pPr>
      <w:bookmarkStart w:id="964" w:name="_Toc21943"/>
      <w:bookmarkStart w:id="965" w:name="_Toc19484"/>
      <w:bookmarkStart w:id="966" w:name="_Toc2605"/>
      <w:bookmarkStart w:id="967" w:name="_Toc26286"/>
      <w:bookmarkStart w:id="968" w:name="_Toc17165"/>
      <w:bookmarkStart w:id="969" w:name="_Toc9245"/>
      <w:r>
        <w:rPr>
          <w:rFonts w:hint="eastAsia" w:ascii="宋体" w:hAnsi="宋体"/>
          <w:color w:val="auto"/>
          <w:highlight w:val="none"/>
        </w:rPr>
        <w:t>（三）支持文化产业发展</w:t>
      </w:r>
      <w:bookmarkEnd w:id="964"/>
      <w:bookmarkEnd w:id="965"/>
      <w:bookmarkEnd w:id="966"/>
      <w:bookmarkEnd w:id="967"/>
      <w:bookmarkEnd w:id="968"/>
      <w:bookmarkEnd w:id="969"/>
    </w:p>
    <w:p>
      <w:pPr>
        <w:ind w:firstLine="643"/>
        <w:rPr>
          <w:rFonts w:ascii="宋体" w:hAnsi="宋体"/>
          <w:color w:val="auto"/>
          <w:highlight w:val="none"/>
        </w:rPr>
      </w:pPr>
      <w:bookmarkStart w:id="970" w:name="_Toc16241"/>
      <w:bookmarkStart w:id="971" w:name="_Toc24940"/>
      <w:bookmarkStart w:id="972" w:name="_Toc9081"/>
      <w:bookmarkStart w:id="973" w:name="_Toc32042"/>
      <w:bookmarkStart w:id="974" w:name="_Toc5287"/>
      <w:r>
        <w:rPr>
          <w:rStyle w:val="24"/>
          <w:rFonts w:hint="eastAsia" w:ascii="宋体" w:hAnsi="宋体"/>
          <w:color w:val="auto"/>
          <w:highlight w:val="none"/>
        </w:rPr>
        <w:t>1.支持深化文化体制改革</w:t>
      </w:r>
      <w:bookmarkEnd w:id="970"/>
      <w:r>
        <w:rPr>
          <w:rStyle w:val="24"/>
          <w:rFonts w:hint="eastAsia" w:ascii="宋体" w:hAnsi="宋体"/>
          <w:color w:val="auto"/>
          <w:highlight w:val="none"/>
        </w:rPr>
        <w:t>。</w:t>
      </w:r>
      <w:bookmarkEnd w:id="971"/>
      <w:bookmarkEnd w:id="972"/>
      <w:bookmarkEnd w:id="973"/>
      <w:bookmarkEnd w:id="974"/>
      <w:r>
        <w:rPr>
          <w:rFonts w:hint="eastAsia" w:ascii="宋体" w:hAnsi="宋体"/>
          <w:color w:val="auto"/>
          <w:highlight w:val="none"/>
        </w:rPr>
        <w:t>支持深入推进省级文化企业转型升级，优化资源配置，切实发挥对文化产业高质量发展的引领支撑作用。</w:t>
      </w:r>
      <w:r>
        <w:rPr>
          <w:rFonts w:hint="eastAsia" w:ascii="宋体" w:hAnsi="宋体"/>
          <w:color w:val="auto"/>
          <w:highlight w:val="none"/>
          <w:lang w:eastAsia="zh-CN"/>
        </w:rPr>
        <w:t>坚持社会效益为先、与经济效益相统一，推动国有文化企业深化改革和加快发展，完善国有文化资产管理体制机制。</w:t>
      </w:r>
      <w:r>
        <w:rPr>
          <w:rFonts w:hint="eastAsia" w:ascii="宋体" w:hAnsi="宋体"/>
          <w:color w:val="auto"/>
          <w:highlight w:val="none"/>
        </w:rPr>
        <w:t>健全政府购买服务机制，支持文艺院团提升演出能力建设，深化国有文艺院团改革。</w:t>
      </w:r>
    </w:p>
    <w:p>
      <w:pPr>
        <w:ind w:firstLine="643"/>
        <w:rPr>
          <w:rFonts w:ascii="宋体" w:hAnsi="宋体"/>
          <w:color w:val="auto"/>
          <w:highlight w:val="none"/>
        </w:rPr>
      </w:pPr>
      <w:bookmarkStart w:id="975" w:name="_Toc1133"/>
      <w:bookmarkStart w:id="976" w:name="_Toc28212"/>
      <w:bookmarkStart w:id="977" w:name="_Toc21714"/>
      <w:bookmarkStart w:id="978" w:name="_Toc30843"/>
      <w:bookmarkStart w:id="979" w:name="_Toc25212"/>
      <w:r>
        <w:rPr>
          <w:rStyle w:val="24"/>
          <w:rFonts w:hint="eastAsia" w:ascii="宋体" w:hAnsi="宋体"/>
          <w:color w:val="auto"/>
          <w:highlight w:val="none"/>
        </w:rPr>
        <w:t>2.推动文化和相关产业融合发展</w:t>
      </w:r>
      <w:bookmarkEnd w:id="975"/>
      <w:r>
        <w:rPr>
          <w:rStyle w:val="24"/>
          <w:rFonts w:hint="eastAsia" w:ascii="宋体" w:hAnsi="宋体"/>
          <w:color w:val="auto"/>
          <w:highlight w:val="none"/>
        </w:rPr>
        <w:t>。</w:t>
      </w:r>
      <w:bookmarkEnd w:id="976"/>
      <w:bookmarkEnd w:id="977"/>
      <w:bookmarkEnd w:id="978"/>
      <w:bookmarkEnd w:id="979"/>
      <w:r>
        <w:rPr>
          <w:rFonts w:hint="eastAsia" w:ascii="宋体" w:hAnsi="宋体"/>
          <w:color w:val="auto"/>
          <w:highlight w:val="none"/>
        </w:rPr>
        <w:t>支持文化和旅游融合发展，发挥省级文化专项和旅游专项资金</w:t>
      </w:r>
      <w:r>
        <w:rPr>
          <w:rFonts w:hint="eastAsia"/>
          <w:color w:val="auto"/>
          <w:highlight w:val="none"/>
          <w:lang w:eastAsia="zh-CN"/>
        </w:rPr>
        <w:t>效益。</w:t>
      </w:r>
      <w:r>
        <w:rPr>
          <w:rFonts w:hint="eastAsia" w:ascii="宋体" w:hAnsi="宋体"/>
          <w:color w:val="auto"/>
          <w:highlight w:val="none"/>
        </w:rPr>
        <w:t>支持和引导新型文化旅游业态健康发展，支持优质和重点文化旅游项目开发建设，支持开展非遗节、消夏节、雪博会等省委省政府确定的宣传推广等主题活动，支持鼓励引导居民文化旅游消费，持续促进</w:t>
      </w:r>
      <w:r>
        <w:rPr>
          <w:rFonts w:hint="eastAsia" w:ascii="宋体" w:hAnsi="宋体"/>
          <w:color w:val="auto"/>
          <w:highlight w:val="none"/>
          <w:lang w:eastAsia="zh-CN"/>
        </w:rPr>
        <w:t>全</w:t>
      </w:r>
      <w:r>
        <w:rPr>
          <w:rFonts w:hint="eastAsia" w:ascii="宋体" w:hAnsi="宋体"/>
          <w:color w:val="auto"/>
          <w:highlight w:val="none"/>
        </w:rPr>
        <w:t>省文化旅游产业繁荣发展。</w:t>
      </w:r>
    </w:p>
    <w:p>
      <w:pPr>
        <w:pStyle w:val="4"/>
        <w:ind w:firstLine="640" w:firstLineChars="200"/>
        <w:rPr>
          <w:rFonts w:ascii="宋体" w:hAnsi="宋体"/>
          <w:color w:val="auto"/>
          <w:highlight w:val="none"/>
        </w:rPr>
      </w:pPr>
      <w:bookmarkStart w:id="980" w:name="_Toc31438"/>
      <w:bookmarkStart w:id="981" w:name="_Toc2515"/>
      <w:bookmarkStart w:id="982" w:name="_Toc9770"/>
      <w:bookmarkStart w:id="983" w:name="_Toc25129"/>
      <w:bookmarkStart w:id="984" w:name="_Toc28676"/>
      <w:bookmarkStart w:id="985" w:name="_Toc13836"/>
      <w:r>
        <w:rPr>
          <w:rFonts w:hint="eastAsia" w:ascii="宋体" w:hAnsi="宋体"/>
          <w:color w:val="auto"/>
          <w:highlight w:val="none"/>
        </w:rPr>
        <w:t>十六、不断完善推动绿色发展支持机制</w:t>
      </w:r>
      <w:bookmarkEnd w:id="980"/>
      <w:bookmarkEnd w:id="981"/>
      <w:bookmarkEnd w:id="982"/>
      <w:bookmarkEnd w:id="983"/>
      <w:bookmarkEnd w:id="984"/>
      <w:bookmarkEnd w:id="985"/>
    </w:p>
    <w:p>
      <w:pPr>
        <w:rPr>
          <w:rFonts w:ascii="宋体" w:hAnsi="宋体"/>
          <w:color w:val="auto"/>
          <w:highlight w:val="none"/>
        </w:rPr>
      </w:pPr>
      <w:bookmarkStart w:id="986" w:name="_Toc11422"/>
      <w:r>
        <w:rPr>
          <w:rFonts w:hint="eastAsia" w:ascii="宋体" w:hAnsi="宋体"/>
          <w:color w:val="auto"/>
          <w:highlight w:val="none"/>
        </w:rPr>
        <w:t>坚定不移走生态优先、绿色发展道路，支持推进生产生活绿色化、资源利用高效化、生态保护系统化、环境治理精细化、治理能力现代化，促进经济社会发展全面绿色转型，推动实现碳达峰、碳中和，打造美丽中国的“吉林样板”。</w:t>
      </w:r>
    </w:p>
    <w:p>
      <w:pPr>
        <w:pStyle w:val="5"/>
        <w:rPr>
          <w:rFonts w:ascii="宋体" w:hAnsi="宋体"/>
          <w:b/>
          <w:color w:val="auto"/>
          <w:highlight w:val="none"/>
        </w:rPr>
      </w:pPr>
      <w:bookmarkStart w:id="987" w:name="_Toc25991"/>
      <w:bookmarkStart w:id="988" w:name="_Toc30751"/>
      <w:bookmarkStart w:id="989" w:name="_Toc7913"/>
      <w:bookmarkStart w:id="990" w:name="_Toc2671"/>
      <w:bookmarkStart w:id="991" w:name="_Toc30071"/>
      <w:r>
        <w:rPr>
          <w:rFonts w:hint="eastAsia" w:ascii="宋体" w:hAnsi="宋体"/>
          <w:color w:val="auto"/>
          <w:highlight w:val="none"/>
        </w:rPr>
        <w:t>（一）健全绿色发展支持机制</w:t>
      </w:r>
      <w:bookmarkEnd w:id="986"/>
      <w:bookmarkEnd w:id="987"/>
      <w:bookmarkEnd w:id="988"/>
      <w:bookmarkEnd w:id="989"/>
      <w:bookmarkEnd w:id="990"/>
      <w:bookmarkEnd w:id="991"/>
    </w:p>
    <w:p>
      <w:pPr>
        <w:ind w:firstLine="643"/>
        <w:rPr>
          <w:rFonts w:ascii="宋体" w:hAnsi="宋体"/>
          <w:color w:val="auto"/>
          <w:highlight w:val="none"/>
        </w:rPr>
      </w:pPr>
      <w:bookmarkStart w:id="992" w:name="_Toc27013"/>
      <w:bookmarkStart w:id="993" w:name="_Toc1143"/>
      <w:bookmarkStart w:id="994" w:name="_Toc22403"/>
      <w:bookmarkStart w:id="995" w:name="_Toc14622"/>
      <w:bookmarkStart w:id="996" w:name="_Toc24859"/>
      <w:r>
        <w:rPr>
          <w:rStyle w:val="24"/>
          <w:rFonts w:hint="eastAsia" w:ascii="宋体" w:hAnsi="宋体"/>
          <w:color w:val="auto"/>
          <w:highlight w:val="none"/>
        </w:rPr>
        <w:t>1.建立多元化生态环保资金投入机制</w:t>
      </w:r>
      <w:bookmarkEnd w:id="992"/>
      <w:r>
        <w:rPr>
          <w:rStyle w:val="24"/>
          <w:rFonts w:hint="eastAsia" w:ascii="宋体" w:hAnsi="宋体"/>
          <w:color w:val="auto"/>
          <w:highlight w:val="none"/>
        </w:rPr>
        <w:t>。</w:t>
      </w:r>
      <w:bookmarkEnd w:id="993"/>
      <w:bookmarkEnd w:id="994"/>
      <w:bookmarkEnd w:id="995"/>
      <w:bookmarkEnd w:id="996"/>
      <w:r>
        <w:rPr>
          <w:rFonts w:hint="eastAsia" w:ascii="宋体" w:hAnsi="宋体"/>
          <w:color w:val="auto"/>
          <w:highlight w:val="none"/>
        </w:rPr>
        <w:t>坚持把生态文明建设作为公共财政支出的重点，积极构建政府支持引导、市场主体多元化投入的稳定资金保障机制。通过发行地方政府债券、规范运用PPP模式、设立绿色发展基金等方式拓宽资金来源渠道，破解污染防治、生态修复、环境基础设施工程资金短缺问题。支持提高生态环境领域治理能力现代化水平，加强生态环境部门监督和执法工作保障力度，督促市场主体加大投入，切实履行治污主体责任。</w:t>
      </w:r>
    </w:p>
    <w:p>
      <w:pPr>
        <w:ind w:firstLine="643"/>
        <w:rPr>
          <w:rFonts w:ascii="宋体" w:hAnsi="宋体"/>
          <w:color w:val="auto"/>
          <w:highlight w:val="none"/>
        </w:rPr>
      </w:pPr>
      <w:bookmarkStart w:id="997" w:name="_Toc18861"/>
      <w:bookmarkStart w:id="998" w:name="_Toc18488"/>
      <w:bookmarkStart w:id="999" w:name="_Toc18849"/>
      <w:bookmarkStart w:id="1000" w:name="_Toc28731"/>
      <w:bookmarkStart w:id="1001" w:name="_Toc30385"/>
      <w:r>
        <w:rPr>
          <w:rStyle w:val="24"/>
          <w:rFonts w:hint="eastAsia" w:ascii="宋体" w:hAnsi="宋体"/>
          <w:color w:val="auto"/>
          <w:highlight w:val="none"/>
        </w:rPr>
        <w:t>2.健全生态保护补偿机制。</w:t>
      </w:r>
      <w:bookmarkEnd w:id="997"/>
      <w:bookmarkEnd w:id="998"/>
      <w:bookmarkEnd w:id="999"/>
      <w:bookmarkEnd w:id="1000"/>
      <w:bookmarkEnd w:id="1001"/>
      <w:r>
        <w:rPr>
          <w:rFonts w:hint="eastAsia" w:ascii="宋体" w:hAnsi="宋体"/>
          <w:color w:val="auto"/>
          <w:highlight w:val="none"/>
        </w:rPr>
        <w:t>健全完善</w:t>
      </w:r>
      <w:r>
        <w:rPr>
          <w:rFonts w:hint="eastAsia"/>
          <w:color w:val="auto"/>
          <w:highlight w:val="none"/>
          <w:lang w:eastAsia="zh-CN"/>
        </w:rPr>
        <w:t>省内</w:t>
      </w:r>
      <w:r>
        <w:rPr>
          <w:rFonts w:hint="eastAsia" w:ascii="宋体" w:hAnsi="宋体"/>
          <w:color w:val="auto"/>
          <w:highlight w:val="none"/>
        </w:rPr>
        <w:t>全流域水环境区域补偿机制，</w:t>
      </w:r>
      <w:r>
        <w:rPr>
          <w:rFonts w:hint="eastAsia"/>
          <w:color w:val="auto"/>
          <w:highlight w:val="none"/>
          <w:lang w:eastAsia="zh-CN"/>
        </w:rPr>
        <w:t>探索建立</w:t>
      </w:r>
      <w:r>
        <w:rPr>
          <w:rFonts w:hint="eastAsia" w:ascii="宋体" w:hAnsi="宋体"/>
          <w:color w:val="auto"/>
          <w:highlight w:val="none"/>
        </w:rPr>
        <w:t>省际间流域上下游生态补偿机制，森林、草原、湿地、重点生态功能区纵向生态补偿机制。巩固重点流域横向生态补偿试点成果，支持开展保护区生态效益补偿试点。推动跨区域重点流域横向生态补偿。健全完善自然资源有偿使用制度，支持建立自然资源产权制度。支持推进排污权、用能权、用水权、碳排放权市场化交易，探索构建资源环境权益交易机制。探索建立大气污染防治生态补偿机制。</w:t>
      </w:r>
    </w:p>
    <w:p>
      <w:pPr>
        <w:pStyle w:val="5"/>
        <w:rPr>
          <w:rFonts w:ascii="宋体" w:hAnsi="宋体"/>
          <w:color w:val="auto"/>
          <w:highlight w:val="none"/>
        </w:rPr>
      </w:pPr>
      <w:bookmarkStart w:id="1002" w:name="_Toc11254"/>
      <w:bookmarkStart w:id="1003" w:name="_Toc21041"/>
      <w:bookmarkStart w:id="1004" w:name="_Toc11135"/>
      <w:bookmarkStart w:id="1005" w:name="_Toc5212"/>
      <w:bookmarkStart w:id="1006" w:name="_Toc1771"/>
      <w:bookmarkStart w:id="1007" w:name="_Toc5744"/>
      <w:r>
        <w:rPr>
          <w:rFonts w:hint="eastAsia" w:ascii="宋体" w:hAnsi="宋体"/>
          <w:color w:val="auto"/>
          <w:highlight w:val="none"/>
        </w:rPr>
        <w:t>（二）支持加快推动绿色低碳发展</w:t>
      </w:r>
      <w:bookmarkEnd w:id="1002"/>
      <w:bookmarkEnd w:id="1003"/>
      <w:bookmarkEnd w:id="1004"/>
      <w:bookmarkEnd w:id="1005"/>
      <w:bookmarkEnd w:id="1006"/>
      <w:bookmarkEnd w:id="1007"/>
    </w:p>
    <w:p>
      <w:pPr>
        <w:ind w:firstLine="643"/>
        <w:rPr>
          <w:rFonts w:ascii="宋体" w:hAnsi="宋体"/>
          <w:color w:val="auto"/>
          <w:highlight w:val="none"/>
        </w:rPr>
      </w:pPr>
      <w:bookmarkStart w:id="1008" w:name="_Toc2709"/>
      <w:bookmarkStart w:id="1009" w:name="_Toc24857"/>
      <w:bookmarkStart w:id="1010" w:name="_Toc17334"/>
      <w:bookmarkStart w:id="1011" w:name="_Toc21185"/>
      <w:bookmarkStart w:id="1012" w:name="_Toc25980"/>
      <w:r>
        <w:rPr>
          <w:rStyle w:val="24"/>
          <w:rFonts w:hint="eastAsia" w:ascii="宋体" w:hAnsi="宋体"/>
          <w:color w:val="auto"/>
          <w:highlight w:val="none"/>
        </w:rPr>
        <w:t>1.引导环保产业发展。</w:t>
      </w:r>
      <w:bookmarkEnd w:id="1008"/>
      <w:bookmarkEnd w:id="1009"/>
      <w:bookmarkEnd w:id="1010"/>
      <w:bookmarkEnd w:id="1011"/>
      <w:bookmarkEnd w:id="1012"/>
      <w:r>
        <w:rPr>
          <w:rFonts w:hint="eastAsia" w:ascii="宋体" w:hAnsi="宋体"/>
          <w:color w:val="auto"/>
          <w:highlight w:val="none"/>
        </w:rPr>
        <w:t>充分发挥财税政策和产业投资引导基金带动作用，吸引社会资本，完善资源环境领域多元化市场投入机制。推动发展绿色金融，通过市场化手段解决资源环境领域行业融资难的问题。持续加大资源环境领域科研投入力度，鼓励产学研联合开展关键性技术研究，支持开展环境污染治理关键技术的研发和转化，支持开发新能源高效利用及能源节约技术攻关，为实现“碳达峰”“碳中和”战略目标提供技术支撑。</w:t>
      </w:r>
    </w:p>
    <w:p>
      <w:pPr>
        <w:ind w:firstLine="643"/>
        <w:rPr>
          <w:rFonts w:ascii="宋体" w:hAnsi="宋体"/>
          <w:color w:val="auto"/>
          <w:highlight w:val="none"/>
        </w:rPr>
      </w:pPr>
      <w:bookmarkStart w:id="1013" w:name="_Toc29191"/>
      <w:bookmarkStart w:id="1014" w:name="_Toc8394"/>
      <w:bookmarkStart w:id="1015" w:name="_Toc5562"/>
      <w:bookmarkStart w:id="1016" w:name="_Toc16810"/>
      <w:bookmarkStart w:id="1017" w:name="_Toc21882"/>
      <w:r>
        <w:rPr>
          <w:rStyle w:val="24"/>
          <w:rFonts w:hint="eastAsia" w:ascii="宋体" w:hAnsi="宋体"/>
          <w:color w:val="auto"/>
          <w:highlight w:val="none"/>
        </w:rPr>
        <w:t>2.支持发展绿色建筑。</w:t>
      </w:r>
      <w:bookmarkEnd w:id="1013"/>
      <w:bookmarkEnd w:id="1014"/>
      <w:bookmarkEnd w:id="1015"/>
      <w:bookmarkEnd w:id="1016"/>
      <w:bookmarkEnd w:id="1017"/>
      <w:r>
        <w:rPr>
          <w:rFonts w:hint="eastAsia" w:ascii="宋体" w:hAnsi="宋体"/>
          <w:color w:val="auto"/>
          <w:highlight w:val="none"/>
        </w:rPr>
        <w:t>研究完善财政支持引导、市场主体多元化投入的资金保障机制，会同省级行业主管部门将可再生能源建筑应用项目、装配式建筑项目、超低能耗建筑等项目作为战略点予以着重引导，在保证本省建筑使用功能和室内热环境质量的前提下，达到节约资源和保护环境的效果。</w:t>
      </w:r>
    </w:p>
    <w:p>
      <w:pPr>
        <w:pStyle w:val="5"/>
        <w:rPr>
          <w:rFonts w:ascii="宋体" w:hAnsi="宋体"/>
          <w:color w:val="auto"/>
          <w:highlight w:val="none"/>
        </w:rPr>
      </w:pPr>
      <w:bookmarkStart w:id="1018" w:name="_Toc11053"/>
      <w:bookmarkStart w:id="1019" w:name="_Toc9070"/>
      <w:bookmarkStart w:id="1020" w:name="_Toc4964"/>
      <w:bookmarkStart w:id="1021" w:name="_Toc14164"/>
      <w:bookmarkStart w:id="1022" w:name="_Toc30236"/>
      <w:bookmarkStart w:id="1023" w:name="_Toc1419"/>
      <w:r>
        <w:rPr>
          <w:rFonts w:hint="eastAsia" w:ascii="宋体" w:hAnsi="宋体"/>
          <w:color w:val="auto"/>
          <w:highlight w:val="none"/>
        </w:rPr>
        <w:t>（三）推动持续改善环境质量</w:t>
      </w:r>
      <w:bookmarkEnd w:id="1018"/>
      <w:bookmarkEnd w:id="1019"/>
      <w:bookmarkEnd w:id="1020"/>
      <w:bookmarkEnd w:id="1021"/>
      <w:bookmarkEnd w:id="1022"/>
      <w:bookmarkEnd w:id="1023"/>
    </w:p>
    <w:p>
      <w:pPr>
        <w:ind w:firstLine="643"/>
        <w:rPr>
          <w:rFonts w:ascii="宋体" w:hAnsi="宋体"/>
          <w:color w:val="auto"/>
          <w:highlight w:val="none"/>
        </w:rPr>
      </w:pPr>
      <w:bookmarkStart w:id="1024" w:name="_Toc17137"/>
      <w:bookmarkStart w:id="1025" w:name="_Toc11985"/>
      <w:bookmarkStart w:id="1026" w:name="_Toc18675"/>
      <w:bookmarkStart w:id="1027" w:name="_Toc3346"/>
      <w:bookmarkStart w:id="1028" w:name="_Toc18257"/>
      <w:r>
        <w:rPr>
          <w:rStyle w:val="24"/>
          <w:rFonts w:hint="eastAsia" w:ascii="宋体" w:hAnsi="宋体"/>
          <w:color w:val="auto"/>
          <w:highlight w:val="none"/>
        </w:rPr>
        <w:t>1.支持大气污染防治。</w:t>
      </w:r>
      <w:bookmarkEnd w:id="1024"/>
      <w:bookmarkEnd w:id="1025"/>
      <w:bookmarkEnd w:id="1026"/>
      <w:bookmarkEnd w:id="1027"/>
      <w:bookmarkEnd w:id="1028"/>
      <w:r>
        <w:rPr>
          <w:rFonts w:hint="eastAsia" w:ascii="宋体" w:hAnsi="宋体"/>
          <w:color w:val="auto"/>
          <w:highlight w:val="none"/>
        </w:rPr>
        <w:t>支持开展北方地区冬季清洁取暖改造。支持钢铁、水泥等工业企业开展超低排放改造。支持治理移动源和城市扬尘污染，支持加快推进淘汰国三及以下排放标准营运柴油货车淘汰工作。深入推进秸杆禁烧管控，支持建立完善秸秆全量化处置长效机制。</w:t>
      </w:r>
    </w:p>
    <w:p>
      <w:pPr>
        <w:ind w:firstLine="643"/>
        <w:rPr>
          <w:rFonts w:ascii="宋体" w:hAnsi="宋体"/>
          <w:color w:val="auto"/>
          <w:highlight w:val="none"/>
        </w:rPr>
      </w:pPr>
      <w:bookmarkStart w:id="1029" w:name="_Toc18551"/>
      <w:bookmarkStart w:id="1030" w:name="_Toc16275"/>
      <w:bookmarkStart w:id="1031" w:name="_Toc11733"/>
      <w:bookmarkStart w:id="1032" w:name="_Toc27540"/>
      <w:bookmarkStart w:id="1033" w:name="_Toc32235"/>
      <w:r>
        <w:rPr>
          <w:rStyle w:val="24"/>
          <w:rFonts w:hint="eastAsia" w:ascii="宋体" w:hAnsi="宋体"/>
          <w:color w:val="auto"/>
          <w:highlight w:val="none"/>
        </w:rPr>
        <w:t>2.支持水污染防治。</w:t>
      </w:r>
      <w:bookmarkEnd w:id="1029"/>
      <w:bookmarkEnd w:id="1030"/>
      <w:bookmarkEnd w:id="1031"/>
      <w:bookmarkEnd w:id="1032"/>
      <w:bookmarkEnd w:id="1033"/>
      <w:r>
        <w:rPr>
          <w:rFonts w:hint="eastAsia" w:ascii="宋体" w:hAnsi="宋体"/>
          <w:color w:val="auto"/>
          <w:highlight w:val="none"/>
        </w:rPr>
        <w:t>支持推进松花江、东辽河、饮马河、查干湖、松花湖等重点流域、湖泊水污染治理，支持四平、辽源打造北方缺水城市水污染治理典范。支持保障饮用水水源地环境安全。支持开展地下水环境保护及污染修复等工作。推动加快城镇生活污水处理设施建设，推进城镇污水管理全覆盖。</w:t>
      </w:r>
    </w:p>
    <w:p>
      <w:pPr>
        <w:ind w:firstLine="643"/>
        <w:rPr>
          <w:rFonts w:ascii="宋体" w:hAnsi="宋体"/>
          <w:color w:val="auto"/>
          <w:highlight w:val="none"/>
        </w:rPr>
      </w:pPr>
      <w:bookmarkStart w:id="1034" w:name="_Toc31546"/>
      <w:bookmarkStart w:id="1035" w:name="_Toc27901"/>
      <w:bookmarkStart w:id="1036" w:name="_Toc25497"/>
      <w:bookmarkStart w:id="1037" w:name="_Toc21253"/>
      <w:bookmarkStart w:id="1038" w:name="_Toc20011"/>
      <w:r>
        <w:rPr>
          <w:rStyle w:val="24"/>
          <w:rFonts w:hint="eastAsia" w:ascii="宋体" w:hAnsi="宋体"/>
          <w:color w:val="auto"/>
          <w:highlight w:val="none"/>
        </w:rPr>
        <w:t>3.支持土壤污染防治。</w:t>
      </w:r>
      <w:bookmarkEnd w:id="1034"/>
      <w:bookmarkEnd w:id="1035"/>
      <w:bookmarkEnd w:id="1036"/>
      <w:bookmarkEnd w:id="1037"/>
      <w:bookmarkEnd w:id="1038"/>
      <w:r>
        <w:rPr>
          <w:rFonts w:hint="eastAsia" w:ascii="宋体" w:hAnsi="宋体"/>
          <w:color w:val="auto"/>
          <w:highlight w:val="none"/>
        </w:rPr>
        <w:t>引导转变土壤污染防治工作思路，突出土壤污染风险管控要求，审慎开展土壤污染修复治理。充分利用土壤污染详查成果，在保障粮食安全前提下，支持实施受污染耕地安全利用。支持强化农业面源污染防治，加强畜禽废弃物资源化利用。支持强化白色污染治理，推动加强危险废物收集处理。</w:t>
      </w:r>
    </w:p>
    <w:p>
      <w:pPr>
        <w:pStyle w:val="5"/>
        <w:rPr>
          <w:rFonts w:ascii="宋体" w:hAnsi="宋体"/>
          <w:color w:val="auto"/>
          <w:highlight w:val="none"/>
        </w:rPr>
      </w:pPr>
      <w:bookmarkStart w:id="1039" w:name="_Toc29419"/>
      <w:bookmarkStart w:id="1040" w:name="_Toc6505"/>
      <w:bookmarkStart w:id="1041" w:name="_Toc27469"/>
      <w:bookmarkStart w:id="1042" w:name="_Toc17591"/>
      <w:bookmarkStart w:id="1043" w:name="_Toc1996"/>
      <w:bookmarkStart w:id="1044" w:name="_Toc13076"/>
      <w:r>
        <w:rPr>
          <w:rFonts w:hint="eastAsia" w:ascii="宋体" w:hAnsi="宋体"/>
          <w:color w:val="auto"/>
          <w:highlight w:val="none"/>
        </w:rPr>
        <w:t>（四）支持提升生态系统质量和稳定性</w:t>
      </w:r>
      <w:bookmarkEnd w:id="1039"/>
      <w:bookmarkEnd w:id="1040"/>
      <w:bookmarkEnd w:id="1041"/>
      <w:bookmarkEnd w:id="1042"/>
      <w:bookmarkEnd w:id="1043"/>
      <w:bookmarkEnd w:id="1044"/>
    </w:p>
    <w:p>
      <w:pPr>
        <w:ind w:firstLine="643"/>
        <w:rPr>
          <w:rFonts w:ascii="宋体" w:hAnsi="宋体"/>
          <w:color w:val="auto"/>
          <w:highlight w:val="none"/>
        </w:rPr>
      </w:pPr>
      <w:bookmarkStart w:id="1045" w:name="_Toc14595"/>
      <w:bookmarkStart w:id="1046" w:name="_Toc15038"/>
      <w:bookmarkStart w:id="1047" w:name="_Toc9422"/>
      <w:bookmarkStart w:id="1048" w:name="_Toc28008"/>
      <w:bookmarkStart w:id="1049" w:name="_Toc1625"/>
      <w:r>
        <w:rPr>
          <w:rStyle w:val="24"/>
          <w:rFonts w:hint="eastAsia" w:ascii="宋体" w:hAnsi="宋体"/>
          <w:color w:val="auto"/>
          <w:highlight w:val="none"/>
        </w:rPr>
        <w:t>1.支持山水林田湖草生态保护修复</w:t>
      </w:r>
      <w:bookmarkEnd w:id="1045"/>
      <w:r>
        <w:rPr>
          <w:rStyle w:val="24"/>
          <w:rFonts w:hint="eastAsia" w:ascii="宋体" w:hAnsi="宋体"/>
          <w:color w:val="auto"/>
          <w:highlight w:val="none"/>
        </w:rPr>
        <w:t>。</w:t>
      </w:r>
      <w:bookmarkEnd w:id="1046"/>
      <w:bookmarkEnd w:id="1047"/>
      <w:bookmarkEnd w:id="1048"/>
      <w:bookmarkEnd w:id="1049"/>
      <w:r>
        <w:rPr>
          <w:rFonts w:hint="eastAsia" w:ascii="宋体" w:hAnsi="宋体"/>
          <w:color w:val="auto"/>
          <w:highlight w:val="none"/>
        </w:rPr>
        <w:t>重点支持吉林东部山区、西部草原湿地等重点生态地区开展山水林田湖草沙一体化保护和修复项目，突出对国家重大战略的生态支撑，打造山水林田湖草沙系统治理示范区。开展历史遗留废弃矿山环境修复治理、废弃工矿土地整治，改善人居环境，提高生态功能。</w:t>
      </w:r>
    </w:p>
    <w:p>
      <w:pPr>
        <w:ind w:firstLine="643"/>
        <w:rPr>
          <w:rFonts w:ascii="宋体" w:hAnsi="宋体"/>
          <w:color w:val="auto"/>
          <w:highlight w:val="none"/>
        </w:rPr>
      </w:pPr>
      <w:bookmarkStart w:id="1050" w:name="_Toc2015"/>
      <w:bookmarkStart w:id="1051" w:name="_Toc26757"/>
      <w:bookmarkStart w:id="1052" w:name="_Toc32231"/>
      <w:bookmarkStart w:id="1053" w:name="_Toc6709"/>
      <w:bookmarkStart w:id="1054" w:name="_Toc22896"/>
      <w:r>
        <w:rPr>
          <w:rStyle w:val="24"/>
          <w:rFonts w:hint="eastAsia" w:ascii="宋体" w:hAnsi="宋体"/>
          <w:color w:val="auto"/>
          <w:highlight w:val="none"/>
        </w:rPr>
        <w:t>2.支持生态系统保护修复</w:t>
      </w:r>
      <w:bookmarkEnd w:id="1050"/>
      <w:r>
        <w:rPr>
          <w:rStyle w:val="24"/>
          <w:rFonts w:hint="eastAsia" w:ascii="宋体" w:hAnsi="宋体"/>
          <w:color w:val="auto"/>
          <w:highlight w:val="none"/>
        </w:rPr>
        <w:t>。</w:t>
      </w:r>
      <w:bookmarkEnd w:id="1051"/>
      <w:bookmarkEnd w:id="1052"/>
      <w:bookmarkEnd w:id="1053"/>
      <w:bookmarkEnd w:id="1054"/>
      <w:r>
        <w:rPr>
          <w:rFonts w:hint="eastAsia" w:ascii="宋体" w:hAnsi="宋体"/>
          <w:color w:val="auto"/>
          <w:highlight w:val="none"/>
        </w:rPr>
        <w:t>支持实施十年绿美吉林生态保护修复计划。继续做好中西部农田防护林网修复完善工程，支持东辽河流域国土绿化等试点示范项目。继续支持天然林保护，加强森林资源管护培育。支持草原生态修复治理，推动构建草原保护体系建设。加强湿地保护修复，提升重要湿地生态功能。</w:t>
      </w:r>
    </w:p>
    <w:p>
      <w:pPr>
        <w:ind w:firstLine="643"/>
        <w:rPr>
          <w:rFonts w:ascii="宋体" w:hAnsi="宋体"/>
          <w:color w:val="auto"/>
          <w:highlight w:val="none"/>
        </w:rPr>
      </w:pPr>
      <w:bookmarkStart w:id="1055" w:name="_Toc15698"/>
      <w:bookmarkStart w:id="1056" w:name="_Toc22919"/>
      <w:bookmarkStart w:id="1057" w:name="_Toc7723"/>
      <w:bookmarkStart w:id="1058" w:name="_Toc6504"/>
      <w:bookmarkStart w:id="1059" w:name="_Toc870"/>
      <w:r>
        <w:rPr>
          <w:rStyle w:val="24"/>
          <w:rFonts w:hint="eastAsia" w:ascii="宋体" w:hAnsi="宋体"/>
          <w:color w:val="auto"/>
          <w:highlight w:val="none"/>
        </w:rPr>
        <w:t>3.支持构建自然保护地体系建设</w:t>
      </w:r>
      <w:bookmarkEnd w:id="1055"/>
      <w:r>
        <w:rPr>
          <w:rStyle w:val="24"/>
          <w:rFonts w:hint="eastAsia" w:ascii="宋体" w:hAnsi="宋体"/>
          <w:color w:val="auto"/>
          <w:highlight w:val="none"/>
        </w:rPr>
        <w:t>。</w:t>
      </w:r>
      <w:bookmarkEnd w:id="1056"/>
      <w:bookmarkEnd w:id="1057"/>
      <w:bookmarkEnd w:id="1058"/>
      <w:bookmarkEnd w:id="1059"/>
      <w:r>
        <w:rPr>
          <w:rFonts w:hint="eastAsia" w:ascii="宋体" w:hAnsi="宋体"/>
          <w:color w:val="auto"/>
          <w:highlight w:val="none"/>
        </w:rPr>
        <w:t>支持以东北虎豹国家公园为主体、自然保护地为基础、自然公园为补充的自然保护地体系建设。推动实施全省自然保护地整合优化，支持推进保护地勘界及自然保护区立标。积极支持探索生态保护与发展生态旅游相得益彰新途径，系统性保护生物多样性，促进提升资源保护水平。</w:t>
      </w:r>
    </w:p>
    <w:p>
      <w:pPr>
        <w:pStyle w:val="4"/>
        <w:ind w:firstLine="640" w:firstLineChars="200"/>
        <w:rPr>
          <w:rFonts w:ascii="宋体" w:hAnsi="宋体"/>
          <w:color w:val="auto"/>
          <w:highlight w:val="none"/>
        </w:rPr>
      </w:pPr>
      <w:bookmarkStart w:id="1060" w:name="_Toc16121"/>
      <w:bookmarkStart w:id="1061" w:name="_Toc25392"/>
      <w:bookmarkStart w:id="1062" w:name="_Toc32396"/>
      <w:bookmarkStart w:id="1063" w:name="_Toc21776"/>
      <w:bookmarkStart w:id="1064" w:name="_Toc16891"/>
      <w:bookmarkStart w:id="1065" w:name="_Toc10013"/>
      <w:r>
        <w:rPr>
          <w:rFonts w:hint="eastAsia" w:ascii="宋体" w:hAnsi="宋体"/>
          <w:color w:val="auto"/>
          <w:highlight w:val="none"/>
        </w:rPr>
        <w:t>十七、持续推动改善人民生活品质</w:t>
      </w:r>
      <w:bookmarkEnd w:id="1060"/>
      <w:bookmarkEnd w:id="1061"/>
      <w:bookmarkEnd w:id="1062"/>
      <w:bookmarkEnd w:id="1063"/>
      <w:bookmarkEnd w:id="1064"/>
      <w:bookmarkEnd w:id="1065"/>
    </w:p>
    <w:p>
      <w:pPr>
        <w:rPr>
          <w:rFonts w:hint="eastAsia" w:ascii="宋体" w:hAnsi="宋体"/>
          <w:color w:val="auto"/>
          <w:highlight w:val="none"/>
        </w:rPr>
      </w:pPr>
      <w:bookmarkStart w:id="1066" w:name="_Toc26233"/>
      <w:r>
        <w:rPr>
          <w:rFonts w:hint="eastAsia" w:ascii="宋体" w:hAnsi="宋体"/>
          <w:color w:val="auto"/>
          <w:highlight w:val="none"/>
        </w:rPr>
        <w:t>坚持以人民为中心的发展思想，坚持发展为了人民、发展依靠人民、发展成果由人民共享。统筹考虑需要和财力可能，按照经济社会发展规律循序渐进，坚持尽力而为、量力而行，持续提升保障和改善民生水平，不断提升人民群众获得感、幸福感、安全感。</w:t>
      </w:r>
    </w:p>
    <w:p>
      <w:pPr>
        <w:pStyle w:val="5"/>
        <w:bidi w:val="0"/>
        <w:rPr>
          <w:rFonts w:hint="eastAsia" w:ascii="宋体" w:hAnsi="宋体" w:eastAsia="楷体"/>
          <w:lang w:eastAsia="zh-CN"/>
        </w:rPr>
      </w:pPr>
      <w:bookmarkStart w:id="1067" w:name="_Toc12047"/>
      <w:bookmarkStart w:id="1068" w:name="_Toc30227"/>
      <w:bookmarkStart w:id="1069" w:name="_Toc27452"/>
      <w:bookmarkStart w:id="1070" w:name="_Toc19847"/>
      <w:r>
        <w:rPr>
          <w:rFonts w:hint="eastAsia" w:ascii="宋体" w:hAnsi="宋体"/>
        </w:rPr>
        <w:t>（一）推动提高人民收入水平</w:t>
      </w:r>
      <w:bookmarkEnd w:id="1067"/>
      <w:bookmarkEnd w:id="1068"/>
      <w:bookmarkEnd w:id="1069"/>
      <w:bookmarkEnd w:id="1070"/>
    </w:p>
    <w:p>
      <w:pPr>
        <w:bidi w:val="0"/>
        <w:rPr>
          <w:rFonts w:hint="eastAsia" w:ascii="宋体" w:hAnsi="宋体"/>
        </w:rPr>
      </w:pPr>
      <w:bookmarkStart w:id="1071" w:name="_Toc4151"/>
      <w:bookmarkStart w:id="1072" w:name="_Toc20438"/>
      <w:bookmarkStart w:id="1073" w:name="_Toc7719"/>
      <w:r>
        <w:rPr>
          <w:rStyle w:val="24"/>
          <w:rFonts w:hint="eastAsia" w:ascii="宋体" w:hAnsi="宋体"/>
        </w:rPr>
        <w:t>1.支持完善收入分配制度，拓展居民收入增长渠道。</w:t>
      </w:r>
      <w:bookmarkEnd w:id="1071"/>
      <w:bookmarkEnd w:id="1072"/>
      <w:bookmarkEnd w:id="1073"/>
      <w:r>
        <w:rPr>
          <w:rFonts w:hint="eastAsia" w:ascii="宋体" w:hAnsi="宋体"/>
        </w:rPr>
        <w:t>坚持按劳分配为主体、多种分配方式并存，提高劳动报酬在初次分配中的比重。健全工资合理增长机制，建立与经济发展相适应的最低工资标准调整机制，健全工资支付保障机制。按照国家顶层设计，完善按要素分配政策制度，健全各类生产要素由市场决定报酬机制，探索通过土地、资本等要素使用权、收益权增加中低收入群体要素收入。落实国家以增加知识价值为导向的分配政策。完善国有企业市场化薪酬分配机制，实行全员绩效管理。多渠道增加城乡居民财产性收入，提高农民土地增值收益分享比例。</w:t>
      </w:r>
    </w:p>
    <w:p>
      <w:pPr>
        <w:bidi w:val="0"/>
        <w:rPr>
          <w:rFonts w:ascii="宋体" w:hAnsi="宋体"/>
        </w:rPr>
      </w:pPr>
      <w:bookmarkStart w:id="1074" w:name="_Toc17689"/>
      <w:bookmarkStart w:id="1075" w:name="_Toc27418"/>
      <w:bookmarkStart w:id="1076" w:name="_Toc4619"/>
      <w:r>
        <w:rPr>
          <w:rStyle w:val="24"/>
          <w:rFonts w:hint="eastAsia" w:ascii="宋体" w:hAnsi="宋体"/>
        </w:rPr>
        <w:t>2.推动完善再分配机制，加大调节力度和精准性。</w:t>
      </w:r>
      <w:bookmarkEnd w:id="1074"/>
      <w:bookmarkEnd w:id="1075"/>
      <w:bookmarkEnd w:id="1076"/>
      <w:r>
        <w:rPr>
          <w:rFonts w:hint="eastAsia" w:ascii="宋体" w:hAnsi="宋体"/>
        </w:rPr>
        <w:t>加大财税、社保、转移支付等调节力度和精准性，落实国家深化个人所得税改革</w:t>
      </w:r>
      <w:r>
        <w:rPr>
          <w:rFonts w:hint="eastAsia"/>
          <w:lang w:eastAsia="zh-CN"/>
        </w:rPr>
        <w:t>和</w:t>
      </w:r>
      <w:r>
        <w:rPr>
          <w:rFonts w:hint="eastAsia" w:ascii="宋体" w:hAnsi="宋体"/>
        </w:rPr>
        <w:t>资本所得、财产所得税收征管机制改革任务。增强社会保障待遇和服务的公平性和可及性，完善兜底保障标准动态调整机制，加快健全覆盖全面的多层次社会保障体系。进一步发挥转移支付制度在再分配中的平衡作用，对政策目标人群精准定位，确保财政资金使用效率和效果。加快推进基本公共服务均等化，促进教育公平，加大人力资本投资力度，提高低收入群体的创收能力。支持加强公益慈善机构建设，大力发展各类扶贫赈灾、扶老助残、恤幼济困、助学助医等领域慈善事业和社会公益事业。</w:t>
      </w:r>
    </w:p>
    <w:p>
      <w:pPr>
        <w:pStyle w:val="5"/>
        <w:rPr>
          <w:rFonts w:ascii="宋体" w:hAnsi="宋体"/>
          <w:color w:val="auto"/>
          <w:highlight w:val="none"/>
        </w:rPr>
      </w:pPr>
      <w:bookmarkStart w:id="1077" w:name="_Toc5370"/>
      <w:bookmarkStart w:id="1078" w:name="_Toc19472"/>
      <w:bookmarkStart w:id="1079" w:name="_Toc5520"/>
      <w:bookmarkStart w:id="1080" w:name="_Toc1634"/>
      <w:bookmarkStart w:id="1081" w:name="_Toc10599"/>
      <w:r>
        <w:rPr>
          <w:rFonts w:hint="eastAsia" w:ascii="宋体" w:hAnsi="宋体"/>
          <w:color w:val="auto"/>
          <w:highlight w:val="none"/>
        </w:rPr>
        <w:t>（</w:t>
      </w:r>
      <w:r>
        <w:rPr>
          <w:rFonts w:hint="eastAsia" w:ascii="宋体" w:hAnsi="宋体"/>
          <w:color w:val="auto"/>
          <w:highlight w:val="none"/>
          <w:lang w:eastAsia="zh-CN"/>
        </w:rPr>
        <w:t>二</w:t>
      </w:r>
      <w:r>
        <w:rPr>
          <w:rFonts w:hint="eastAsia" w:ascii="宋体" w:hAnsi="宋体"/>
          <w:color w:val="auto"/>
          <w:highlight w:val="none"/>
        </w:rPr>
        <w:t>）坚持实施就业优先战略</w:t>
      </w:r>
      <w:bookmarkEnd w:id="1066"/>
      <w:bookmarkEnd w:id="1077"/>
      <w:bookmarkEnd w:id="1078"/>
      <w:bookmarkEnd w:id="1079"/>
      <w:bookmarkEnd w:id="1080"/>
      <w:bookmarkEnd w:id="1081"/>
    </w:p>
    <w:p>
      <w:pPr>
        <w:ind w:firstLine="643"/>
        <w:rPr>
          <w:rStyle w:val="24"/>
          <w:rFonts w:hint="eastAsia" w:ascii="宋体" w:hAnsi="宋体"/>
          <w:color w:val="auto"/>
          <w:highlight w:val="none"/>
        </w:rPr>
      </w:pPr>
      <w:bookmarkStart w:id="1082" w:name="_Toc31303"/>
      <w:bookmarkStart w:id="1083" w:name="_Toc19537"/>
      <w:bookmarkStart w:id="1084" w:name="_Toc16135"/>
      <w:bookmarkStart w:id="1085" w:name="_Toc5711"/>
      <w:bookmarkStart w:id="1086" w:name="_Toc4105"/>
      <w:r>
        <w:rPr>
          <w:rStyle w:val="24"/>
          <w:rFonts w:hint="eastAsia" w:ascii="宋体" w:hAnsi="宋体"/>
          <w:color w:val="auto"/>
          <w:highlight w:val="none"/>
        </w:rPr>
        <w:t>1.完善就业优先的宏观调控机制。</w:t>
      </w:r>
      <w:bookmarkEnd w:id="1082"/>
      <w:bookmarkEnd w:id="1083"/>
      <w:bookmarkEnd w:id="1084"/>
      <w:r>
        <w:rPr>
          <w:rFonts w:hint="eastAsia" w:ascii="宋体" w:hAnsi="宋体"/>
        </w:rPr>
        <w:t>坚持经济发展就业导向，把就业作为经济社会发展的优先目标，在制定实施财税政策时更加注重促进就业，推动经济发展与扩大就业良性互动。落实实施国家以稳定和扩大就业为基准的宏观调控，把就业指标作为宏观调控取向调整的依据，推动财政、金融等政策聚力支持就业。</w:t>
      </w:r>
    </w:p>
    <w:p>
      <w:pPr>
        <w:ind w:firstLine="643"/>
        <w:rPr>
          <w:rFonts w:hint="eastAsia" w:ascii="宋体" w:hAnsi="宋体" w:eastAsia="仿宋"/>
          <w:color w:val="auto"/>
          <w:highlight w:val="none"/>
          <w:lang w:eastAsia="zh-CN"/>
        </w:rPr>
      </w:pPr>
      <w:bookmarkStart w:id="1087" w:name="_Toc9489"/>
      <w:bookmarkStart w:id="1088" w:name="_Toc19071"/>
      <w:bookmarkStart w:id="1089" w:name="_Toc1898"/>
      <w:r>
        <w:rPr>
          <w:rStyle w:val="24"/>
          <w:rFonts w:hint="eastAsia" w:ascii="宋体" w:hAnsi="宋体"/>
          <w:color w:val="auto"/>
          <w:highlight w:val="none"/>
          <w:lang w:val="en-US" w:eastAsia="zh-CN"/>
        </w:rPr>
        <w:t>2</w:t>
      </w:r>
      <w:r>
        <w:rPr>
          <w:rStyle w:val="24"/>
          <w:rFonts w:hint="eastAsia" w:ascii="宋体" w:hAnsi="宋体"/>
          <w:color w:val="auto"/>
          <w:highlight w:val="none"/>
        </w:rPr>
        <w:t>.推动健全就业公共服务体系</w:t>
      </w:r>
      <w:bookmarkEnd w:id="1085"/>
      <w:r>
        <w:rPr>
          <w:rStyle w:val="24"/>
          <w:rFonts w:hint="eastAsia" w:ascii="宋体" w:hAnsi="宋体"/>
          <w:color w:val="auto"/>
          <w:highlight w:val="none"/>
        </w:rPr>
        <w:t>。</w:t>
      </w:r>
      <w:bookmarkEnd w:id="1086"/>
      <w:bookmarkEnd w:id="1087"/>
      <w:bookmarkEnd w:id="1088"/>
      <w:bookmarkEnd w:id="1089"/>
      <w:r>
        <w:rPr>
          <w:rFonts w:hint="eastAsia" w:ascii="宋体" w:hAnsi="宋体"/>
          <w:color w:val="auto"/>
          <w:highlight w:val="none"/>
        </w:rPr>
        <w:t>健全广覆盖、全流程、全方位的公共就业服务体系，提高就业服务标准智慧化、信息化水平。推进服务主体多元化，积极安排筹措资金，拓展社会力量参与就业公共服务的渠道，消除社会力量参与就业公共服务的体制机制障碍，激发社会力量参与就业公共服务的积极性。</w:t>
      </w:r>
      <w:r>
        <w:rPr>
          <w:rFonts w:hint="eastAsia"/>
          <w:color w:val="auto"/>
          <w:highlight w:val="none"/>
          <w:lang w:eastAsia="zh-CN"/>
        </w:rPr>
        <w:t>强化城乡基层财政投入保障，加大对“社工岗”薪酬体系实施后的新增支出保障力度。</w:t>
      </w:r>
    </w:p>
    <w:p>
      <w:pPr>
        <w:ind w:firstLine="643"/>
        <w:rPr>
          <w:rFonts w:ascii="宋体" w:hAnsi="宋体"/>
          <w:color w:val="auto"/>
          <w:highlight w:val="none"/>
        </w:rPr>
      </w:pPr>
      <w:bookmarkStart w:id="1090" w:name="_Toc10875"/>
      <w:bookmarkStart w:id="1091" w:name="_Toc27010"/>
      <w:bookmarkStart w:id="1092" w:name="_Toc7342"/>
      <w:bookmarkStart w:id="1093" w:name="_Toc17912"/>
      <w:bookmarkStart w:id="1094" w:name="_Toc17042"/>
      <w:r>
        <w:rPr>
          <w:rStyle w:val="24"/>
          <w:rFonts w:hint="eastAsia" w:ascii="宋体" w:hAnsi="宋体"/>
          <w:color w:val="auto"/>
          <w:highlight w:val="none"/>
          <w:lang w:val="en-US" w:eastAsia="zh-CN"/>
        </w:rPr>
        <w:t>3</w:t>
      </w:r>
      <w:r>
        <w:rPr>
          <w:rStyle w:val="24"/>
          <w:rFonts w:hint="eastAsia" w:ascii="宋体" w:hAnsi="宋体"/>
          <w:color w:val="auto"/>
          <w:highlight w:val="none"/>
        </w:rPr>
        <w:t>.完善重点群体就业支持体系</w:t>
      </w:r>
      <w:bookmarkEnd w:id="1090"/>
      <w:r>
        <w:rPr>
          <w:rStyle w:val="24"/>
          <w:rFonts w:hint="eastAsia" w:ascii="宋体" w:hAnsi="宋体"/>
          <w:color w:val="auto"/>
          <w:highlight w:val="none"/>
        </w:rPr>
        <w:t>。</w:t>
      </w:r>
      <w:bookmarkEnd w:id="1091"/>
      <w:bookmarkEnd w:id="1092"/>
      <w:bookmarkEnd w:id="1093"/>
      <w:bookmarkEnd w:id="1094"/>
      <w:r>
        <w:rPr>
          <w:rFonts w:hint="eastAsia" w:ascii="宋体" w:hAnsi="宋体"/>
          <w:color w:val="auto"/>
          <w:highlight w:val="none"/>
        </w:rPr>
        <w:t>调整优化、延续实施阶段性稳就业政策。建立健全城乡劳动者平等就业制度和劳务输出对接机制，促进农村贫困劳动力转移就业，鼓励企业吸纳困难人员就业。统筹用好就业补助资金、职业技能提升行动专项资金、创业促就业专项资金、失业保险基金等，做好高校毕业生、农民工、退役军人、就业困难人员等重点群体就业工作，分类施策，精准发力，推动稳住就业基本盘。</w:t>
      </w:r>
    </w:p>
    <w:p>
      <w:pPr>
        <w:ind w:firstLine="643"/>
        <w:rPr>
          <w:rFonts w:ascii="宋体" w:hAnsi="宋体"/>
          <w:color w:val="auto"/>
          <w:highlight w:val="none"/>
        </w:rPr>
      </w:pPr>
      <w:bookmarkStart w:id="1095" w:name="_Toc32478"/>
      <w:bookmarkStart w:id="1096" w:name="_Toc18776"/>
      <w:bookmarkStart w:id="1097" w:name="_Toc9039"/>
      <w:bookmarkStart w:id="1098" w:name="_Toc15163"/>
      <w:bookmarkStart w:id="1099" w:name="_Toc8531"/>
      <w:r>
        <w:rPr>
          <w:rStyle w:val="24"/>
          <w:rFonts w:hint="eastAsia" w:ascii="宋体" w:hAnsi="宋体"/>
          <w:color w:val="auto"/>
          <w:highlight w:val="none"/>
          <w:lang w:val="en-US" w:eastAsia="zh-CN"/>
        </w:rPr>
        <w:t>4</w:t>
      </w:r>
      <w:r>
        <w:rPr>
          <w:rStyle w:val="24"/>
          <w:rFonts w:hint="eastAsia" w:ascii="宋体" w:hAnsi="宋体"/>
          <w:color w:val="auto"/>
          <w:highlight w:val="none"/>
        </w:rPr>
        <w:t>.支持创业带动就业</w:t>
      </w:r>
      <w:bookmarkEnd w:id="1095"/>
      <w:r>
        <w:rPr>
          <w:rStyle w:val="24"/>
          <w:rFonts w:hint="eastAsia" w:ascii="宋体" w:hAnsi="宋体"/>
          <w:color w:val="auto"/>
          <w:highlight w:val="none"/>
        </w:rPr>
        <w:t>。</w:t>
      </w:r>
      <w:bookmarkEnd w:id="1096"/>
      <w:bookmarkEnd w:id="1097"/>
      <w:bookmarkEnd w:id="1098"/>
      <w:bookmarkEnd w:id="1099"/>
      <w:r>
        <w:rPr>
          <w:rFonts w:hint="eastAsia" w:ascii="宋体" w:hAnsi="宋体"/>
          <w:color w:val="auto"/>
          <w:highlight w:val="none"/>
        </w:rPr>
        <w:t>继续实施创业促就业专项资金扶持政策，支持建设一批高质量创业孵化载体和创业园区。实施高校毕业生留吉就业创业工程，促进毕业生留省就业创业。鼓励每年评选一批返乡基地。支持加强创业就业服务平台建设，提升服务水平。开发建设一批优质就业见习基地，促进毕业生留省就业创业。</w:t>
      </w:r>
    </w:p>
    <w:p>
      <w:pPr>
        <w:pStyle w:val="5"/>
        <w:rPr>
          <w:rFonts w:ascii="宋体" w:hAnsi="宋体"/>
          <w:color w:val="auto"/>
          <w:szCs w:val="32"/>
          <w:highlight w:val="none"/>
        </w:rPr>
      </w:pPr>
      <w:bookmarkStart w:id="1100" w:name="_Toc6965"/>
      <w:bookmarkStart w:id="1101" w:name="_Toc16516"/>
      <w:bookmarkStart w:id="1102" w:name="_Toc1742"/>
      <w:bookmarkStart w:id="1103" w:name="_Toc1847"/>
      <w:bookmarkStart w:id="1104" w:name="_Toc11470"/>
      <w:bookmarkStart w:id="1105" w:name="_Toc25694"/>
      <w:r>
        <w:rPr>
          <w:rFonts w:hint="eastAsia" w:ascii="宋体" w:hAnsi="宋体"/>
          <w:color w:val="auto"/>
          <w:szCs w:val="32"/>
          <w:highlight w:val="none"/>
        </w:rPr>
        <w:t>（</w:t>
      </w:r>
      <w:r>
        <w:rPr>
          <w:rFonts w:hint="eastAsia" w:ascii="宋体" w:hAnsi="宋体"/>
          <w:color w:val="auto"/>
          <w:szCs w:val="32"/>
          <w:highlight w:val="none"/>
          <w:lang w:eastAsia="zh-CN"/>
        </w:rPr>
        <w:t>三</w:t>
      </w:r>
      <w:r>
        <w:rPr>
          <w:rFonts w:hint="eastAsia" w:ascii="宋体" w:hAnsi="宋体"/>
          <w:color w:val="auto"/>
          <w:szCs w:val="32"/>
          <w:highlight w:val="none"/>
        </w:rPr>
        <w:t>）健全建设高质量教育体系支持机制</w:t>
      </w:r>
      <w:bookmarkEnd w:id="1100"/>
      <w:bookmarkEnd w:id="1101"/>
      <w:bookmarkEnd w:id="1102"/>
      <w:bookmarkEnd w:id="1103"/>
      <w:bookmarkEnd w:id="1104"/>
      <w:bookmarkEnd w:id="1105"/>
    </w:p>
    <w:p>
      <w:pPr>
        <w:ind w:firstLine="643"/>
        <w:rPr>
          <w:rFonts w:ascii="宋体" w:hAnsi="宋体"/>
          <w:color w:val="auto"/>
          <w:highlight w:val="none"/>
        </w:rPr>
      </w:pPr>
      <w:bookmarkStart w:id="1106" w:name="_Toc21790"/>
      <w:bookmarkStart w:id="1107" w:name="_Toc17570"/>
      <w:bookmarkStart w:id="1108" w:name="_Toc26969"/>
      <w:bookmarkStart w:id="1109" w:name="_Toc17638"/>
      <w:bookmarkStart w:id="1110" w:name="_Toc18901"/>
      <w:r>
        <w:rPr>
          <w:rStyle w:val="24"/>
          <w:rFonts w:hint="eastAsia" w:ascii="宋体" w:hAnsi="宋体"/>
          <w:color w:val="auto"/>
          <w:highlight w:val="none"/>
        </w:rPr>
        <w:t>1.健全完善教育经费支持机制</w:t>
      </w:r>
      <w:bookmarkEnd w:id="1106"/>
      <w:r>
        <w:rPr>
          <w:rStyle w:val="24"/>
          <w:rFonts w:hint="eastAsia" w:ascii="宋体" w:hAnsi="宋体"/>
          <w:color w:val="auto"/>
          <w:highlight w:val="none"/>
        </w:rPr>
        <w:t>。</w:t>
      </w:r>
      <w:bookmarkEnd w:id="1107"/>
      <w:bookmarkEnd w:id="1108"/>
      <w:bookmarkEnd w:id="1109"/>
      <w:bookmarkEnd w:id="1110"/>
      <w:r>
        <w:rPr>
          <w:rFonts w:hint="eastAsia" w:ascii="宋体" w:hAnsi="宋体"/>
          <w:color w:val="auto"/>
          <w:highlight w:val="none"/>
        </w:rPr>
        <w:t>坚持把教育放在优先发展的战略位置，予以重点投入和优先保障。注重加强投入保障与优化支出结构相结合，强化绩效管理，用好增量、盘活存量，重点保基本、补短板，促公平、提质量。健全完善各级各类教育的生均财政拨款制度和动态调整机制，规范各项学生资助资金管理，落实从各个学段、公办民办学校、家庭经济困难学生资助政策，提高学生资助精准水平。</w:t>
      </w:r>
    </w:p>
    <w:p>
      <w:pPr>
        <w:ind w:firstLine="643"/>
        <w:rPr>
          <w:rFonts w:ascii="宋体" w:hAnsi="宋体"/>
          <w:color w:val="auto"/>
          <w:highlight w:val="none"/>
        </w:rPr>
      </w:pPr>
      <w:bookmarkStart w:id="1111" w:name="_Toc10309"/>
      <w:bookmarkStart w:id="1112" w:name="_Toc12885"/>
      <w:bookmarkStart w:id="1113" w:name="_Toc274"/>
      <w:bookmarkStart w:id="1114" w:name="_Toc30755"/>
      <w:bookmarkStart w:id="1115" w:name="_Toc20558"/>
      <w:r>
        <w:rPr>
          <w:rStyle w:val="24"/>
          <w:rFonts w:hint="eastAsia" w:ascii="宋体" w:hAnsi="宋体"/>
          <w:color w:val="auto"/>
          <w:highlight w:val="none"/>
        </w:rPr>
        <w:t>2.推动义务教育均衡发展和城乡一体化</w:t>
      </w:r>
      <w:bookmarkEnd w:id="1111"/>
      <w:r>
        <w:rPr>
          <w:rStyle w:val="24"/>
          <w:rFonts w:hint="eastAsia" w:ascii="宋体" w:hAnsi="宋体"/>
          <w:color w:val="auto"/>
          <w:highlight w:val="none"/>
        </w:rPr>
        <w:t>。</w:t>
      </w:r>
      <w:bookmarkEnd w:id="1112"/>
      <w:bookmarkEnd w:id="1113"/>
      <w:bookmarkEnd w:id="1114"/>
      <w:bookmarkEnd w:id="1115"/>
      <w:r>
        <w:rPr>
          <w:rFonts w:hint="eastAsia" w:ascii="宋体" w:hAnsi="宋体"/>
          <w:color w:val="auto"/>
          <w:highlight w:val="none"/>
        </w:rPr>
        <w:t>巩固完善城乡统一、重在农村的义务教育经费保障机制，落实相关经费可携带要求，保障进城务工人员随迁子女平等接受义务教育权利。支持推进义务教育薄弱环节改善与能力提升工作，增加城镇学位供给，办好寄宿制学校和乡村小规模学校。支持中小学幼儿园教师国家级和省级培训计划，加强乡村教师队伍建设，在巩固脱贫攻坚成果过渡期内，继续落实脱贫地区乡村教师生活补助政策。</w:t>
      </w:r>
    </w:p>
    <w:p>
      <w:pPr>
        <w:ind w:firstLine="643"/>
        <w:rPr>
          <w:rFonts w:ascii="宋体" w:hAnsi="宋体"/>
          <w:color w:val="auto"/>
          <w:highlight w:val="none"/>
        </w:rPr>
      </w:pPr>
      <w:bookmarkStart w:id="1116" w:name="_Toc25371"/>
      <w:bookmarkStart w:id="1117" w:name="_Toc5702"/>
      <w:bookmarkStart w:id="1118" w:name="_Toc2181"/>
      <w:bookmarkStart w:id="1119" w:name="_Toc26114"/>
      <w:bookmarkStart w:id="1120" w:name="_Toc4201"/>
      <w:r>
        <w:rPr>
          <w:rStyle w:val="24"/>
          <w:rFonts w:hint="eastAsia" w:ascii="宋体" w:hAnsi="宋体"/>
          <w:color w:val="auto"/>
          <w:highlight w:val="none"/>
        </w:rPr>
        <w:t>3.完善普惠性学前教育和特殊教育保障机制</w:t>
      </w:r>
      <w:bookmarkEnd w:id="1116"/>
      <w:r>
        <w:rPr>
          <w:rStyle w:val="24"/>
          <w:rFonts w:hint="eastAsia" w:ascii="宋体" w:hAnsi="宋体"/>
          <w:color w:val="auto"/>
          <w:highlight w:val="none"/>
        </w:rPr>
        <w:t>。</w:t>
      </w:r>
      <w:bookmarkEnd w:id="1117"/>
      <w:bookmarkEnd w:id="1118"/>
      <w:bookmarkEnd w:id="1119"/>
      <w:bookmarkEnd w:id="1120"/>
      <w:r>
        <w:rPr>
          <w:rFonts w:hint="eastAsia" w:ascii="宋体" w:hAnsi="宋体"/>
          <w:color w:val="auto"/>
          <w:highlight w:val="none"/>
        </w:rPr>
        <w:t>坚持公益普惠办学方向，巩固完善财政支持政策，引导市县加大投入力度，有效促进普惠性学前教育资源供给，以农村为重点提升普及水平。以提供普惠性服务为衡量标准，减轻贫困家庭经济负担。巩固完善特殊教育支持政策，改善特殊教育学校办学条件，提升基础能力，加快推进融合教育和医教结合，继续对家庭经济困难残疾学生予以优先资助。</w:t>
      </w:r>
    </w:p>
    <w:p>
      <w:pPr>
        <w:ind w:firstLine="643"/>
        <w:rPr>
          <w:rFonts w:ascii="宋体" w:hAnsi="宋体"/>
          <w:color w:val="auto"/>
          <w:highlight w:val="none"/>
        </w:rPr>
      </w:pPr>
      <w:bookmarkStart w:id="1121" w:name="_Toc12515"/>
      <w:bookmarkStart w:id="1122" w:name="_Toc20936"/>
      <w:bookmarkStart w:id="1123" w:name="_Toc8261"/>
      <w:bookmarkStart w:id="1124" w:name="_Toc24656"/>
      <w:bookmarkStart w:id="1125" w:name="_Toc20720"/>
      <w:r>
        <w:rPr>
          <w:rStyle w:val="24"/>
          <w:rFonts w:hint="eastAsia" w:ascii="宋体" w:hAnsi="宋体"/>
          <w:color w:val="auto"/>
          <w:highlight w:val="none"/>
        </w:rPr>
        <w:t>4.推动高中阶段教育多样化发展</w:t>
      </w:r>
      <w:bookmarkEnd w:id="1121"/>
      <w:r>
        <w:rPr>
          <w:rStyle w:val="24"/>
          <w:rFonts w:hint="eastAsia" w:ascii="宋体" w:hAnsi="宋体"/>
          <w:color w:val="auto"/>
          <w:highlight w:val="none"/>
        </w:rPr>
        <w:t>。</w:t>
      </w:r>
      <w:bookmarkEnd w:id="1122"/>
      <w:bookmarkEnd w:id="1123"/>
      <w:bookmarkEnd w:id="1124"/>
      <w:bookmarkEnd w:id="1125"/>
      <w:r>
        <w:rPr>
          <w:rFonts w:hint="eastAsia" w:ascii="宋体" w:hAnsi="宋体"/>
          <w:color w:val="auto"/>
          <w:highlight w:val="none"/>
        </w:rPr>
        <w:t>继续执行公办普通高中生均公用经费省级财政奖补政策，引导市县进一步提高经费保障水平，完善动态调整机制。统筹安排中央和省级资金，持续改善普通高中基本办学条件，扩大资源供给，消除“大班额”，支持高考综合改革。推动普通高中教育和中等职业教育协调发展，提高高中阶段教育普及水平，加快推进普通高中育人方式改革。</w:t>
      </w:r>
    </w:p>
    <w:p>
      <w:pPr>
        <w:ind w:firstLine="643"/>
        <w:rPr>
          <w:rFonts w:ascii="宋体" w:hAnsi="宋体"/>
          <w:color w:val="auto"/>
          <w:highlight w:val="none"/>
        </w:rPr>
      </w:pPr>
      <w:bookmarkStart w:id="1126" w:name="_Toc15138"/>
      <w:bookmarkStart w:id="1127" w:name="_Toc24050"/>
      <w:bookmarkStart w:id="1128" w:name="_Toc16623"/>
      <w:bookmarkStart w:id="1129" w:name="_Toc21909"/>
      <w:bookmarkStart w:id="1130" w:name="_Toc23174"/>
      <w:r>
        <w:rPr>
          <w:rStyle w:val="24"/>
          <w:rFonts w:hint="eastAsia" w:ascii="宋体" w:hAnsi="宋体"/>
          <w:color w:val="auto"/>
          <w:highlight w:val="none"/>
        </w:rPr>
        <w:t>5.支持增强职业技术教育适应性</w:t>
      </w:r>
      <w:bookmarkEnd w:id="1126"/>
      <w:r>
        <w:rPr>
          <w:rStyle w:val="24"/>
          <w:rFonts w:hint="eastAsia" w:ascii="宋体" w:hAnsi="宋体"/>
          <w:color w:val="auto"/>
          <w:highlight w:val="none"/>
        </w:rPr>
        <w:t>。</w:t>
      </w:r>
      <w:bookmarkEnd w:id="1127"/>
      <w:bookmarkEnd w:id="1128"/>
      <w:bookmarkEnd w:id="1129"/>
      <w:bookmarkEnd w:id="1130"/>
      <w:r>
        <w:rPr>
          <w:rFonts w:hint="eastAsia" w:ascii="宋体" w:hAnsi="宋体"/>
          <w:color w:val="auto"/>
          <w:highlight w:val="none"/>
        </w:rPr>
        <w:t>落实好省属高职院校生均拨款补助政策，以及对市</w:t>
      </w:r>
      <w:r>
        <w:rPr>
          <w:rFonts w:hint="eastAsia"/>
          <w:color w:val="auto"/>
          <w:highlight w:val="none"/>
          <w:lang w:eastAsia="zh-CN"/>
        </w:rPr>
        <w:t>（</w:t>
      </w:r>
      <w:r>
        <w:rPr>
          <w:rFonts w:hint="eastAsia" w:ascii="宋体" w:hAnsi="宋体"/>
          <w:color w:val="auto"/>
          <w:highlight w:val="none"/>
        </w:rPr>
        <w:t>州</w:t>
      </w:r>
      <w:r>
        <w:rPr>
          <w:rFonts w:hint="eastAsia"/>
          <w:color w:val="auto"/>
          <w:highlight w:val="none"/>
          <w:lang w:eastAsia="zh-CN"/>
        </w:rPr>
        <w:t>）</w:t>
      </w:r>
      <w:r>
        <w:rPr>
          <w:rFonts w:hint="eastAsia" w:ascii="宋体" w:hAnsi="宋体"/>
          <w:color w:val="auto"/>
          <w:highlight w:val="none"/>
        </w:rPr>
        <w:t>高职学校生均拨款和中职学校生均公用经费省级财政奖补政策。支持中等职业院校在调整优化布局的基础上改善基本办学条件，支持特色高水平高职院校和专业建设。深化产教融合、校企合作，大力支持培养技术技能人才。支持实施职业院校教师素质提高计划，加强“双师型”专任教师和“1+X”培养培训。鼓励社会力量出资兴办职业教育，拓宽办学筹资渠道。</w:t>
      </w:r>
    </w:p>
    <w:p>
      <w:pPr>
        <w:ind w:firstLine="643"/>
        <w:rPr>
          <w:rFonts w:hint="eastAsia" w:ascii="宋体" w:hAnsi="宋体"/>
          <w:color w:val="auto"/>
          <w:highlight w:val="none"/>
        </w:rPr>
      </w:pPr>
      <w:bookmarkStart w:id="1131" w:name="_Toc13906"/>
      <w:bookmarkStart w:id="1132" w:name="_Toc24406"/>
      <w:bookmarkStart w:id="1133" w:name="_Toc4254"/>
      <w:bookmarkStart w:id="1134" w:name="_Toc31083"/>
      <w:bookmarkStart w:id="1135" w:name="_Toc13113"/>
      <w:r>
        <w:rPr>
          <w:rStyle w:val="24"/>
          <w:rFonts w:hint="eastAsia" w:ascii="宋体" w:hAnsi="宋体"/>
          <w:color w:val="auto"/>
          <w:highlight w:val="none"/>
        </w:rPr>
        <w:t>6.促进提高高等教育质量</w:t>
      </w:r>
      <w:bookmarkEnd w:id="1131"/>
      <w:r>
        <w:rPr>
          <w:rStyle w:val="24"/>
          <w:rFonts w:hint="eastAsia" w:ascii="宋体" w:hAnsi="宋体"/>
          <w:color w:val="auto"/>
          <w:highlight w:val="none"/>
        </w:rPr>
        <w:t>。</w:t>
      </w:r>
      <w:bookmarkEnd w:id="1132"/>
      <w:bookmarkEnd w:id="1133"/>
      <w:bookmarkEnd w:id="1134"/>
      <w:bookmarkEnd w:id="1135"/>
      <w:r>
        <w:rPr>
          <w:rFonts w:hint="eastAsia" w:ascii="宋体" w:hAnsi="宋体"/>
          <w:color w:val="auto"/>
          <w:highlight w:val="none"/>
        </w:rPr>
        <w:t>继续调整完善现行高等教育经费投入机制，提高财政高等教育资金使用效益，完善分类差异化拨款办法。围绕高校“双一流”建设目标，支持加强特色高水平大学和特色高水平学科建设。支持省属高校思政建设，开展基础研究，加快教育教学改革步伐。支持促进科技创新和成果转化，走内涵发展道路。支持加强高校</w:t>
      </w:r>
      <w:r>
        <w:rPr>
          <w:rFonts w:hint="eastAsia"/>
          <w:color w:val="auto"/>
          <w:highlight w:val="none"/>
          <w:lang w:eastAsia="zh-CN"/>
        </w:rPr>
        <w:t>师资力量</w:t>
      </w:r>
      <w:r>
        <w:rPr>
          <w:rFonts w:hint="eastAsia" w:ascii="宋体" w:hAnsi="宋体"/>
          <w:color w:val="auto"/>
          <w:highlight w:val="none"/>
        </w:rPr>
        <w:t>建设，加快理工农医类专业紧缺人才和高层次人才培养，加强新工科、新农科、新医科和新文科教师队伍建设。</w:t>
      </w:r>
    </w:p>
    <w:p>
      <w:pPr>
        <w:bidi w:val="0"/>
        <w:rPr>
          <w:rFonts w:ascii="宋体" w:hAnsi="宋体"/>
        </w:rPr>
      </w:pPr>
      <w:bookmarkStart w:id="1136" w:name="_Toc12906"/>
      <w:bookmarkStart w:id="1137" w:name="_Toc1008"/>
      <w:bookmarkStart w:id="1138" w:name="_Toc4155"/>
      <w:r>
        <w:rPr>
          <w:rStyle w:val="24"/>
          <w:rFonts w:hint="eastAsia" w:ascii="宋体" w:hAnsi="宋体"/>
        </w:rPr>
        <w:t>7.支持教师队伍建设。</w:t>
      </w:r>
      <w:bookmarkEnd w:id="1136"/>
      <w:bookmarkEnd w:id="1137"/>
      <w:bookmarkEnd w:id="1138"/>
      <w:r>
        <w:rPr>
          <w:rFonts w:hint="eastAsia" w:ascii="宋体" w:hAnsi="宋体"/>
        </w:rPr>
        <w:t>将教师队伍建设作为教育投入重点予以优先保障，完善支出保障机制，优化经费投入结构，优先支持教师队伍建设，重点用于按规定</w:t>
      </w:r>
      <w:r>
        <w:rPr>
          <w:rFonts w:hint="eastAsia"/>
          <w:lang w:eastAsia="zh-CN"/>
        </w:rPr>
        <w:t>落实</w:t>
      </w:r>
      <w:r>
        <w:rPr>
          <w:rFonts w:hint="eastAsia" w:ascii="宋体" w:hAnsi="宋体"/>
        </w:rPr>
        <w:t>教师待遇保障，提升教师专业素质能力。落实“特岗计划”、“国培计划”、“省培计划”。督促指导市县落实义务教育教师工资待遇政策。</w:t>
      </w:r>
    </w:p>
    <w:p>
      <w:pPr>
        <w:pStyle w:val="5"/>
        <w:bidi w:val="0"/>
        <w:rPr>
          <w:rStyle w:val="23"/>
          <w:rFonts w:ascii="宋体" w:hAnsi="宋体"/>
          <w:color w:val="auto"/>
          <w:highlight w:val="none"/>
        </w:rPr>
      </w:pPr>
      <w:bookmarkStart w:id="1139" w:name="_Toc951"/>
      <w:bookmarkStart w:id="1140" w:name="_Toc22755"/>
      <w:bookmarkStart w:id="1141" w:name="_Toc31320"/>
      <w:bookmarkStart w:id="1142" w:name="_Toc4041"/>
      <w:bookmarkStart w:id="1143" w:name="_Toc19355"/>
      <w:bookmarkStart w:id="1144" w:name="_Toc21479"/>
      <w:r>
        <w:rPr>
          <w:rFonts w:hint="eastAsia" w:ascii="宋体" w:hAnsi="宋体"/>
          <w:color w:val="auto"/>
          <w:szCs w:val="32"/>
          <w:highlight w:val="none"/>
        </w:rPr>
        <w:t>（</w:t>
      </w:r>
      <w:r>
        <w:rPr>
          <w:rFonts w:hint="eastAsia"/>
          <w:color w:val="auto"/>
          <w:szCs w:val="32"/>
          <w:highlight w:val="none"/>
          <w:lang w:eastAsia="zh-CN"/>
        </w:rPr>
        <w:t>四</w:t>
      </w:r>
      <w:r>
        <w:rPr>
          <w:rFonts w:hint="eastAsia" w:ascii="宋体" w:hAnsi="宋体"/>
          <w:color w:val="auto"/>
          <w:szCs w:val="32"/>
          <w:highlight w:val="none"/>
        </w:rPr>
        <w:t>）</w:t>
      </w:r>
      <w:r>
        <w:rPr>
          <w:rStyle w:val="23"/>
          <w:rFonts w:hint="eastAsia" w:ascii="宋体" w:hAnsi="宋体"/>
          <w:color w:val="auto"/>
          <w:highlight w:val="none"/>
        </w:rPr>
        <w:t>推进健全多层次社会保障体系</w:t>
      </w:r>
      <w:bookmarkEnd w:id="1139"/>
      <w:bookmarkEnd w:id="1140"/>
      <w:bookmarkEnd w:id="1141"/>
      <w:bookmarkEnd w:id="1142"/>
      <w:bookmarkEnd w:id="1143"/>
      <w:bookmarkEnd w:id="1144"/>
    </w:p>
    <w:p>
      <w:pPr>
        <w:ind w:firstLine="643"/>
        <w:rPr>
          <w:rFonts w:ascii="宋体" w:hAnsi="宋体"/>
          <w:color w:val="auto"/>
          <w:highlight w:val="none"/>
        </w:rPr>
      </w:pPr>
      <w:bookmarkStart w:id="1145" w:name="_Toc20223"/>
      <w:bookmarkStart w:id="1146" w:name="_Toc3675"/>
      <w:bookmarkStart w:id="1147" w:name="_Toc8782"/>
      <w:bookmarkStart w:id="1148" w:name="_Toc24173"/>
      <w:bookmarkStart w:id="1149" w:name="_Toc1780"/>
      <w:r>
        <w:rPr>
          <w:rStyle w:val="24"/>
          <w:rFonts w:hint="eastAsia" w:ascii="宋体" w:hAnsi="宋体"/>
          <w:color w:val="auto"/>
          <w:highlight w:val="none"/>
        </w:rPr>
        <w:t>1.健全基本养老保险参保缴费和待遇调整机制</w:t>
      </w:r>
      <w:bookmarkEnd w:id="1145"/>
      <w:r>
        <w:rPr>
          <w:rStyle w:val="24"/>
          <w:rFonts w:hint="eastAsia" w:ascii="宋体" w:hAnsi="宋体"/>
          <w:color w:val="auto"/>
          <w:highlight w:val="none"/>
        </w:rPr>
        <w:t>。</w:t>
      </w:r>
      <w:bookmarkEnd w:id="1146"/>
      <w:bookmarkEnd w:id="1147"/>
      <w:bookmarkEnd w:id="1148"/>
      <w:bookmarkEnd w:id="1149"/>
      <w:r>
        <w:rPr>
          <w:rFonts w:hint="eastAsia" w:ascii="宋体" w:hAnsi="宋体"/>
          <w:color w:val="auto"/>
          <w:highlight w:val="none"/>
        </w:rPr>
        <w:t>落实企业职工基本养老保险基金统收统支省级统筹制度，有效衔接全国统筹；推进机关事业单位养老保险制度平稳运行；完善城乡居民基本养老保险制度，健全被征地农民养老保险补贴制度；实现社会保险法定人群全覆盖。加强社会保险基金预算管理，健全基本养老保险筹资机制，完善划转国有资本充实社保基金制度，做强社会保障战略储备基金。规范发展第三支柱养老保险，落实国家渐进式延迟退休年龄政策；综合考虑物价指数，工资增长等因素，合理确定待遇调整水平，逐步提高城乡居民养老金待遇标准。</w:t>
      </w:r>
    </w:p>
    <w:p>
      <w:pPr>
        <w:ind w:firstLine="643"/>
        <w:rPr>
          <w:rFonts w:ascii="宋体" w:hAnsi="宋体"/>
          <w:color w:val="auto"/>
          <w:highlight w:val="none"/>
        </w:rPr>
      </w:pPr>
      <w:bookmarkStart w:id="1150" w:name="_Toc29385"/>
      <w:bookmarkStart w:id="1151" w:name="_Toc17586"/>
      <w:bookmarkStart w:id="1152" w:name="_Toc21497"/>
      <w:bookmarkStart w:id="1153" w:name="_Toc18933"/>
      <w:bookmarkStart w:id="1154" w:name="_Toc21307"/>
      <w:r>
        <w:rPr>
          <w:rStyle w:val="24"/>
          <w:rFonts w:hint="eastAsia" w:ascii="宋体" w:hAnsi="宋体"/>
          <w:color w:val="auto"/>
          <w:highlight w:val="none"/>
        </w:rPr>
        <w:t>2.健全基本医疗保险筹资和待遇调整机制。</w:t>
      </w:r>
      <w:bookmarkEnd w:id="1150"/>
      <w:bookmarkEnd w:id="1151"/>
      <w:bookmarkEnd w:id="1152"/>
      <w:bookmarkEnd w:id="1153"/>
      <w:bookmarkEnd w:id="1154"/>
      <w:r>
        <w:rPr>
          <w:rFonts w:hint="eastAsia" w:ascii="宋体" w:hAnsi="宋体"/>
          <w:lang w:eastAsia="zh-CN"/>
        </w:rPr>
        <w:t>适时</w:t>
      </w:r>
      <w:r>
        <w:rPr>
          <w:rFonts w:hint="eastAsia" w:ascii="宋体" w:hAnsi="宋体"/>
          <w:color w:val="auto"/>
          <w:highlight w:val="none"/>
        </w:rPr>
        <w:t>适当提高城乡居民医保筹资标准，完善个人、单位、政府三方筹资缴费责任均衡的机制，优化个人缴费和政府补助结构，逐步统一待遇政策；推进全面做实基本医疗保险市地级统筹和职工医保门诊统筹，全面实施完善生育医疗费用支付及生育津贴制度，完善重大疫情医疗救治费用保障机制，健全重大疫情医疗救治医保支付政策，完善异地就医直接结算制度。</w:t>
      </w:r>
    </w:p>
    <w:p>
      <w:pPr>
        <w:ind w:firstLine="643"/>
        <w:rPr>
          <w:rFonts w:ascii="宋体" w:hAnsi="宋体"/>
          <w:color w:val="auto"/>
          <w:highlight w:val="none"/>
        </w:rPr>
      </w:pPr>
      <w:bookmarkStart w:id="1155" w:name="_Toc18228"/>
      <w:bookmarkStart w:id="1156" w:name="_Toc13662"/>
      <w:bookmarkStart w:id="1157" w:name="_Toc27910"/>
      <w:bookmarkStart w:id="1158" w:name="_Toc7634"/>
      <w:bookmarkStart w:id="1159" w:name="_Toc4925"/>
      <w:r>
        <w:rPr>
          <w:rStyle w:val="24"/>
          <w:rFonts w:hint="eastAsia" w:ascii="宋体" w:hAnsi="宋体"/>
          <w:color w:val="auto"/>
          <w:highlight w:val="none"/>
        </w:rPr>
        <w:t>3.加快实施工伤、失业保险统筹制度</w:t>
      </w:r>
      <w:bookmarkEnd w:id="1155"/>
      <w:r>
        <w:rPr>
          <w:rStyle w:val="24"/>
          <w:rFonts w:hint="eastAsia" w:ascii="宋体" w:hAnsi="宋体"/>
          <w:color w:val="auto"/>
          <w:highlight w:val="none"/>
        </w:rPr>
        <w:t>。</w:t>
      </w:r>
      <w:bookmarkEnd w:id="1156"/>
      <w:bookmarkEnd w:id="1157"/>
      <w:bookmarkEnd w:id="1158"/>
      <w:bookmarkEnd w:id="1159"/>
      <w:r>
        <w:rPr>
          <w:rFonts w:hint="eastAsia" w:ascii="宋体" w:hAnsi="宋体"/>
          <w:color w:val="auto"/>
          <w:highlight w:val="none"/>
        </w:rPr>
        <w:t>完善工伤保险和失业保险制度，实现工伤保险和失业保险省级统筹。增强全省工伤保险和失业保险的共济能力和抗风险能力，促进基金长期平稳运行。</w:t>
      </w:r>
      <w:r>
        <w:rPr>
          <w:rFonts w:hint="eastAsia"/>
          <w:color w:val="auto"/>
          <w:highlight w:val="none"/>
          <w:lang w:eastAsia="zh-CN"/>
        </w:rPr>
        <w:t>加强失业保险参保扩面工作</w:t>
      </w:r>
      <w:r>
        <w:rPr>
          <w:rFonts w:hint="eastAsia" w:ascii="宋体" w:hAnsi="宋体"/>
          <w:color w:val="auto"/>
          <w:highlight w:val="none"/>
        </w:rPr>
        <w:t>，</w:t>
      </w:r>
      <w:r>
        <w:rPr>
          <w:rFonts w:hint="eastAsia"/>
          <w:color w:val="auto"/>
          <w:highlight w:val="none"/>
          <w:lang w:eastAsia="zh-CN"/>
        </w:rPr>
        <w:t>重点推动中小微企业、农民工等单位和人群积极参加失业保险。</w:t>
      </w:r>
      <w:r>
        <w:rPr>
          <w:rFonts w:hint="eastAsia" w:ascii="宋体" w:hAnsi="宋体"/>
          <w:color w:val="auto"/>
          <w:highlight w:val="none"/>
        </w:rPr>
        <w:t>探索建立新业态从业人员职业伤害保险制度，</w:t>
      </w:r>
      <w:r>
        <w:rPr>
          <w:rFonts w:hint="eastAsia"/>
          <w:color w:val="auto"/>
          <w:highlight w:val="none"/>
          <w:lang w:eastAsia="zh-CN"/>
        </w:rPr>
        <w:t>推进工伤保险向职业劳动者广覆盖。</w:t>
      </w:r>
      <w:r>
        <w:rPr>
          <w:rFonts w:hint="eastAsia" w:ascii="宋体" w:hAnsi="宋体"/>
          <w:color w:val="auto"/>
          <w:highlight w:val="none"/>
        </w:rPr>
        <w:t>健全失业保险和工伤保险待遇确定和调整机制，逐步提高保障水平。推进工伤保险预防、补偿、康复“三位一体”制度体系建设。</w:t>
      </w:r>
    </w:p>
    <w:p>
      <w:pPr>
        <w:ind w:firstLine="643"/>
        <w:rPr>
          <w:rFonts w:ascii="宋体" w:hAnsi="宋体"/>
          <w:color w:val="auto"/>
          <w:highlight w:val="none"/>
        </w:rPr>
      </w:pPr>
      <w:bookmarkStart w:id="1160" w:name="_Toc4558"/>
      <w:bookmarkStart w:id="1161" w:name="_Toc26414"/>
      <w:bookmarkStart w:id="1162" w:name="_Toc22433"/>
      <w:bookmarkStart w:id="1163" w:name="_Toc6024"/>
      <w:bookmarkStart w:id="1164" w:name="_Toc30247"/>
      <w:r>
        <w:rPr>
          <w:rStyle w:val="24"/>
          <w:rFonts w:hint="eastAsia" w:ascii="宋体" w:hAnsi="宋体"/>
          <w:color w:val="auto"/>
          <w:highlight w:val="none"/>
        </w:rPr>
        <w:t>4.优化退役军人和军属保障政策</w:t>
      </w:r>
      <w:bookmarkEnd w:id="1160"/>
      <w:r>
        <w:rPr>
          <w:rStyle w:val="24"/>
          <w:rFonts w:hint="eastAsia" w:ascii="宋体" w:hAnsi="宋体"/>
          <w:color w:val="auto"/>
          <w:highlight w:val="none"/>
        </w:rPr>
        <w:t>。</w:t>
      </w:r>
      <w:bookmarkEnd w:id="1161"/>
      <w:bookmarkEnd w:id="1162"/>
      <w:bookmarkEnd w:id="1163"/>
      <w:bookmarkEnd w:id="1164"/>
      <w:r>
        <w:rPr>
          <w:rFonts w:hint="eastAsia" w:ascii="宋体" w:hAnsi="宋体"/>
          <w:color w:val="auto"/>
          <w:highlight w:val="none"/>
        </w:rPr>
        <w:t>落实好国家优抚对象待遇抚恤及生活补助政策，不断健全优抚对象抚恤、补助、援助等制度。解决好部分退役士兵基本社会保险接续问题，确保部分退役士兵基本社会保险补缴工作制度化、规范化；落实好国家和省退役士兵职业教育和技能培训支持政策，提高培训的针对性和时效性，增强退役士兵就业创业能力；推动褒扬纪念工作，加强烈士纪念设施资金的监督管理；统筹使用机构和社区资源，更好地为军休干部提供优质服务。</w:t>
      </w:r>
    </w:p>
    <w:p>
      <w:pPr>
        <w:ind w:firstLine="643"/>
        <w:rPr>
          <w:rFonts w:hint="eastAsia" w:ascii="宋体" w:hAnsi="宋体"/>
          <w:color w:val="auto"/>
          <w:highlight w:val="none"/>
        </w:rPr>
      </w:pPr>
      <w:bookmarkStart w:id="1165" w:name="_Toc1230"/>
      <w:bookmarkStart w:id="1166" w:name="_Toc18820"/>
      <w:bookmarkStart w:id="1167" w:name="_Toc30393"/>
      <w:bookmarkStart w:id="1168" w:name="_Toc24689"/>
      <w:bookmarkStart w:id="1169" w:name="_Toc28747"/>
      <w:r>
        <w:rPr>
          <w:rStyle w:val="24"/>
          <w:rFonts w:hint="eastAsia" w:ascii="宋体" w:hAnsi="宋体"/>
          <w:color w:val="auto"/>
          <w:highlight w:val="none"/>
        </w:rPr>
        <w:t>5.支持健全社会救助体系</w:t>
      </w:r>
      <w:bookmarkEnd w:id="1165"/>
      <w:r>
        <w:rPr>
          <w:rStyle w:val="24"/>
          <w:rFonts w:hint="eastAsia" w:ascii="宋体" w:hAnsi="宋体"/>
          <w:color w:val="auto"/>
          <w:highlight w:val="none"/>
        </w:rPr>
        <w:t>。</w:t>
      </w:r>
      <w:bookmarkEnd w:id="1166"/>
      <w:bookmarkEnd w:id="1167"/>
      <w:bookmarkEnd w:id="1168"/>
      <w:bookmarkEnd w:id="1169"/>
      <w:r>
        <w:rPr>
          <w:rFonts w:hint="eastAsia" w:ascii="宋体" w:hAnsi="宋体"/>
          <w:color w:val="auto"/>
          <w:highlight w:val="none"/>
        </w:rPr>
        <w:t>建立健全</w:t>
      </w:r>
      <w:r>
        <w:rPr>
          <w:rFonts w:hint="eastAsia"/>
          <w:color w:val="auto"/>
          <w:highlight w:val="none"/>
          <w:lang w:eastAsia="zh-CN"/>
        </w:rPr>
        <w:t>与我省经济社会发展水平相适应的社会</w:t>
      </w:r>
      <w:r>
        <w:rPr>
          <w:rFonts w:hint="eastAsia" w:ascii="宋体" w:hAnsi="宋体"/>
          <w:color w:val="auto"/>
          <w:highlight w:val="none"/>
        </w:rPr>
        <w:t>救助标准动态调整机制，完善社会救助和保障标准与物价上涨挂钩联动机制</w:t>
      </w:r>
      <w:r>
        <w:rPr>
          <w:rFonts w:hint="eastAsia"/>
          <w:color w:val="auto"/>
          <w:highlight w:val="none"/>
          <w:lang w:eastAsia="zh-CN"/>
        </w:rPr>
        <w:t>相关政策</w:t>
      </w:r>
      <w:r>
        <w:rPr>
          <w:rFonts w:hint="eastAsia" w:ascii="宋体" w:hAnsi="宋体"/>
          <w:color w:val="auto"/>
          <w:highlight w:val="none"/>
        </w:rPr>
        <w:t>,逐步实现区域低保标准和特困人员救助供养标准的相对统一；全面落实资助参保救助对象参保缴费政策，健全重点救助对象医疗费用救助机制；健全困境儿童、农村留守儿童关爱服务体系，推进未成年人保护工作；完善残疾人社会福利保障制度，建立健全困难残疾人生活补贴和重度残疾人护理补贴标准动态调整机制。</w:t>
      </w:r>
    </w:p>
    <w:p>
      <w:pPr>
        <w:bidi w:val="0"/>
        <w:rPr>
          <w:rFonts w:ascii="宋体" w:hAnsi="宋体"/>
        </w:rPr>
      </w:pPr>
      <w:bookmarkStart w:id="1170" w:name="_Toc15398"/>
      <w:bookmarkStart w:id="1171" w:name="_Toc25032"/>
      <w:bookmarkStart w:id="1172" w:name="_Toc13862"/>
      <w:r>
        <w:rPr>
          <w:rStyle w:val="24"/>
          <w:rFonts w:hint="eastAsia" w:ascii="宋体" w:hAnsi="宋体"/>
        </w:rPr>
        <w:t>6.完善社保基金管理制度。</w:t>
      </w:r>
      <w:bookmarkEnd w:id="1170"/>
      <w:bookmarkEnd w:id="1171"/>
      <w:bookmarkEnd w:id="1172"/>
      <w:r>
        <w:rPr>
          <w:rFonts w:hint="eastAsia" w:ascii="宋体" w:hAnsi="宋体"/>
        </w:rPr>
        <w:t>加强社会保险基金预算管理，实现各级各类社会保险基金预算绩效全覆盖，强化预算执行，推进预算公开。落实国家要求，结合我省实际，推动研究建立社会保险精算制度，提升社会保险精算能力。</w:t>
      </w:r>
    </w:p>
    <w:p>
      <w:pPr>
        <w:pStyle w:val="5"/>
        <w:rPr>
          <w:rFonts w:ascii="宋体" w:hAnsi="宋体"/>
          <w:color w:val="auto"/>
          <w:szCs w:val="32"/>
          <w:highlight w:val="none"/>
        </w:rPr>
      </w:pPr>
      <w:bookmarkStart w:id="1173" w:name="_Toc6100"/>
      <w:bookmarkStart w:id="1174" w:name="_Toc19938"/>
      <w:bookmarkStart w:id="1175" w:name="_Toc1393"/>
      <w:bookmarkStart w:id="1176" w:name="_Toc3836"/>
      <w:bookmarkStart w:id="1177" w:name="_Toc12524"/>
      <w:bookmarkStart w:id="1178" w:name="_Toc16236"/>
      <w:r>
        <w:rPr>
          <w:rFonts w:hint="eastAsia" w:ascii="宋体" w:hAnsi="宋体"/>
          <w:color w:val="auto"/>
          <w:szCs w:val="32"/>
          <w:highlight w:val="none"/>
        </w:rPr>
        <w:t>（</w:t>
      </w:r>
      <w:r>
        <w:rPr>
          <w:rFonts w:hint="eastAsia" w:ascii="宋体" w:hAnsi="宋体"/>
          <w:color w:val="auto"/>
          <w:szCs w:val="32"/>
          <w:highlight w:val="none"/>
          <w:lang w:eastAsia="zh-CN"/>
        </w:rPr>
        <w:t>五</w:t>
      </w:r>
      <w:r>
        <w:rPr>
          <w:rFonts w:hint="eastAsia" w:ascii="宋体" w:hAnsi="宋体"/>
          <w:color w:val="auto"/>
          <w:szCs w:val="32"/>
          <w:highlight w:val="none"/>
        </w:rPr>
        <w:t>）支持推进健康吉林建设</w:t>
      </w:r>
      <w:bookmarkEnd w:id="1173"/>
      <w:bookmarkEnd w:id="1174"/>
      <w:bookmarkEnd w:id="1175"/>
      <w:bookmarkEnd w:id="1176"/>
      <w:bookmarkEnd w:id="1177"/>
      <w:bookmarkEnd w:id="1178"/>
    </w:p>
    <w:p>
      <w:pPr>
        <w:ind w:firstLine="643"/>
        <w:rPr>
          <w:rFonts w:ascii="宋体" w:hAnsi="宋体"/>
          <w:color w:val="auto"/>
          <w:highlight w:val="none"/>
        </w:rPr>
      </w:pPr>
      <w:bookmarkStart w:id="1179" w:name="_Toc11618"/>
      <w:bookmarkStart w:id="1180" w:name="_Toc10010"/>
      <w:bookmarkStart w:id="1181" w:name="_Toc6089"/>
      <w:bookmarkStart w:id="1182" w:name="_Toc18069"/>
      <w:bookmarkStart w:id="1183" w:name="_Toc25447"/>
      <w:r>
        <w:rPr>
          <w:rStyle w:val="24"/>
          <w:rFonts w:hint="eastAsia" w:ascii="宋体" w:hAnsi="宋体"/>
          <w:color w:val="auto"/>
          <w:highlight w:val="none"/>
        </w:rPr>
        <w:t>1.健全完善公共卫生事业投入机制</w:t>
      </w:r>
      <w:bookmarkEnd w:id="1179"/>
      <w:r>
        <w:rPr>
          <w:rStyle w:val="24"/>
          <w:rFonts w:hint="eastAsia" w:ascii="宋体" w:hAnsi="宋体"/>
          <w:color w:val="auto"/>
          <w:highlight w:val="none"/>
        </w:rPr>
        <w:t>。</w:t>
      </w:r>
      <w:bookmarkEnd w:id="1180"/>
      <w:bookmarkEnd w:id="1181"/>
      <w:bookmarkEnd w:id="1182"/>
      <w:bookmarkEnd w:id="1183"/>
      <w:r>
        <w:rPr>
          <w:rFonts w:hint="eastAsia" w:ascii="宋体" w:hAnsi="宋体"/>
          <w:color w:val="auto"/>
          <w:highlight w:val="none"/>
        </w:rPr>
        <w:t>根据国家基本公共卫生服务项目，合理确定基本公共卫生服务经费人均财政补助标准，促进基本公共卫生服务均等化，落实基本公共卫生服务经费分担机制。加强重大公共卫生和其他公共卫生服务经费保障，支持开展省内跨区域的重大传染病防控。</w:t>
      </w:r>
    </w:p>
    <w:p>
      <w:pPr>
        <w:ind w:firstLine="643"/>
        <w:rPr>
          <w:rFonts w:ascii="宋体" w:hAnsi="宋体"/>
          <w:color w:val="auto"/>
          <w:highlight w:val="none"/>
        </w:rPr>
      </w:pPr>
      <w:bookmarkStart w:id="1184" w:name="_Toc2244"/>
      <w:bookmarkStart w:id="1185" w:name="_Toc29510"/>
      <w:bookmarkStart w:id="1186" w:name="_Toc9539"/>
      <w:bookmarkStart w:id="1187" w:name="_Toc17151"/>
      <w:bookmarkStart w:id="1188" w:name="_Toc31898"/>
      <w:r>
        <w:rPr>
          <w:rStyle w:val="24"/>
          <w:rFonts w:hint="eastAsia" w:ascii="宋体" w:hAnsi="宋体"/>
          <w:color w:val="auto"/>
          <w:highlight w:val="none"/>
        </w:rPr>
        <w:t>2.强化疾病预防控制体系建设</w:t>
      </w:r>
      <w:bookmarkEnd w:id="1184"/>
      <w:r>
        <w:rPr>
          <w:rStyle w:val="24"/>
          <w:rFonts w:hint="eastAsia" w:ascii="宋体" w:hAnsi="宋体"/>
          <w:color w:val="auto"/>
          <w:highlight w:val="none"/>
        </w:rPr>
        <w:t>。</w:t>
      </w:r>
      <w:bookmarkEnd w:id="1185"/>
      <w:bookmarkEnd w:id="1186"/>
      <w:bookmarkEnd w:id="1187"/>
      <w:bookmarkEnd w:id="1188"/>
      <w:r>
        <w:rPr>
          <w:rFonts w:hint="eastAsia" w:ascii="宋体" w:hAnsi="宋体"/>
          <w:color w:val="auto"/>
          <w:highlight w:val="none"/>
        </w:rPr>
        <w:t>坚持“预防为主、防治结合”，加强公共卫生和重大疫情防控救治体系建设。落实各级医疗卫生机构投入责任，创新医防协同机制，加强基层疾病预防控制机构和实验室网络设施建设，改善疾控基础条件。支持健全完善我省传染病监测预警机制。加强医疗卫生人才队伍建设，健全待遇保障、考核评价和激励机制。</w:t>
      </w:r>
    </w:p>
    <w:p>
      <w:pPr>
        <w:ind w:firstLine="643"/>
        <w:rPr>
          <w:rFonts w:hint="eastAsia" w:ascii="宋体" w:hAnsi="宋体"/>
          <w:color w:val="auto"/>
          <w:highlight w:val="none"/>
        </w:rPr>
      </w:pPr>
      <w:bookmarkStart w:id="1189" w:name="_Toc19114"/>
      <w:bookmarkStart w:id="1190" w:name="_Toc28740"/>
      <w:bookmarkStart w:id="1191" w:name="_Toc16833"/>
      <w:bookmarkStart w:id="1192" w:name="_Toc31452"/>
      <w:bookmarkStart w:id="1193" w:name="_Toc17455"/>
      <w:r>
        <w:rPr>
          <w:rStyle w:val="24"/>
          <w:rFonts w:hint="eastAsia" w:ascii="宋体" w:hAnsi="宋体"/>
          <w:color w:val="auto"/>
          <w:highlight w:val="none"/>
        </w:rPr>
        <w:t>3.支持深化医药卫生体制改革</w:t>
      </w:r>
      <w:bookmarkEnd w:id="1189"/>
      <w:r>
        <w:rPr>
          <w:rStyle w:val="24"/>
          <w:rFonts w:hint="eastAsia" w:ascii="宋体" w:hAnsi="宋体"/>
          <w:color w:val="auto"/>
          <w:highlight w:val="none"/>
        </w:rPr>
        <w:t>。</w:t>
      </w:r>
      <w:bookmarkEnd w:id="1190"/>
      <w:bookmarkEnd w:id="1191"/>
      <w:bookmarkEnd w:id="1192"/>
      <w:bookmarkEnd w:id="1193"/>
      <w:r>
        <w:rPr>
          <w:rFonts w:hint="eastAsia" w:ascii="宋体" w:hAnsi="宋体"/>
          <w:color w:val="auto"/>
          <w:highlight w:val="none"/>
        </w:rPr>
        <w:t>继续深化医药卫生体制改革，落实政府对符合区域卫生规划的公立医院和中医医院的投入政策。按照国家部署要求，积极稳妥推进化解公立医院符合规定的长期债务。深入贯彻“允许医疗卫生机构突破现行事业单位工资调控水平，允许医疗服务收入扣除成本并按规定提取各项基金后主要用于人员奖励”的要求，继续开展公立医院综合改革效果评价考核，以及考核结构与分配补助资金挂钩机制，推进公立医院薪酬制度改革试点工作，落实院长（书记）年薪制。</w:t>
      </w:r>
    </w:p>
    <w:p>
      <w:pPr>
        <w:bidi w:val="0"/>
        <w:rPr>
          <w:rFonts w:ascii="宋体" w:hAnsi="宋体"/>
        </w:rPr>
      </w:pPr>
      <w:bookmarkStart w:id="1194" w:name="_Toc18377"/>
      <w:bookmarkStart w:id="1195" w:name="_Toc31910"/>
      <w:bookmarkStart w:id="1196" w:name="_Toc9784"/>
      <w:r>
        <w:rPr>
          <w:rStyle w:val="24"/>
          <w:rFonts w:hint="eastAsia" w:ascii="宋体" w:hAnsi="宋体"/>
        </w:rPr>
        <w:t>4.支持加快医疗资源区域均衡布局。</w:t>
      </w:r>
      <w:bookmarkEnd w:id="1194"/>
      <w:bookmarkEnd w:id="1195"/>
      <w:bookmarkEnd w:id="1196"/>
      <w:r>
        <w:rPr>
          <w:rFonts w:hint="eastAsia" w:ascii="宋体" w:hAnsi="宋体"/>
        </w:rPr>
        <w:t>支持优化优质医疗资源区域布局，新增医疗资源主要向医疗资源薄弱地区倾斜，减轻人民群众跨区域就医负担。引导优质医疗资源下沉基层，加强基层医疗卫生人才队伍建设，支持运用现代信息手段提高基层医疗卫生机构服务能力。支持推进家庭医生签约服务，推动建立分级诊疗模式。</w:t>
      </w:r>
    </w:p>
    <w:p>
      <w:pPr>
        <w:ind w:firstLine="643"/>
        <w:rPr>
          <w:rFonts w:ascii="宋体" w:hAnsi="宋体"/>
          <w:color w:val="auto"/>
          <w:highlight w:val="none"/>
        </w:rPr>
      </w:pPr>
      <w:bookmarkStart w:id="1197" w:name="_Toc20552"/>
      <w:bookmarkStart w:id="1198" w:name="_Toc22990"/>
      <w:bookmarkStart w:id="1199" w:name="_Toc28913"/>
      <w:bookmarkStart w:id="1200" w:name="_Toc23073"/>
      <w:bookmarkStart w:id="1201" w:name="_Toc12108"/>
      <w:r>
        <w:rPr>
          <w:rStyle w:val="24"/>
          <w:rFonts w:hint="eastAsia" w:ascii="宋体" w:hAnsi="宋体"/>
          <w:color w:val="auto"/>
          <w:highlight w:val="none"/>
          <w:lang w:val="en-US" w:eastAsia="zh-CN"/>
        </w:rPr>
        <w:t>5</w:t>
      </w:r>
      <w:r>
        <w:rPr>
          <w:rStyle w:val="24"/>
          <w:rFonts w:hint="eastAsia" w:ascii="宋体" w:hAnsi="宋体"/>
          <w:color w:val="auto"/>
          <w:highlight w:val="none"/>
        </w:rPr>
        <w:t>.支持完善全民健身公共服务体系，加快发展健康产业。</w:t>
      </w:r>
      <w:bookmarkEnd w:id="1197"/>
      <w:bookmarkEnd w:id="1198"/>
      <w:bookmarkEnd w:id="1199"/>
      <w:bookmarkEnd w:id="1200"/>
      <w:bookmarkEnd w:id="1201"/>
      <w:r>
        <w:rPr>
          <w:rFonts w:hint="eastAsia" w:ascii="宋体" w:hAnsi="宋体"/>
          <w:color w:val="auto"/>
          <w:highlight w:val="none"/>
        </w:rPr>
        <w:t>健全政府健康领域投入机制，调整优化财政支出结构，加大健康领域投入力度，促进形成多元筹资格局。推进健康事业与健康产业有机衔接，着力扩大健康产品供给，推动健康产业转型升级，满足人民群众多元化健康需求。支持非公立医疗机构向高水平、规模化方向发展，推动形成合理有序的就医格局。推进中医药产业发展，坚持中西医并重发展模式，继续实施中医药传承创新“百千万”人才工程。</w:t>
      </w:r>
    </w:p>
    <w:p>
      <w:pPr>
        <w:ind w:firstLine="643"/>
        <w:rPr>
          <w:rFonts w:ascii="宋体" w:hAnsi="宋体"/>
          <w:color w:val="auto"/>
          <w:highlight w:val="none"/>
        </w:rPr>
      </w:pPr>
      <w:bookmarkStart w:id="1202" w:name="_Toc18224"/>
      <w:bookmarkStart w:id="1203" w:name="_Toc32404"/>
      <w:bookmarkStart w:id="1204" w:name="_Toc30365"/>
      <w:bookmarkStart w:id="1205" w:name="_Toc29615"/>
      <w:bookmarkStart w:id="1206" w:name="_Toc9766"/>
      <w:r>
        <w:rPr>
          <w:rStyle w:val="24"/>
          <w:rFonts w:hint="eastAsia" w:ascii="宋体" w:hAnsi="宋体"/>
          <w:color w:val="auto"/>
          <w:highlight w:val="none"/>
          <w:lang w:val="en-US" w:eastAsia="zh-CN"/>
        </w:rPr>
        <w:t>6</w:t>
      </w:r>
      <w:r>
        <w:rPr>
          <w:rStyle w:val="24"/>
          <w:rFonts w:hint="eastAsia" w:ascii="宋体" w:hAnsi="宋体"/>
          <w:color w:val="auto"/>
          <w:highlight w:val="none"/>
        </w:rPr>
        <w:t>.支持实施食品药品安全监管</w:t>
      </w:r>
      <w:bookmarkEnd w:id="1202"/>
      <w:r>
        <w:rPr>
          <w:rStyle w:val="24"/>
          <w:rFonts w:hint="eastAsia" w:ascii="宋体" w:hAnsi="宋体"/>
          <w:color w:val="auto"/>
          <w:highlight w:val="none"/>
        </w:rPr>
        <w:t>。</w:t>
      </w:r>
      <w:bookmarkEnd w:id="1203"/>
      <w:bookmarkEnd w:id="1204"/>
      <w:bookmarkEnd w:id="1205"/>
      <w:bookmarkEnd w:id="1206"/>
      <w:r>
        <w:rPr>
          <w:rFonts w:hint="eastAsia" w:ascii="宋体" w:hAnsi="宋体"/>
          <w:color w:val="auto"/>
          <w:highlight w:val="none"/>
        </w:rPr>
        <w:t>支持完善“智慧药监”平台，研究探索建立“智慧食安”信息化平台建设，实现监管数据网上共享，提高基层一线监管执法工作质效。鼓励和引导社会资本进入食品药品安全专业化服务领域，构建多元化投入保障机制，为全面实施“健康中国”战略，守护好人民群众生命安全和身体健康提供保障。</w:t>
      </w:r>
    </w:p>
    <w:p>
      <w:pPr>
        <w:pStyle w:val="5"/>
        <w:rPr>
          <w:rFonts w:ascii="宋体" w:hAnsi="宋体"/>
          <w:color w:val="auto"/>
          <w:szCs w:val="32"/>
          <w:highlight w:val="none"/>
        </w:rPr>
      </w:pPr>
      <w:bookmarkStart w:id="1207" w:name="_Toc19997"/>
      <w:bookmarkStart w:id="1208" w:name="_Toc9030"/>
      <w:bookmarkStart w:id="1209" w:name="_Toc2437"/>
      <w:bookmarkStart w:id="1210" w:name="_Toc16756"/>
      <w:bookmarkStart w:id="1211" w:name="_Toc27750"/>
      <w:bookmarkStart w:id="1212" w:name="_Toc15405"/>
      <w:r>
        <w:rPr>
          <w:rFonts w:hint="eastAsia" w:ascii="宋体" w:hAnsi="宋体"/>
          <w:color w:val="auto"/>
          <w:szCs w:val="32"/>
          <w:highlight w:val="none"/>
        </w:rPr>
        <w:t>（</w:t>
      </w:r>
      <w:r>
        <w:rPr>
          <w:rFonts w:hint="eastAsia" w:ascii="宋体" w:hAnsi="宋体"/>
          <w:color w:val="auto"/>
          <w:szCs w:val="32"/>
          <w:highlight w:val="none"/>
          <w:lang w:eastAsia="zh-CN"/>
        </w:rPr>
        <w:t>六</w:t>
      </w:r>
      <w:r>
        <w:rPr>
          <w:rFonts w:hint="eastAsia" w:ascii="宋体" w:hAnsi="宋体"/>
          <w:color w:val="auto"/>
          <w:szCs w:val="32"/>
          <w:highlight w:val="none"/>
        </w:rPr>
        <w:t>）创新健全应对人口老龄化支持政策</w:t>
      </w:r>
      <w:bookmarkEnd w:id="1207"/>
      <w:bookmarkEnd w:id="1208"/>
      <w:bookmarkEnd w:id="1209"/>
      <w:bookmarkEnd w:id="1210"/>
      <w:bookmarkEnd w:id="1211"/>
      <w:bookmarkEnd w:id="1212"/>
    </w:p>
    <w:p>
      <w:pPr>
        <w:ind w:firstLine="643"/>
        <w:rPr>
          <w:rFonts w:ascii="宋体" w:hAnsi="宋体"/>
          <w:color w:val="auto"/>
          <w:highlight w:val="none"/>
        </w:rPr>
      </w:pPr>
      <w:bookmarkStart w:id="1213" w:name="_Toc11673"/>
      <w:bookmarkStart w:id="1214" w:name="_Toc5779"/>
      <w:bookmarkStart w:id="1215" w:name="_Toc9399"/>
      <w:bookmarkStart w:id="1216" w:name="_Toc9284"/>
      <w:bookmarkStart w:id="1217" w:name="_Toc21425"/>
      <w:r>
        <w:rPr>
          <w:rStyle w:val="24"/>
          <w:rFonts w:hint="eastAsia" w:ascii="宋体" w:hAnsi="宋体"/>
          <w:color w:val="auto"/>
          <w:highlight w:val="none"/>
        </w:rPr>
        <w:t>1.支持发展婴幼儿照护服务</w:t>
      </w:r>
      <w:bookmarkEnd w:id="1213"/>
      <w:r>
        <w:rPr>
          <w:rStyle w:val="24"/>
          <w:rFonts w:hint="eastAsia" w:ascii="宋体" w:hAnsi="宋体"/>
          <w:color w:val="auto"/>
          <w:highlight w:val="none"/>
        </w:rPr>
        <w:t>。</w:t>
      </w:r>
      <w:bookmarkEnd w:id="1214"/>
      <w:bookmarkEnd w:id="1215"/>
      <w:bookmarkEnd w:id="1216"/>
      <w:bookmarkEnd w:id="1217"/>
      <w:r>
        <w:rPr>
          <w:rFonts w:hint="eastAsia" w:ascii="宋体" w:hAnsi="宋体"/>
          <w:color w:val="auto"/>
          <w:highlight w:val="none"/>
        </w:rPr>
        <w:t>支持优化婴幼儿健康管理等基本公共卫生服务，鼓励探索有条件地区实施生育奖励政策，支持推动婴幼儿照护服务专业化、规范化发展，提高保育保教水平。支持国家实施三孩生育政策及配套支持措施，提高优生优育服务水平，发展普惠托育服务体系，降低生育、养育、教育成本，加强维护好计划生育家庭合法权益等政策调整有序衔接。</w:t>
      </w:r>
    </w:p>
    <w:p>
      <w:pPr>
        <w:ind w:firstLine="643"/>
        <w:rPr>
          <w:rFonts w:ascii="宋体" w:hAnsi="宋体"/>
          <w:color w:val="auto"/>
          <w:highlight w:val="none"/>
        </w:rPr>
      </w:pPr>
      <w:bookmarkStart w:id="1218" w:name="_Toc19657"/>
      <w:bookmarkStart w:id="1219" w:name="_Toc2350"/>
      <w:bookmarkStart w:id="1220" w:name="_Toc22608"/>
      <w:bookmarkStart w:id="1221" w:name="_Toc1318"/>
      <w:bookmarkStart w:id="1222" w:name="_Toc90"/>
      <w:r>
        <w:rPr>
          <w:rStyle w:val="24"/>
          <w:rFonts w:hint="eastAsia" w:ascii="宋体" w:hAnsi="宋体"/>
          <w:color w:val="auto"/>
          <w:highlight w:val="none"/>
        </w:rPr>
        <w:t>2.推动健全基本养老服务体系，支持养老服务业发展</w:t>
      </w:r>
      <w:bookmarkEnd w:id="1218"/>
      <w:r>
        <w:rPr>
          <w:rStyle w:val="24"/>
          <w:rFonts w:hint="eastAsia" w:ascii="宋体" w:hAnsi="宋体"/>
          <w:color w:val="auto"/>
          <w:highlight w:val="none"/>
        </w:rPr>
        <w:t>。</w:t>
      </w:r>
      <w:bookmarkEnd w:id="1219"/>
      <w:bookmarkEnd w:id="1220"/>
      <w:bookmarkEnd w:id="1221"/>
      <w:bookmarkEnd w:id="1222"/>
      <w:r>
        <w:rPr>
          <w:rFonts w:hint="eastAsia" w:ascii="宋体" w:hAnsi="宋体"/>
          <w:color w:val="auto"/>
          <w:highlight w:val="none"/>
        </w:rPr>
        <w:t>支持健全基本养老服务体系，完善经济困难的高龄、失能老年人补贴制度，优先保障经济困难的高龄、失能老年人的基本养老服务需求，进一步提升养老机构服务水平。推动居家、社区和机构养老融合发展，支持发展社区居家养老服务，不断完善社区居家养老服务功能，构建居家社区机构相协调、医养康养相结合的养老服务体系。加强老年人关爱服务，实施老年人居家适老化改造。</w:t>
      </w:r>
    </w:p>
    <w:p>
      <w:pPr>
        <w:ind w:firstLine="643"/>
        <w:rPr>
          <w:rFonts w:ascii="宋体" w:hAnsi="宋体"/>
          <w:color w:val="auto"/>
          <w:highlight w:val="none"/>
        </w:rPr>
      </w:pPr>
      <w:bookmarkStart w:id="1223" w:name="_Toc9982"/>
      <w:bookmarkStart w:id="1224" w:name="_Toc24751"/>
      <w:bookmarkStart w:id="1225" w:name="_Toc15742"/>
      <w:bookmarkStart w:id="1226" w:name="_Toc27436"/>
      <w:bookmarkStart w:id="1227" w:name="_Toc14790"/>
      <w:r>
        <w:rPr>
          <w:rStyle w:val="24"/>
          <w:rFonts w:hint="eastAsia" w:ascii="宋体" w:hAnsi="宋体"/>
          <w:color w:val="auto"/>
          <w:highlight w:val="none"/>
        </w:rPr>
        <w:t>3.稳步推进长期护理保险试点</w:t>
      </w:r>
      <w:bookmarkEnd w:id="1223"/>
      <w:r>
        <w:rPr>
          <w:rStyle w:val="24"/>
          <w:rFonts w:hint="eastAsia" w:ascii="宋体" w:hAnsi="宋体"/>
          <w:color w:val="auto"/>
          <w:highlight w:val="none"/>
        </w:rPr>
        <w:t>。</w:t>
      </w:r>
      <w:bookmarkEnd w:id="1224"/>
      <w:bookmarkEnd w:id="1225"/>
      <w:bookmarkEnd w:id="1226"/>
      <w:bookmarkEnd w:id="1227"/>
      <w:r>
        <w:rPr>
          <w:rFonts w:hint="eastAsia" w:ascii="宋体" w:hAnsi="宋体"/>
          <w:color w:val="auto"/>
          <w:highlight w:val="none"/>
        </w:rPr>
        <w:t>健全长期护理险制度，完善长期护理保险筹资标准和待遇支付政策，实现长期护理保险与基本医疗保险统筹层次一致，资金筹集使用同步。</w:t>
      </w:r>
    </w:p>
    <w:p>
      <w:pPr>
        <w:pStyle w:val="4"/>
        <w:ind w:firstLine="640" w:firstLineChars="200"/>
        <w:rPr>
          <w:rFonts w:ascii="宋体" w:hAnsi="宋体"/>
          <w:color w:val="auto"/>
          <w:szCs w:val="32"/>
          <w:highlight w:val="none"/>
        </w:rPr>
      </w:pPr>
      <w:bookmarkStart w:id="1228" w:name="_Toc24326"/>
      <w:bookmarkStart w:id="1229" w:name="_Toc1270"/>
      <w:bookmarkStart w:id="1230" w:name="_Toc12818"/>
      <w:bookmarkStart w:id="1231" w:name="_Toc24238"/>
      <w:bookmarkStart w:id="1232" w:name="_Toc8944"/>
      <w:bookmarkStart w:id="1233" w:name="_Toc32487"/>
      <w:r>
        <w:rPr>
          <w:rFonts w:hint="eastAsia" w:ascii="宋体" w:hAnsi="宋体"/>
          <w:color w:val="auto"/>
          <w:szCs w:val="32"/>
          <w:highlight w:val="none"/>
        </w:rPr>
        <w:t>十八、全力支持建设更高水平平安吉林</w:t>
      </w:r>
      <w:bookmarkEnd w:id="1228"/>
      <w:bookmarkEnd w:id="1229"/>
      <w:bookmarkEnd w:id="1230"/>
      <w:bookmarkEnd w:id="1231"/>
      <w:bookmarkEnd w:id="1232"/>
      <w:bookmarkEnd w:id="1233"/>
      <w:bookmarkStart w:id="1234" w:name="_Toc22821"/>
    </w:p>
    <w:bookmarkEnd w:id="1234"/>
    <w:p>
      <w:pPr>
        <w:rPr>
          <w:rFonts w:ascii="宋体" w:hAnsi="宋体" w:eastAsia="仿宋"/>
          <w:color w:val="auto"/>
          <w:kern w:val="2"/>
          <w:szCs w:val="24"/>
          <w:highlight w:val="none"/>
        </w:rPr>
      </w:pPr>
      <w:bookmarkStart w:id="1235" w:name="_Toc27117"/>
      <w:r>
        <w:rPr>
          <w:rFonts w:hint="eastAsia" w:ascii="宋体" w:hAnsi="宋体"/>
          <w:color w:val="auto"/>
          <w:highlight w:val="none"/>
          <w:lang w:eastAsia="zh-CN"/>
        </w:rPr>
        <w:t>牢固树立总体国家安全观，坚持底线思维，统筹发展和安全。支持推进国家安全体系和能力现代化，统筹推进各领域国家安全和财政安全工作，高度关注财政风险防范化解，建立关联风险评估机制，防范相关风险向财政传导。</w:t>
      </w:r>
      <w:bookmarkEnd w:id="1235"/>
    </w:p>
    <w:p>
      <w:pPr>
        <w:pStyle w:val="5"/>
        <w:rPr>
          <w:rFonts w:ascii="宋体" w:hAnsi="宋体"/>
          <w:color w:val="auto"/>
          <w:highlight w:val="none"/>
        </w:rPr>
      </w:pPr>
      <w:bookmarkStart w:id="1236" w:name="_Toc3877"/>
      <w:bookmarkStart w:id="1237" w:name="_Toc1441"/>
      <w:bookmarkStart w:id="1238" w:name="_Toc19170"/>
      <w:bookmarkStart w:id="1239" w:name="_Toc12252"/>
      <w:bookmarkStart w:id="1240" w:name="_Toc26355"/>
      <w:r>
        <w:rPr>
          <w:rFonts w:hint="eastAsia" w:ascii="宋体" w:hAnsi="宋体"/>
          <w:color w:val="auto"/>
          <w:highlight w:val="none"/>
        </w:rPr>
        <w:t>（一）切实维护财政安全</w:t>
      </w:r>
      <w:bookmarkEnd w:id="1236"/>
      <w:bookmarkEnd w:id="1237"/>
      <w:bookmarkEnd w:id="1238"/>
      <w:bookmarkEnd w:id="1239"/>
      <w:bookmarkEnd w:id="1240"/>
    </w:p>
    <w:p>
      <w:pPr>
        <w:ind w:firstLine="643"/>
        <w:rPr>
          <w:rFonts w:ascii="宋体" w:hAnsi="宋体"/>
          <w:color w:val="auto"/>
          <w:highlight w:val="none"/>
        </w:rPr>
      </w:pPr>
      <w:bookmarkStart w:id="1241" w:name="_Toc27668"/>
      <w:bookmarkStart w:id="1242" w:name="_Toc24093"/>
      <w:bookmarkStart w:id="1243" w:name="_Toc19366"/>
      <w:bookmarkStart w:id="1244" w:name="_Toc21951"/>
      <w:r>
        <w:rPr>
          <w:rStyle w:val="24"/>
          <w:rFonts w:hint="eastAsia" w:ascii="宋体" w:hAnsi="宋体"/>
          <w:color w:val="auto"/>
          <w:highlight w:val="none"/>
        </w:rPr>
        <w:t>1.</w:t>
      </w:r>
      <w:r>
        <w:rPr>
          <w:rStyle w:val="24"/>
          <w:rFonts w:hint="eastAsia" w:ascii="宋体" w:hAnsi="宋体"/>
          <w:color w:val="auto"/>
          <w:highlight w:val="none"/>
          <w:lang w:eastAsia="zh-CN"/>
        </w:rPr>
        <w:t>确保</w:t>
      </w:r>
      <w:r>
        <w:rPr>
          <w:rStyle w:val="24"/>
          <w:rFonts w:hint="eastAsia" w:ascii="宋体" w:hAnsi="宋体"/>
          <w:color w:val="auto"/>
          <w:highlight w:val="none"/>
        </w:rPr>
        <w:t>财政可持续</w:t>
      </w:r>
      <w:r>
        <w:rPr>
          <w:rStyle w:val="24"/>
          <w:rFonts w:hint="eastAsia" w:ascii="宋体" w:hAnsi="宋体"/>
          <w:color w:val="auto"/>
          <w:highlight w:val="none"/>
          <w:lang w:eastAsia="zh-CN"/>
        </w:rPr>
        <w:t>运行</w:t>
      </w:r>
      <w:r>
        <w:rPr>
          <w:rStyle w:val="24"/>
          <w:rFonts w:hint="eastAsia" w:ascii="宋体" w:hAnsi="宋体"/>
          <w:color w:val="auto"/>
          <w:highlight w:val="none"/>
        </w:rPr>
        <w:t>。</w:t>
      </w:r>
      <w:bookmarkEnd w:id="1241"/>
      <w:bookmarkEnd w:id="1242"/>
      <w:bookmarkEnd w:id="1243"/>
      <w:bookmarkEnd w:id="1244"/>
      <w:r>
        <w:rPr>
          <w:rFonts w:hint="eastAsia" w:ascii="宋体" w:hAnsi="宋体"/>
          <w:color w:val="auto"/>
          <w:highlight w:val="none"/>
        </w:rPr>
        <w:t>平衡好促发展和防风险的关系，建立各类关联风险评估机制，配合相关部门主动应对化解，高度警惕和防范各类风险向财政转移集聚。根据财政经济形势、财政收支状况等，结合稳增长、防风险和增强财政可持续性需要，合理确定新增债务限额和预算支出安排，并大力优化支出结构、提高资金使用效率。健全地方政府依法适度举债机制，防范化解地方政府隐性债务风险，确保债务和风险同步降低，确保不发生处置风险的风险。加强社会保险基金管理，</w:t>
      </w:r>
      <w:r>
        <w:rPr>
          <w:rFonts w:hint="eastAsia" w:ascii="宋体" w:hAnsi="宋体"/>
          <w:color w:val="auto"/>
          <w:highlight w:val="none"/>
          <w:lang w:eastAsia="zh-CN"/>
        </w:rPr>
        <w:t>定期精算评估基金收支状况，及时对可能出现的风险作出预警。完善划转国有资本充实社会保险基金制度，促进基本养老保险基金长期平稳运行。</w:t>
      </w:r>
      <w:r>
        <w:rPr>
          <w:rFonts w:hint="eastAsia" w:ascii="宋体" w:hAnsi="宋体"/>
          <w:color w:val="auto"/>
          <w:highlight w:val="none"/>
        </w:rPr>
        <w:t>完善基本医疗保险个人、单位和政府三方筹资缴费责任均衡机制，实现医保基金平稳运行。</w:t>
      </w:r>
    </w:p>
    <w:p>
      <w:pPr>
        <w:ind w:firstLine="643"/>
        <w:rPr>
          <w:rFonts w:ascii="宋体" w:hAnsi="宋体"/>
          <w:color w:val="auto"/>
          <w:highlight w:val="none"/>
        </w:rPr>
      </w:pPr>
      <w:bookmarkStart w:id="1245" w:name="_Toc14174"/>
      <w:bookmarkStart w:id="1246" w:name="_Toc21681"/>
      <w:bookmarkStart w:id="1247" w:name="_Toc6956"/>
      <w:bookmarkStart w:id="1248" w:name="_Toc26390"/>
      <w:r>
        <w:rPr>
          <w:rStyle w:val="24"/>
          <w:rFonts w:hint="eastAsia" w:ascii="宋体" w:hAnsi="宋体"/>
          <w:color w:val="auto"/>
          <w:highlight w:val="none"/>
        </w:rPr>
        <w:t>2.提升民生政策可持续性。</w:t>
      </w:r>
      <w:bookmarkEnd w:id="1245"/>
      <w:bookmarkEnd w:id="1246"/>
      <w:bookmarkEnd w:id="1247"/>
      <w:bookmarkEnd w:id="1248"/>
      <w:r>
        <w:rPr>
          <w:rFonts w:hint="eastAsia" w:ascii="宋体" w:hAnsi="宋体"/>
          <w:color w:val="auto"/>
          <w:highlight w:val="none"/>
        </w:rPr>
        <w:t>规范民生支出管理，防范民生领域过高承诺过度保障风险，确保民生政策与财力状况相匹配。加强财政可承受能力评估，对拟出台的民生政策和项目，全面分析对财政支出的短期和长远影响，对评估认定财政难以承受的，一律不得实施。推动建立民生支出清单管理制度，对出台的各领域民生政策进行梳理，明确相关政策名称、保障范围、支出标准、备案流程等，按程序报上级政府备案，提高民生支出管理的规范性和透明度。</w:t>
      </w:r>
      <w:r>
        <w:rPr>
          <w:rFonts w:hint="eastAsia" w:ascii="宋体" w:hAnsi="宋体"/>
          <w:color w:val="auto"/>
          <w:highlight w:val="none"/>
          <w:lang w:eastAsia="zh-CN"/>
        </w:rPr>
        <w:t>清理取消自行出台的不合理、不可持续民生政策，难以取消的不再扩大范围和提高标准，逐步并入相关政策统筹考虑。</w:t>
      </w:r>
    </w:p>
    <w:p>
      <w:pPr>
        <w:ind w:firstLine="643"/>
        <w:rPr>
          <w:rFonts w:ascii="宋体" w:hAnsi="宋体"/>
          <w:color w:val="auto"/>
          <w:highlight w:val="none"/>
        </w:rPr>
      </w:pPr>
      <w:bookmarkStart w:id="1249" w:name="_Toc11533"/>
      <w:bookmarkStart w:id="1250" w:name="_Toc12013"/>
      <w:bookmarkStart w:id="1251" w:name="_Toc4441"/>
      <w:bookmarkStart w:id="1252" w:name="_Toc12097"/>
      <w:r>
        <w:rPr>
          <w:rStyle w:val="24"/>
          <w:rFonts w:hint="eastAsia" w:ascii="宋体" w:hAnsi="宋体"/>
          <w:color w:val="auto"/>
          <w:highlight w:val="none"/>
        </w:rPr>
        <w:t>3.坚决防范基层“三保”风险。</w:t>
      </w:r>
      <w:bookmarkEnd w:id="1249"/>
      <w:bookmarkEnd w:id="1250"/>
      <w:bookmarkEnd w:id="1251"/>
      <w:bookmarkEnd w:id="1252"/>
      <w:r>
        <w:rPr>
          <w:rFonts w:hint="eastAsia" w:ascii="宋体" w:hAnsi="宋体"/>
          <w:color w:val="auto"/>
          <w:highlight w:val="none"/>
        </w:rPr>
        <w:t>将</w:t>
      </w:r>
      <w:r>
        <w:rPr>
          <w:rFonts w:hint="eastAsia" w:ascii="宋体" w:hAnsi="宋体"/>
          <w:color w:val="auto"/>
          <w:highlight w:val="none"/>
          <w:lang w:eastAsia="zh-CN"/>
        </w:rPr>
        <w:t>基层</w:t>
      </w:r>
      <w:r>
        <w:rPr>
          <w:rFonts w:hint="eastAsia" w:ascii="宋体" w:hAnsi="宋体"/>
          <w:color w:val="auto"/>
          <w:highlight w:val="none"/>
        </w:rPr>
        <w:t>“三保”作为一项重要政治任务，坚决杜绝拖欠教师工资等问题，确保“三保”不出风险。坚持“三保”支出在财政支出中的优先地位，将“三保”作为预算安排的重点足额编列、不留缺口。加强对市县预算的审核，督促市县打足“三保”预算。加强执行监测，</w:t>
      </w:r>
      <w:r>
        <w:rPr>
          <w:rFonts w:hint="eastAsia" w:ascii="宋体" w:hAnsi="宋体"/>
          <w:color w:val="auto"/>
          <w:highlight w:val="none"/>
          <w:lang w:eastAsia="zh-CN"/>
        </w:rPr>
        <w:t>利用预算管理一体化系统</w:t>
      </w:r>
      <w:r>
        <w:rPr>
          <w:rFonts w:hint="eastAsia" w:ascii="宋体" w:hAnsi="宋体"/>
          <w:color w:val="auto"/>
          <w:highlight w:val="none"/>
        </w:rPr>
        <w:t>，动态掌握基层执行情况，严禁挤占挪用“三保”支出。</w:t>
      </w:r>
    </w:p>
    <w:p>
      <w:pPr>
        <w:pStyle w:val="5"/>
        <w:rPr>
          <w:rFonts w:ascii="宋体" w:hAnsi="宋体"/>
          <w:color w:val="auto"/>
          <w:highlight w:val="none"/>
        </w:rPr>
      </w:pPr>
      <w:bookmarkStart w:id="1253" w:name="_Toc31757"/>
      <w:bookmarkStart w:id="1254" w:name="_Toc31733"/>
      <w:bookmarkStart w:id="1255" w:name="_Toc12809"/>
      <w:bookmarkStart w:id="1256" w:name="_Toc4763"/>
      <w:bookmarkStart w:id="1257" w:name="_Toc19605"/>
      <w:r>
        <w:rPr>
          <w:rFonts w:hint="eastAsia" w:ascii="宋体" w:hAnsi="宋体"/>
          <w:color w:val="auto"/>
          <w:highlight w:val="none"/>
        </w:rPr>
        <w:t>（二）支持保障经济安全</w:t>
      </w:r>
      <w:bookmarkEnd w:id="1253"/>
      <w:bookmarkEnd w:id="1254"/>
      <w:bookmarkEnd w:id="1255"/>
      <w:bookmarkEnd w:id="1256"/>
      <w:bookmarkEnd w:id="1257"/>
    </w:p>
    <w:p>
      <w:pPr>
        <w:ind w:firstLine="643"/>
        <w:rPr>
          <w:rFonts w:ascii="宋体" w:hAnsi="宋体"/>
          <w:color w:val="auto"/>
          <w:highlight w:val="none"/>
        </w:rPr>
      </w:pPr>
      <w:bookmarkStart w:id="1258" w:name="_Toc25515"/>
      <w:bookmarkStart w:id="1259" w:name="_Toc6849"/>
      <w:bookmarkStart w:id="1260" w:name="_Toc175"/>
      <w:bookmarkStart w:id="1261" w:name="_Toc29188"/>
      <w:r>
        <w:rPr>
          <w:rStyle w:val="24"/>
          <w:rFonts w:hint="eastAsia" w:ascii="宋体" w:hAnsi="宋体"/>
          <w:color w:val="auto"/>
          <w:highlight w:val="none"/>
        </w:rPr>
        <w:t>1.支持实施粮食安全战略。</w:t>
      </w:r>
      <w:bookmarkEnd w:id="1258"/>
      <w:bookmarkEnd w:id="1259"/>
      <w:bookmarkEnd w:id="1260"/>
      <w:bookmarkEnd w:id="1261"/>
      <w:r>
        <w:rPr>
          <w:rFonts w:hint="eastAsia" w:ascii="宋体" w:hAnsi="宋体"/>
          <w:color w:val="auto"/>
          <w:highlight w:val="none"/>
        </w:rPr>
        <w:t>深入</w:t>
      </w:r>
      <w:r>
        <w:rPr>
          <w:rFonts w:hint="eastAsia" w:ascii="宋体" w:hAnsi="宋体"/>
          <w:color w:val="auto"/>
          <w:highlight w:val="none"/>
          <w:lang w:eastAsia="zh-CN"/>
        </w:rPr>
        <w:t>落实</w:t>
      </w:r>
      <w:r>
        <w:rPr>
          <w:rFonts w:hint="eastAsia" w:ascii="宋体" w:hAnsi="宋体"/>
          <w:color w:val="auto"/>
          <w:highlight w:val="none"/>
        </w:rPr>
        <w:t>藏粮于地、藏粮于技战略，巩固提升农业综合生产能力。</w:t>
      </w:r>
      <w:r>
        <w:rPr>
          <w:rFonts w:hint="eastAsia"/>
          <w:color w:val="auto"/>
          <w:highlight w:val="none"/>
          <w:lang w:eastAsia="zh-CN"/>
        </w:rPr>
        <w:t>打造中西部粮食安全产业带，建设东北平原粮食安全产业带。</w:t>
      </w:r>
      <w:r>
        <w:rPr>
          <w:rFonts w:hint="eastAsia" w:ascii="宋体" w:hAnsi="宋体"/>
          <w:color w:val="auto"/>
          <w:highlight w:val="none"/>
        </w:rPr>
        <w:t>落实粮食主产区利益补偿机制，继续实施产粮大县奖励政策，稳定和加强种粮农民补贴，巩固市场化收购加生产者补贴改革成效,充分调动</w:t>
      </w:r>
      <w:r>
        <w:rPr>
          <w:rFonts w:hint="eastAsia" w:ascii="宋体" w:hAnsi="宋体"/>
          <w:color w:val="auto"/>
          <w:highlight w:val="none"/>
          <w:lang w:eastAsia="zh-CN"/>
        </w:rPr>
        <w:t>基层</w:t>
      </w:r>
      <w:r>
        <w:rPr>
          <w:rFonts w:hint="eastAsia" w:ascii="宋体" w:hAnsi="宋体"/>
          <w:color w:val="auto"/>
          <w:highlight w:val="none"/>
        </w:rPr>
        <w:t>政府“重农抓粮”和农民“种粮”两个积极性。支持深入实施优质粮食工程，</w:t>
      </w:r>
      <w:r>
        <w:rPr>
          <w:rFonts w:hint="eastAsia" w:ascii="宋体" w:hAnsi="宋体"/>
          <w:color w:val="auto"/>
          <w:highlight w:val="none"/>
          <w:lang w:eastAsia="zh-CN"/>
        </w:rPr>
        <w:t>建设</w:t>
      </w:r>
      <w:r>
        <w:rPr>
          <w:rFonts w:hint="eastAsia" w:ascii="宋体" w:hAnsi="宋体"/>
          <w:color w:val="auto"/>
          <w:highlight w:val="none"/>
        </w:rPr>
        <w:t>吉林粮食品牌</w:t>
      </w:r>
      <w:r>
        <w:rPr>
          <w:rFonts w:hint="eastAsia" w:ascii="宋体" w:hAnsi="宋体"/>
          <w:color w:val="auto"/>
          <w:highlight w:val="none"/>
          <w:lang w:eastAsia="zh-CN"/>
        </w:rPr>
        <w:t>，</w:t>
      </w:r>
      <w:r>
        <w:rPr>
          <w:rFonts w:hint="eastAsia" w:ascii="宋体" w:hAnsi="宋体"/>
          <w:color w:val="auto"/>
          <w:highlight w:val="none"/>
        </w:rPr>
        <w:t>推动粮食产业创新发展、提质增效。支持粮食储备基础设施建设，提升粮食收储能力。优化粮食储备结构和布局，完善粮食储备体系，提升应急保障能力。支持完善粮食宏观调控体系，夯实省级粮油调控物质基础，维护粮食市场稳定。支持</w:t>
      </w:r>
      <w:r>
        <w:rPr>
          <w:rFonts w:hint="eastAsia" w:ascii="宋体" w:hAnsi="宋体"/>
          <w:color w:val="auto"/>
          <w:highlight w:val="none"/>
          <w:lang w:eastAsia="zh-CN"/>
        </w:rPr>
        <w:t>落实</w:t>
      </w:r>
      <w:r>
        <w:rPr>
          <w:rFonts w:hint="eastAsia" w:ascii="宋体" w:hAnsi="宋体"/>
          <w:color w:val="auto"/>
          <w:highlight w:val="none"/>
        </w:rPr>
        <w:t>粮食安全</w:t>
      </w:r>
      <w:r>
        <w:rPr>
          <w:rFonts w:hint="eastAsia"/>
          <w:color w:val="auto"/>
          <w:highlight w:val="none"/>
          <w:lang w:eastAsia="zh-CN"/>
        </w:rPr>
        <w:t>党政同责制度</w:t>
      </w:r>
      <w:r>
        <w:rPr>
          <w:rFonts w:hint="eastAsia" w:ascii="宋体" w:hAnsi="宋体"/>
          <w:color w:val="auto"/>
          <w:highlight w:val="none"/>
        </w:rPr>
        <w:t>，压实</w:t>
      </w:r>
      <w:r>
        <w:rPr>
          <w:rFonts w:hint="eastAsia" w:ascii="宋体" w:hAnsi="宋体"/>
          <w:color w:val="auto"/>
          <w:highlight w:val="none"/>
          <w:lang w:eastAsia="zh-CN"/>
        </w:rPr>
        <w:t>粮食“产购储加销”</w:t>
      </w:r>
      <w:r>
        <w:rPr>
          <w:rFonts w:hint="eastAsia" w:ascii="宋体" w:hAnsi="宋体"/>
          <w:color w:val="auto"/>
          <w:highlight w:val="none"/>
        </w:rPr>
        <w:t>责任。</w:t>
      </w:r>
    </w:p>
    <w:p>
      <w:pPr>
        <w:ind w:firstLine="643"/>
        <w:rPr>
          <w:rFonts w:ascii="宋体" w:hAnsi="宋体"/>
          <w:color w:val="auto"/>
          <w:highlight w:val="none"/>
        </w:rPr>
      </w:pPr>
      <w:bookmarkStart w:id="1262" w:name="_Toc13077"/>
      <w:bookmarkStart w:id="1263" w:name="_Toc2274"/>
      <w:bookmarkStart w:id="1264" w:name="_Toc23103"/>
      <w:bookmarkStart w:id="1265" w:name="_Toc8124"/>
      <w:bookmarkStart w:id="1266" w:name="_Toc24975"/>
      <w:r>
        <w:rPr>
          <w:rStyle w:val="24"/>
          <w:rFonts w:hint="eastAsia" w:ascii="宋体" w:hAnsi="宋体"/>
          <w:color w:val="auto"/>
          <w:highlight w:val="none"/>
        </w:rPr>
        <w:t>2.支持完善能源安全保障体系。</w:t>
      </w:r>
      <w:bookmarkEnd w:id="1262"/>
      <w:bookmarkEnd w:id="1263"/>
      <w:bookmarkEnd w:id="1264"/>
      <w:bookmarkEnd w:id="1265"/>
      <w:bookmarkEnd w:id="1266"/>
      <w:r>
        <w:rPr>
          <w:rFonts w:hint="eastAsia" w:ascii="宋体" w:hAnsi="宋体"/>
          <w:color w:val="auto"/>
          <w:highlight w:val="none"/>
        </w:rPr>
        <w:t>探索建立以保障能源安全供应为核心的财政政策，推动能源转型向纵深发展。</w:t>
      </w:r>
      <w:r>
        <w:rPr>
          <w:rFonts w:hint="eastAsia" w:ascii="宋体" w:hAnsi="宋体"/>
          <w:color w:val="auto"/>
          <w:highlight w:val="none"/>
          <w:lang w:eastAsia="zh-CN"/>
        </w:rPr>
        <w:t>配合有关部门，</w:t>
      </w:r>
      <w:r>
        <w:rPr>
          <w:rFonts w:hint="eastAsia" w:ascii="宋体" w:hAnsi="宋体"/>
          <w:color w:val="auto"/>
          <w:highlight w:val="none"/>
        </w:rPr>
        <w:t>研究建立能源价格市场化的长效政策机制，</w:t>
      </w:r>
      <w:r>
        <w:rPr>
          <w:rFonts w:hint="eastAsia" w:ascii="宋体" w:hAnsi="宋体"/>
          <w:color w:val="auto"/>
          <w:highlight w:val="none"/>
          <w:lang w:eastAsia="zh-CN"/>
        </w:rPr>
        <w:t>支持能源多元供应。支持发展新能源汽车和相关配套设施，引导能源消费转型替代。</w:t>
      </w:r>
    </w:p>
    <w:p>
      <w:pPr>
        <w:pStyle w:val="5"/>
        <w:rPr>
          <w:rFonts w:ascii="宋体" w:hAnsi="宋体"/>
          <w:color w:val="auto"/>
          <w:highlight w:val="none"/>
        </w:rPr>
      </w:pPr>
      <w:bookmarkStart w:id="1267" w:name="_Toc2991"/>
      <w:bookmarkStart w:id="1268" w:name="_Toc8441"/>
      <w:bookmarkStart w:id="1269" w:name="_Toc21705"/>
      <w:bookmarkStart w:id="1270" w:name="_Toc18694"/>
      <w:bookmarkStart w:id="1271" w:name="_Toc8501"/>
      <w:bookmarkStart w:id="1272" w:name="_Toc30480"/>
      <w:r>
        <w:rPr>
          <w:rFonts w:hint="eastAsia" w:ascii="宋体" w:hAnsi="宋体"/>
          <w:color w:val="auto"/>
          <w:highlight w:val="none"/>
        </w:rPr>
        <w:t>（三）支持提高人民生命财产安全保障</w:t>
      </w:r>
      <w:bookmarkEnd w:id="1267"/>
      <w:bookmarkEnd w:id="1268"/>
      <w:bookmarkEnd w:id="1269"/>
      <w:bookmarkEnd w:id="1270"/>
      <w:bookmarkEnd w:id="1271"/>
      <w:bookmarkEnd w:id="1272"/>
    </w:p>
    <w:p>
      <w:pPr>
        <w:ind w:firstLine="643"/>
        <w:rPr>
          <w:rFonts w:ascii="宋体" w:hAnsi="宋体"/>
          <w:color w:val="auto"/>
          <w:highlight w:val="none"/>
        </w:rPr>
      </w:pPr>
      <w:bookmarkStart w:id="1273" w:name="_Toc4713"/>
      <w:bookmarkStart w:id="1274" w:name="_Toc3111"/>
      <w:bookmarkStart w:id="1275" w:name="_Toc21550"/>
      <w:bookmarkStart w:id="1276" w:name="_Toc5418"/>
      <w:bookmarkStart w:id="1277" w:name="_Toc7886"/>
      <w:r>
        <w:rPr>
          <w:rStyle w:val="24"/>
          <w:rFonts w:hint="eastAsia" w:ascii="宋体" w:hAnsi="宋体"/>
          <w:color w:val="auto"/>
          <w:highlight w:val="none"/>
        </w:rPr>
        <w:t>1.支持提高灾害事故应对能力。</w:t>
      </w:r>
      <w:bookmarkEnd w:id="1273"/>
      <w:bookmarkEnd w:id="1274"/>
      <w:bookmarkEnd w:id="1275"/>
      <w:bookmarkEnd w:id="1276"/>
      <w:bookmarkEnd w:id="1277"/>
      <w:r>
        <w:rPr>
          <w:rFonts w:hint="eastAsia" w:ascii="宋体" w:hAnsi="宋体"/>
          <w:color w:val="auto"/>
          <w:highlight w:val="none"/>
        </w:rPr>
        <w:t>完善财政应急管理政策体系，</w:t>
      </w:r>
      <w:r>
        <w:rPr>
          <w:rFonts w:hint="eastAsia" w:ascii="宋体" w:hAnsi="宋体"/>
          <w:color w:val="auto"/>
          <w:highlight w:val="none"/>
          <w:lang w:eastAsia="zh-CN"/>
        </w:rPr>
        <w:t>坚持以防为主，</w:t>
      </w:r>
      <w:r>
        <w:rPr>
          <w:rFonts w:hint="eastAsia" w:ascii="宋体" w:hAnsi="宋体"/>
          <w:color w:val="auto"/>
          <w:highlight w:val="none"/>
        </w:rPr>
        <w:t>支持自然灾害防御工程建设，完成自然灾害风险普查等重点工作任务，提升应对自然灾害综合防范能力。支持重点地区开展地质灾害风险调查、重点隐患排查、综合治理。</w:t>
      </w:r>
    </w:p>
    <w:p>
      <w:pPr>
        <w:ind w:firstLine="643"/>
        <w:rPr>
          <w:rFonts w:ascii="宋体" w:hAnsi="宋体"/>
          <w:color w:val="auto"/>
          <w:highlight w:val="none"/>
        </w:rPr>
      </w:pPr>
      <w:bookmarkStart w:id="1278" w:name="_Toc29544"/>
      <w:bookmarkStart w:id="1279" w:name="_Toc11666"/>
      <w:bookmarkStart w:id="1280" w:name="_Toc15075"/>
      <w:bookmarkStart w:id="1281" w:name="_Toc11656"/>
      <w:bookmarkStart w:id="1282" w:name="_Toc17403"/>
      <w:r>
        <w:rPr>
          <w:rStyle w:val="24"/>
          <w:rFonts w:hint="eastAsia" w:ascii="宋体" w:hAnsi="宋体"/>
          <w:color w:val="auto"/>
          <w:highlight w:val="none"/>
        </w:rPr>
        <w:t>2.支持提升灾害事故应急救援能力。</w:t>
      </w:r>
      <w:bookmarkEnd w:id="1278"/>
      <w:bookmarkEnd w:id="1279"/>
      <w:bookmarkEnd w:id="1280"/>
      <w:bookmarkEnd w:id="1281"/>
      <w:bookmarkEnd w:id="1282"/>
      <w:r>
        <w:rPr>
          <w:rFonts w:hint="eastAsia" w:ascii="宋体" w:hAnsi="宋体"/>
          <w:color w:val="auto"/>
          <w:highlight w:val="none"/>
        </w:rPr>
        <w:t>支持国家综合性消防救援队伍建设，健全完善吉林省综合性消防救援队伍地方经费保障政策。支持加强专业救援队伍和基地建设，加大先进适用装备支持力度，提高灾害和事故抢险救援能力。支持应急物资保障体系建设，加强省级应急物资储备管理，构建科学高效的现代化应急物资保障体系。</w:t>
      </w:r>
    </w:p>
    <w:p>
      <w:pPr>
        <w:ind w:firstLine="643"/>
        <w:rPr>
          <w:rFonts w:ascii="宋体" w:hAnsi="宋体"/>
          <w:color w:val="auto"/>
          <w:highlight w:val="none"/>
        </w:rPr>
      </w:pPr>
      <w:bookmarkStart w:id="1283" w:name="_Toc5144"/>
      <w:bookmarkStart w:id="1284" w:name="_Toc24790"/>
      <w:bookmarkStart w:id="1285" w:name="_Toc583"/>
      <w:bookmarkStart w:id="1286" w:name="_Toc6424"/>
      <w:bookmarkStart w:id="1287" w:name="_Toc1642"/>
      <w:r>
        <w:rPr>
          <w:rStyle w:val="24"/>
          <w:rFonts w:hint="eastAsia" w:ascii="宋体" w:hAnsi="宋体"/>
          <w:color w:val="auto"/>
          <w:highlight w:val="none"/>
        </w:rPr>
        <w:t>3.完善安全生产工作支持机制</w:t>
      </w:r>
      <w:bookmarkEnd w:id="1283"/>
      <w:r>
        <w:rPr>
          <w:rStyle w:val="24"/>
          <w:rFonts w:hint="eastAsia" w:ascii="宋体" w:hAnsi="宋体"/>
          <w:color w:val="auto"/>
          <w:highlight w:val="none"/>
        </w:rPr>
        <w:t>。</w:t>
      </w:r>
      <w:bookmarkEnd w:id="1284"/>
      <w:bookmarkEnd w:id="1285"/>
      <w:bookmarkEnd w:id="1286"/>
      <w:bookmarkEnd w:id="1287"/>
      <w:r>
        <w:rPr>
          <w:rFonts w:hint="eastAsia" w:ascii="宋体" w:hAnsi="宋体"/>
          <w:color w:val="auto"/>
          <w:highlight w:val="none"/>
        </w:rPr>
        <w:t>强化对安全生产工作的经费保障，加强对安全生产风险防控、重大安全隐患治理和监管监察能力建设的支持。完善企业安全生产费用提取管理使用办法和监督机制，严格落实企业安全投入责任。</w:t>
      </w:r>
    </w:p>
    <w:p>
      <w:pPr>
        <w:ind w:firstLine="643"/>
        <w:rPr>
          <w:rFonts w:ascii="宋体" w:hAnsi="宋体"/>
          <w:color w:val="auto"/>
          <w:highlight w:val="none"/>
        </w:rPr>
      </w:pPr>
      <w:bookmarkStart w:id="1288" w:name="_Toc15709"/>
      <w:bookmarkStart w:id="1289" w:name="_Toc32574"/>
      <w:bookmarkStart w:id="1290" w:name="_Toc31493"/>
      <w:bookmarkStart w:id="1291" w:name="_Toc30562"/>
      <w:bookmarkStart w:id="1292" w:name="_Toc17828"/>
      <w:r>
        <w:rPr>
          <w:rStyle w:val="24"/>
          <w:rFonts w:hint="eastAsia" w:ascii="宋体" w:hAnsi="宋体"/>
          <w:color w:val="auto"/>
          <w:highlight w:val="none"/>
        </w:rPr>
        <w:t>4.支持社会治安综合管理。</w:t>
      </w:r>
      <w:bookmarkEnd w:id="1288"/>
      <w:bookmarkEnd w:id="1289"/>
      <w:bookmarkEnd w:id="1290"/>
      <w:bookmarkEnd w:id="1291"/>
      <w:bookmarkEnd w:id="1292"/>
      <w:r>
        <w:rPr>
          <w:rFonts w:hint="eastAsia"/>
          <w:lang w:eastAsia="zh-CN"/>
        </w:rPr>
        <w:t>加强政法领域资金管理，研究完善与提升社会治理能力相适应的经费保障机制。继续大力支持反恐、禁毒、罪犯改造等重点工作，并适当向民族地区、边境地区等倾斜。完善辅警相关保障制度。支持开展维护社会稳定工作，发挥中央和省级信访救助资金效益。</w:t>
      </w:r>
    </w:p>
    <w:p>
      <w:pPr>
        <w:ind w:firstLine="643"/>
        <w:rPr>
          <w:rFonts w:ascii="宋体" w:hAnsi="宋体"/>
          <w:color w:val="auto"/>
          <w:highlight w:val="none"/>
        </w:rPr>
      </w:pPr>
      <w:bookmarkStart w:id="1293" w:name="_Toc13187"/>
      <w:bookmarkStart w:id="1294" w:name="_Toc26651"/>
      <w:bookmarkStart w:id="1295" w:name="_Toc8123"/>
      <w:bookmarkStart w:id="1296" w:name="_Toc259"/>
      <w:bookmarkStart w:id="1297" w:name="_Toc23249"/>
      <w:r>
        <w:rPr>
          <w:rStyle w:val="24"/>
          <w:rFonts w:hint="eastAsia" w:ascii="宋体" w:hAnsi="宋体"/>
          <w:color w:val="auto"/>
          <w:highlight w:val="none"/>
        </w:rPr>
        <w:t>5.支持法治社会建设。</w:t>
      </w:r>
      <w:bookmarkEnd w:id="1293"/>
      <w:bookmarkEnd w:id="1294"/>
      <w:bookmarkEnd w:id="1295"/>
      <w:bookmarkEnd w:id="1296"/>
      <w:bookmarkEnd w:id="1297"/>
      <w:r>
        <w:rPr>
          <w:rFonts w:hint="eastAsia" w:ascii="宋体" w:hAnsi="宋体"/>
          <w:color w:val="auto"/>
          <w:highlight w:val="none"/>
        </w:rPr>
        <w:t>完善政法部门经费保障体系，</w:t>
      </w:r>
      <w:r>
        <w:rPr>
          <w:rFonts w:hint="eastAsia" w:ascii="宋体" w:hAnsi="宋体"/>
          <w:color w:val="auto"/>
          <w:highlight w:val="none"/>
          <w:lang w:eastAsia="zh-CN"/>
        </w:rPr>
        <w:t>深化司法体制改革</w:t>
      </w:r>
      <w:r>
        <w:rPr>
          <w:rFonts w:hint="eastAsia" w:ascii="宋体" w:hAnsi="宋体"/>
          <w:color w:val="auto"/>
          <w:highlight w:val="none"/>
        </w:rPr>
        <w:t>。</w:t>
      </w:r>
      <w:r>
        <w:rPr>
          <w:rFonts w:hint="eastAsia" w:ascii="宋体" w:hAnsi="宋体"/>
          <w:color w:val="auto"/>
          <w:highlight w:val="none"/>
          <w:lang w:eastAsia="zh-CN"/>
        </w:rPr>
        <w:t>支持</w:t>
      </w:r>
      <w:r>
        <w:rPr>
          <w:rFonts w:hint="eastAsia" w:ascii="宋体" w:hAnsi="宋体"/>
          <w:color w:val="auto"/>
          <w:highlight w:val="none"/>
        </w:rPr>
        <w:t>公共法律服务</w:t>
      </w:r>
      <w:r>
        <w:rPr>
          <w:rFonts w:hint="eastAsia" w:ascii="宋体" w:hAnsi="宋体"/>
          <w:color w:val="auto"/>
          <w:highlight w:val="none"/>
          <w:lang w:eastAsia="zh-CN"/>
        </w:rPr>
        <w:t>体系建设，增强</w:t>
      </w:r>
      <w:r>
        <w:rPr>
          <w:rFonts w:hint="eastAsia" w:ascii="宋体" w:hAnsi="宋体"/>
          <w:color w:val="auto"/>
          <w:highlight w:val="none"/>
        </w:rPr>
        <w:t>法律援助、司法救助</w:t>
      </w:r>
      <w:r>
        <w:rPr>
          <w:rFonts w:hint="eastAsia" w:ascii="宋体" w:hAnsi="宋体"/>
          <w:color w:val="auto"/>
          <w:highlight w:val="none"/>
          <w:lang w:eastAsia="zh-CN"/>
        </w:rPr>
        <w:t>的</w:t>
      </w:r>
      <w:r>
        <w:rPr>
          <w:rFonts w:hint="eastAsia" w:ascii="宋体" w:hAnsi="宋体"/>
          <w:color w:val="auto"/>
          <w:highlight w:val="none"/>
          <w:lang w:val="en-US" w:eastAsia="zh-CN"/>
        </w:rPr>
        <w:t>兜底功能</w:t>
      </w:r>
      <w:r>
        <w:rPr>
          <w:rFonts w:hint="eastAsia" w:ascii="宋体" w:hAnsi="宋体"/>
          <w:color w:val="auto"/>
          <w:highlight w:val="none"/>
        </w:rPr>
        <w:t>。支持开展多途径、多角度的普法宣传和普法教育活动。</w:t>
      </w:r>
    </w:p>
    <w:p>
      <w:pPr>
        <w:pStyle w:val="4"/>
        <w:ind w:firstLine="640" w:firstLineChars="200"/>
        <w:rPr>
          <w:rFonts w:ascii="宋体" w:hAnsi="宋体"/>
          <w:color w:val="auto"/>
          <w:highlight w:val="none"/>
        </w:rPr>
      </w:pPr>
      <w:bookmarkStart w:id="1298" w:name="_Toc1903"/>
      <w:bookmarkStart w:id="1299" w:name="_Toc12137"/>
      <w:bookmarkStart w:id="1300" w:name="_Toc8276"/>
      <w:bookmarkStart w:id="1301" w:name="_Toc20926"/>
      <w:bookmarkStart w:id="1302" w:name="_Toc32615"/>
      <w:bookmarkStart w:id="1303" w:name="_Toc23347"/>
      <w:r>
        <w:rPr>
          <w:rFonts w:hint="eastAsia" w:ascii="宋体" w:hAnsi="宋体"/>
          <w:color w:val="auto"/>
          <w:highlight w:val="none"/>
        </w:rPr>
        <w:t>十九、推进全面从严治党不断向纵深发展</w:t>
      </w:r>
      <w:bookmarkEnd w:id="1298"/>
      <w:bookmarkEnd w:id="1299"/>
      <w:bookmarkEnd w:id="1300"/>
      <w:bookmarkEnd w:id="1301"/>
      <w:bookmarkEnd w:id="1302"/>
      <w:bookmarkEnd w:id="1303"/>
    </w:p>
    <w:p>
      <w:pPr>
        <w:rPr>
          <w:rFonts w:ascii="宋体" w:hAnsi="宋体"/>
          <w:color w:val="auto"/>
          <w:highlight w:val="none"/>
        </w:rPr>
      </w:pPr>
      <w:bookmarkStart w:id="1304" w:name="_Toc17642"/>
      <w:r>
        <w:rPr>
          <w:rFonts w:hint="eastAsia" w:ascii="宋体" w:hAnsi="宋体"/>
          <w:color w:val="auto"/>
          <w:highlight w:val="none"/>
        </w:rPr>
        <w:t>把党的政治建设摆在首位，</w:t>
      </w:r>
      <w:r>
        <w:rPr>
          <w:rFonts w:ascii="宋体" w:hAnsi="宋体"/>
          <w:color w:val="auto"/>
          <w:highlight w:val="none"/>
        </w:rPr>
        <w:t>坚持党的全面领导，</w:t>
      </w:r>
      <w:r>
        <w:rPr>
          <w:rFonts w:hint="eastAsia" w:ascii="宋体" w:hAnsi="宋体"/>
          <w:color w:val="auto"/>
          <w:highlight w:val="none"/>
        </w:rPr>
        <w:t>在党的政治、思想、组织、作风等各方面提出新要求新任务新举措，以新担当、新作为扎实推进全面从严治党向纵深发展。</w:t>
      </w:r>
    </w:p>
    <w:p>
      <w:pPr>
        <w:pStyle w:val="5"/>
        <w:rPr>
          <w:rFonts w:ascii="宋体" w:hAnsi="宋体"/>
          <w:color w:val="auto"/>
          <w:highlight w:val="none"/>
        </w:rPr>
      </w:pPr>
      <w:bookmarkStart w:id="1305" w:name="_Toc19216"/>
      <w:bookmarkStart w:id="1306" w:name="_Toc13430"/>
      <w:bookmarkStart w:id="1307" w:name="_Toc20662"/>
      <w:bookmarkStart w:id="1308" w:name="_Toc3896"/>
      <w:bookmarkStart w:id="1309" w:name="_Toc272"/>
      <w:r>
        <w:rPr>
          <w:rFonts w:hint="eastAsia" w:ascii="宋体" w:hAnsi="宋体"/>
          <w:color w:val="auto"/>
          <w:highlight w:val="none"/>
        </w:rPr>
        <w:t>（一）加强思想政治建设</w:t>
      </w:r>
      <w:bookmarkEnd w:id="1304"/>
      <w:bookmarkEnd w:id="1305"/>
      <w:bookmarkEnd w:id="1306"/>
      <w:bookmarkEnd w:id="1307"/>
      <w:bookmarkEnd w:id="1308"/>
      <w:bookmarkEnd w:id="1309"/>
    </w:p>
    <w:p>
      <w:pPr>
        <w:ind w:firstLine="643"/>
        <w:rPr>
          <w:rFonts w:ascii="宋体" w:hAnsi="宋体"/>
          <w:color w:val="auto"/>
          <w:highlight w:val="none"/>
        </w:rPr>
      </w:pPr>
      <w:bookmarkStart w:id="1310" w:name="_Toc4888"/>
      <w:bookmarkStart w:id="1311" w:name="_Toc27005"/>
      <w:bookmarkStart w:id="1312" w:name="_Toc22133"/>
      <w:bookmarkStart w:id="1313" w:name="_Toc3011"/>
      <w:bookmarkStart w:id="1314" w:name="_Toc18743"/>
      <w:r>
        <w:rPr>
          <w:rStyle w:val="24"/>
          <w:rFonts w:hint="eastAsia" w:ascii="宋体" w:hAnsi="宋体"/>
          <w:color w:val="auto"/>
          <w:highlight w:val="none"/>
        </w:rPr>
        <w:t>1.强化政治机关意识。</w:t>
      </w:r>
      <w:bookmarkEnd w:id="1310"/>
      <w:bookmarkEnd w:id="1311"/>
      <w:bookmarkEnd w:id="1312"/>
      <w:bookmarkEnd w:id="1313"/>
      <w:bookmarkEnd w:id="1314"/>
      <w:r>
        <w:rPr>
          <w:rFonts w:hint="eastAsia" w:ascii="宋体" w:hAnsi="宋体"/>
          <w:color w:val="auto"/>
          <w:highlight w:val="none"/>
        </w:rPr>
        <w:t>深入学习贯彻习近平新时代中国特色社会主义思想、党的十九大、二十大和中央、省委全会精神。深刻领会习近平总书记关于加强党的政治建设、牢固树立政治机关意识核心要求，牢固树立“</w:t>
      </w:r>
      <w:r>
        <w:rPr>
          <w:rFonts w:hint="eastAsia" w:ascii="宋体" w:hAnsi="宋体"/>
          <w:color w:val="auto"/>
          <w:highlight w:val="none"/>
          <w:lang w:eastAsia="zh-CN"/>
        </w:rPr>
        <w:t>以政统财、以财保政</w:t>
      </w:r>
      <w:r>
        <w:rPr>
          <w:rFonts w:hint="eastAsia" w:ascii="宋体" w:hAnsi="宋体"/>
          <w:color w:val="auto"/>
          <w:highlight w:val="none"/>
        </w:rPr>
        <w:t>”理念，不断增强“四个意识”、坚定“四个自信”</w:t>
      </w:r>
      <w:r>
        <w:rPr>
          <w:rFonts w:hint="eastAsia"/>
          <w:color w:val="auto"/>
          <w:highlight w:val="none"/>
          <w:lang w:eastAsia="zh-CN"/>
        </w:rPr>
        <w:t>、</w:t>
      </w:r>
      <w:r>
        <w:rPr>
          <w:rFonts w:hint="eastAsia" w:ascii="宋体" w:hAnsi="宋体"/>
          <w:color w:val="auto"/>
          <w:highlight w:val="none"/>
        </w:rPr>
        <w:t>做到“两个维护”，充分彰显政治机关属性，确保财政事业始终沿着正确的政治方向发展。</w:t>
      </w:r>
    </w:p>
    <w:p>
      <w:pPr>
        <w:ind w:firstLine="643"/>
        <w:rPr>
          <w:rFonts w:ascii="宋体" w:hAnsi="宋体"/>
          <w:color w:val="auto"/>
          <w:highlight w:val="none"/>
        </w:rPr>
      </w:pPr>
      <w:bookmarkStart w:id="1315" w:name="_Toc14127"/>
      <w:bookmarkStart w:id="1316" w:name="_Toc10200"/>
      <w:bookmarkStart w:id="1317" w:name="_Toc13486"/>
      <w:bookmarkStart w:id="1318" w:name="_Toc20593"/>
      <w:bookmarkStart w:id="1319" w:name="_Toc30823"/>
      <w:r>
        <w:rPr>
          <w:rStyle w:val="24"/>
          <w:rFonts w:hint="eastAsia" w:ascii="宋体" w:hAnsi="宋体"/>
          <w:color w:val="auto"/>
          <w:highlight w:val="none"/>
        </w:rPr>
        <w:t>2.严明政治纪律和政治规矩。</w:t>
      </w:r>
      <w:bookmarkEnd w:id="1315"/>
      <w:bookmarkEnd w:id="1316"/>
      <w:bookmarkEnd w:id="1317"/>
      <w:bookmarkEnd w:id="1318"/>
      <w:bookmarkEnd w:id="1319"/>
      <w:r>
        <w:rPr>
          <w:rFonts w:hint="eastAsia" w:ascii="宋体" w:hAnsi="宋体"/>
          <w:color w:val="auto"/>
          <w:highlight w:val="none"/>
        </w:rPr>
        <w:t>切实增强纪律和规矩</w:t>
      </w:r>
      <w:bookmarkStart w:id="1454" w:name="_GoBack"/>
      <w:bookmarkEnd w:id="1454"/>
      <w:r>
        <w:rPr>
          <w:rFonts w:hint="eastAsia" w:ascii="宋体" w:hAnsi="宋体"/>
          <w:color w:val="auto"/>
          <w:highlight w:val="none"/>
        </w:rPr>
        <w:t>意识，坚持以党章党规党纪为标尺，开展经常性政治体检。持续加强对党纪法规知识宣传教育，严格落实廉政谈话制度，常态化开展警示教育，教育引导党员干部做到“五个必须”、防止“七个有之”，自觉做到“四个服从”，在政治立场、政治方向、政治原则、政治道路上同党中央保持高度一致，在部署推进工作时把握政治要求，确保符合中央要求，契合吉林实际，体现财政担当。</w:t>
      </w:r>
    </w:p>
    <w:p>
      <w:pPr>
        <w:ind w:firstLine="643"/>
        <w:rPr>
          <w:rFonts w:ascii="宋体" w:hAnsi="宋体"/>
          <w:color w:val="auto"/>
          <w:highlight w:val="none"/>
        </w:rPr>
      </w:pPr>
      <w:bookmarkStart w:id="1320" w:name="_Toc28024"/>
      <w:bookmarkStart w:id="1321" w:name="_Toc13526"/>
      <w:bookmarkStart w:id="1322" w:name="_Toc20889"/>
      <w:bookmarkStart w:id="1323" w:name="_Toc22272"/>
      <w:bookmarkStart w:id="1324" w:name="_Toc9555"/>
      <w:r>
        <w:rPr>
          <w:rStyle w:val="24"/>
          <w:rFonts w:hint="eastAsia" w:ascii="宋体" w:hAnsi="宋体"/>
          <w:color w:val="auto"/>
          <w:highlight w:val="none"/>
        </w:rPr>
        <w:t>3.切实加强理论武装。</w:t>
      </w:r>
      <w:bookmarkEnd w:id="1320"/>
      <w:bookmarkEnd w:id="1321"/>
      <w:bookmarkEnd w:id="1322"/>
      <w:bookmarkEnd w:id="1323"/>
      <w:bookmarkEnd w:id="1324"/>
      <w:r>
        <w:rPr>
          <w:rFonts w:hint="eastAsia" w:ascii="宋体" w:hAnsi="宋体"/>
          <w:color w:val="auto"/>
          <w:highlight w:val="none"/>
        </w:rPr>
        <w:t>严格落实“第一议题”制度，把深入学习贯彻习近平新时代中国特色社会主义思想</w:t>
      </w:r>
      <w:r>
        <w:rPr>
          <w:rFonts w:hint="eastAsia"/>
          <w:color w:val="auto"/>
          <w:highlight w:val="none"/>
          <w:lang w:eastAsia="zh-CN"/>
        </w:rPr>
        <w:t>、</w:t>
      </w:r>
      <w:r>
        <w:rPr>
          <w:rFonts w:hint="eastAsia" w:ascii="宋体" w:hAnsi="宋体"/>
          <w:color w:val="auto"/>
          <w:highlight w:val="none"/>
        </w:rPr>
        <w:t>习近平总书记视察吉林重要讲话重要指示</w:t>
      </w:r>
      <w:r>
        <w:rPr>
          <w:rFonts w:hint="eastAsia"/>
          <w:color w:val="auto"/>
          <w:highlight w:val="none"/>
          <w:lang w:eastAsia="zh-CN"/>
        </w:rPr>
        <w:t>和</w:t>
      </w:r>
      <w:r>
        <w:rPr>
          <w:rFonts w:hint="eastAsia" w:ascii="宋体" w:hAnsi="宋体"/>
          <w:color w:val="auto"/>
          <w:highlight w:val="none"/>
        </w:rPr>
        <w:t>关于财政工作的重要指示精神作为首要政治任务。不断深化对财政工作政治性的认识，及时跟进学习习近平总书记重要讲话精神，在学懂弄通做实上有更高要求，在笃信笃行上下更大功夫，打牢思想统一、步调一致的基础。</w:t>
      </w:r>
    </w:p>
    <w:p>
      <w:pPr>
        <w:ind w:firstLine="643"/>
        <w:rPr>
          <w:rFonts w:ascii="宋体" w:hAnsi="宋体"/>
          <w:color w:val="auto"/>
          <w:highlight w:val="none"/>
        </w:rPr>
      </w:pPr>
      <w:bookmarkStart w:id="1325" w:name="_Toc14047"/>
      <w:bookmarkStart w:id="1326" w:name="_Toc27044"/>
      <w:bookmarkStart w:id="1327" w:name="_Toc3705"/>
      <w:bookmarkStart w:id="1328" w:name="_Toc11178"/>
      <w:bookmarkStart w:id="1329" w:name="_Toc14243"/>
      <w:r>
        <w:rPr>
          <w:rStyle w:val="24"/>
          <w:rFonts w:hint="eastAsia" w:ascii="宋体" w:hAnsi="宋体"/>
          <w:color w:val="auto"/>
          <w:highlight w:val="none"/>
        </w:rPr>
        <w:t>4.扎实做好意识形态工作。</w:t>
      </w:r>
      <w:bookmarkEnd w:id="1325"/>
      <w:bookmarkEnd w:id="1326"/>
      <w:bookmarkEnd w:id="1327"/>
      <w:bookmarkEnd w:id="1328"/>
      <w:bookmarkEnd w:id="1329"/>
      <w:r>
        <w:rPr>
          <w:rFonts w:hint="eastAsia" w:ascii="宋体" w:hAnsi="宋体"/>
          <w:color w:val="auto"/>
          <w:highlight w:val="none"/>
        </w:rPr>
        <w:t>严格落实意识形态工作责任制，将意识形态工作摆在重要位置，纳入重要议事日程，纳入党建工作责任制，纳入领导班子、领导干部目标管理，与财政业务工作紧密结合，一同部署、一同落实。督促基层党支部抓好意识形态工作，推动责任落细落实、落地生根。定期分析研判意识形态领域情况，对意识形态领域的重大事件、重要情况、倾向性苗头性问题及时跟踪，有效应对。加强厅属意识形态阵地的管控和风险排查，防范化解意识形态风险。</w:t>
      </w:r>
    </w:p>
    <w:p>
      <w:pPr>
        <w:pStyle w:val="5"/>
        <w:rPr>
          <w:rFonts w:ascii="宋体" w:hAnsi="宋体"/>
          <w:color w:val="auto"/>
          <w:highlight w:val="none"/>
        </w:rPr>
      </w:pPr>
      <w:bookmarkStart w:id="1330" w:name="_Toc21500"/>
      <w:bookmarkStart w:id="1331" w:name="_Toc29222"/>
      <w:bookmarkStart w:id="1332" w:name="_Toc29029"/>
      <w:bookmarkStart w:id="1333" w:name="_Toc19712"/>
      <w:bookmarkStart w:id="1334" w:name="_Toc32122"/>
      <w:bookmarkStart w:id="1335" w:name="_Toc17765"/>
      <w:r>
        <w:rPr>
          <w:rFonts w:hint="eastAsia" w:ascii="宋体" w:hAnsi="宋体"/>
          <w:color w:val="auto"/>
          <w:highlight w:val="none"/>
        </w:rPr>
        <w:t>（二）加强组织建设</w:t>
      </w:r>
      <w:bookmarkEnd w:id="1330"/>
      <w:bookmarkEnd w:id="1331"/>
      <w:bookmarkEnd w:id="1332"/>
      <w:bookmarkEnd w:id="1333"/>
      <w:bookmarkEnd w:id="1334"/>
      <w:bookmarkEnd w:id="1335"/>
    </w:p>
    <w:p>
      <w:pPr>
        <w:ind w:firstLine="643"/>
        <w:rPr>
          <w:rFonts w:ascii="宋体" w:hAnsi="宋体"/>
          <w:color w:val="auto"/>
          <w:highlight w:val="none"/>
        </w:rPr>
      </w:pPr>
      <w:bookmarkStart w:id="1336" w:name="_Toc2197"/>
      <w:bookmarkStart w:id="1337" w:name="_Toc29973"/>
      <w:bookmarkStart w:id="1338" w:name="_Toc21944"/>
      <w:bookmarkStart w:id="1339" w:name="_Toc20322"/>
      <w:bookmarkStart w:id="1340" w:name="_Toc1752"/>
      <w:r>
        <w:rPr>
          <w:rStyle w:val="24"/>
          <w:rFonts w:hint="eastAsia" w:ascii="宋体" w:hAnsi="宋体"/>
          <w:color w:val="auto"/>
          <w:highlight w:val="none"/>
        </w:rPr>
        <w:t>1.推动党建基础工作规范化。</w:t>
      </w:r>
      <w:bookmarkEnd w:id="1336"/>
      <w:bookmarkEnd w:id="1337"/>
      <w:bookmarkEnd w:id="1338"/>
      <w:bookmarkEnd w:id="1339"/>
      <w:bookmarkEnd w:id="1340"/>
      <w:r>
        <w:rPr>
          <w:rFonts w:hint="eastAsia" w:ascii="宋体" w:hAnsi="宋体"/>
          <w:color w:val="auto"/>
          <w:highlight w:val="none"/>
        </w:rPr>
        <w:t>全面落实《中国共产党支部工作条例（试行）》和《中国共产党党和国家机关基层组织工作条例》，牢固树立“一切工作到支部”的鲜明导向，以提高党组织的组织力为重点，以新时代吉林党支部标准体系（BTX）建设为抓手，以“五化”方式抓落实，进一步夯实党建工作基础。</w:t>
      </w:r>
    </w:p>
    <w:p>
      <w:pPr>
        <w:ind w:firstLine="643"/>
        <w:rPr>
          <w:rFonts w:ascii="宋体" w:hAnsi="宋体"/>
          <w:color w:val="auto"/>
          <w:highlight w:val="none"/>
        </w:rPr>
      </w:pPr>
      <w:bookmarkStart w:id="1341" w:name="_Toc8010"/>
      <w:bookmarkStart w:id="1342" w:name="_Toc5405"/>
      <w:bookmarkStart w:id="1343" w:name="_Toc2279"/>
      <w:bookmarkStart w:id="1344" w:name="_Toc29140"/>
      <w:bookmarkStart w:id="1345" w:name="_Toc30218"/>
      <w:r>
        <w:rPr>
          <w:rStyle w:val="24"/>
          <w:rFonts w:hint="eastAsia" w:ascii="宋体" w:hAnsi="宋体"/>
          <w:color w:val="auto"/>
          <w:highlight w:val="none"/>
        </w:rPr>
        <w:t>2.提高党内政治生活质量。</w:t>
      </w:r>
      <w:bookmarkEnd w:id="1341"/>
      <w:bookmarkEnd w:id="1342"/>
      <w:bookmarkEnd w:id="1343"/>
      <w:bookmarkEnd w:id="1344"/>
      <w:bookmarkEnd w:id="1345"/>
      <w:r>
        <w:rPr>
          <w:rFonts w:hint="eastAsia" w:ascii="宋体" w:hAnsi="宋体"/>
          <w:color w:val="auto"/>
          <w:highlight w:val="none"/>
        </w:rPr>
        <w:t>强化党性观念，增强党员意识，强化对组织生活制度权威性、严肃性的认知。严格按照组织生活制度要求，坚持民主集中制，严格执行“三会一课”、党员领导干部双重组织生活、谈心谈话、民主评议党员等制度。完善重温入党誓词、入党志愿书、党员过“政治生日”等政治仪式，推动党的组织生活制度化、常态化、规范化、民主化。</w:t>
      </w:r>
    </w:p>
    <w:p>
      <w:pPr>
        <w:ind w:firstLine="643"/>
        <w:rPr>
          <w:rFonts w:ascii="宋体" w:hAnsi="宋体"/>
          <w:color w:val="auto"/>
          <w:highlight w:val="none"/>
        </w:rPr>
      </w:pPr>
      <w:bookmarkStart w:id="1346" w:name="_Toc2398"/>
      <w:bookmarkStart w:id="1347" w:name="_Toc25968"/>
      <w:bookmarkStart w:id="1348" w:name="_Toc5650"/>
      <w:bookmarkStart w:id="1349" w:name="_Toc409"/>
      <w:bookmarkStart w:id="1350" w:name="_Toc4313"/>
      <w:r>
        <w:rPr>
          <w:rStyle w:val="24"/>
          <w:rFonts w:hint="eastAsia" w:ascii="宋体" w:hAnsi="宋体"/>
          <w:color w:val="auto"/>
          <w:highlight w:val="none"/>
        </w:rPr>
        <w:t>3.加强“三型”党组织建设。</w:t>
      </w:r>
      <w:bookmarkEnd w:id="1346"/>
      <w:bookmarkEnd w:id="1347"/>
      <w:bookmarkEnd w:id="1348"/>
      <w:bookmarkEnd w:id="1349"/>
      <w:bookmarkEnd w:id="1350"/>
      <w:r>
        <w:rPr>
          <w:rFonts w:hint="eastAsia" w:ascii="宋体" w:hAnsi="宋体"/>
          <w:color w:val="auto"/>
          <w:highlight w:val="none"/>
        </w:rPr>
        <w:t>将“三型”党组织建设作为推进我厅党建工作与业务工作深度融合的有力抓手和重要载体，通过不断深化落实，逐步将其打造成具有我厅鲜明特色的党建品牌。围绕打造高素质党员干部队伍，推进学习型党组织建设。坚持把工作实绩作为衡量学习成效的根本标准，推动中央和省委决策部署转化为谋发展促发展的具体行动。围绕服务大局、为民理财要求，推进服务型党组织建设。围绕履行职责和增强活力，推进创新型党组织建设。</w:t>
      </w:r>
    </w:p>
    <w:p>
      <w:pPr>
        <w:ind w:firstLine="643"/>
        <w:rPr>
          <w:rFonts w:ascii="宋体" w:hAnsi="宋体"/>
          <w:color w:val="auto"/>
          <w:highlight w:val="none"/>
        </w:rPr>
      </w:pPr>
      <w:bookmarkStart w:id="1351" w:name="_Toc7545"/>
      <w:bookmarkStart w:id="1352" w:name="_Toc8836"/>
      <w:bookmarkStart w:id="1353" w:name="_Toc25819"/>
      <w:bookmarkStart w:id="1354" w:name="_Toc1414"/>
      <w:bookmarkStart w:id="1355" w:name="_Toc29746"/>
      <w:r>
        <w:rPr>
          <w:rStyle w:val="24"/>
          <w:rFonts w:hint="eastAsia" w:ascii="宋体" w:hAnsi="宋体"/>
          <w:color w:val="auto"/>
          <w:highlight w:val="none"/>
        </w:rPr>
        <w:t>4.加强党务干部队伍建设。</w:t>
      </w:r>
      <w:bookmarkEnd w:id="1351"/>
      <w:bookmarkEnd w:id="1352"/>
      <w:bookmarkEnd w:id="1353"/>
      <w:bookmarkEnd w:id="1354"/>
      <w:bookmarkEnd w:id="1355"/>
      <w:r>
        <w:rPr>
          <w:rFonts w:hint="eastAsia" w:ascii="宋体" w:hAnsi="宋体"/>
          <w:color w:val="auto"/>
          <w:highlight w:val="none"/>
        </w:rPr>
        <w:t>以建设党务、业务双强型党务干部队伍为目标，抓好选配、培养和使用等环节，使党务干部队伍始终保持生机与活力。注重把政治强、业务精、作风好、群众公认的干部选拔到党务工作岗位。加强党务干部教育培训和轮岗交流，推动党务干部由单一型、经验型、基础型向复合型、创新型、专家型转变，切实提高党务干部的政治素质和业务能力。</w:t>
      </w:r>
    </w:p>
    <w:p>
      <w:pPr>
        <w:ind w:firstLine="643"/>
        <w:rPr>
          <w:rFonts w:ascii="宋体" w:hAnsi="宋体"/>
          <w:color w:val="auto"/>
          <w:highlight w:val="none"/>
        </w:rPr>
      </w:pPr>
      <w:bookmarkStart w:id="1356" w:name="_Toc5717"/>
      <w:bookmarkStart w:id="1357" w:name="_Toc22115"/>
      <w:bookmarkStart w:id="1358" w:name="_Toc18524"/>
      <w:bookmarkStart w:id="1359" w:name="_Toc4944"/>
      <w:bookmarkStart w:id="1360" w:name="_Toc17106"/>
      <w:r>
        <w:rPr>
          <w:rStyle w:val="24"/>
          <w:rFonts w:hint="eastAsia" w:ascii="宋体" w:hAnsi="宋体"/>
          <w:color w:val="auto"/>
          <w:highlight w:val="none"/>
        </w:rPr>
        <w:t>5.加强党对群团工作的指导。</w:t>
      </w:r>
      <w:bookmarkEnd w:id="1356"/>
      <w:bookmarkEnd w:id="1357"/>
      <w:bookmarkEnd w:id="1358"/>
      <w:bookmarkEnd w:id="1359"/>
      <w:bookmarkEnd w:id="1360"/>
      <w:r>
        <w:rPr>
          <w:rFonts w:hint="eastAsia" w:ascii="宋体" w:hAnsi="宋体"/>
          <w:color w:val="auto"/>
          <w:highlight w:val="none"/>
        </w:rPr>
        <w:t>加强党对群团工作的组织领导，加强群团组织建设，团结动员群众围绕中心任务建功立业，引导群众自觉培育和践行社会主义核心价值观。加大对群团工作的支持保障力度，促进群团组织创新发展、增强活力。</w:t>
      </w:r>
    </w:p>
    <w:p>
      <w:pPr>
        <w:pStyle w:val="5"/>
        <w:rPr>
          <w:rFonts w:ascii="宋体" w:hAnsi="宋体"/>
          <w:color w:val="auto"/>
          <w:highlight w:val="none"/>
        </w:rPr>
      </w:pPr>
      <w:bookmarkStart w:id="1361" w:name="_Toc30266"/>
      <w:bookmarkStart w:id="1362" w:name="_Toc26196"/>
      <w:bookmarkStart w:id="1363" w:name="_Toc7313"/>
      <w:bookmarkStart w:id="1364" w:name="_Toc21231"/>
      <w:bookmarkStart w:id="1365" w:name="_Toc24518"/>
      <w:bookmarkStart w:id="1366" w:name="_Toc4208"/>
      <w:r>
        <w:rPr>
          <w:rFonts w:hint="eastAsia" w:ascii="宋体" w:hAnsi="宋体"/>
          <w:color w:val="auto"/>
          <w:highlight w:val="none"/>
        </w:rPr>
        <w:t>（三）加强党风廉政建设</w:t>
      </w:r>
      <w:bookmarkEnd w:id="1361"/>
      <w:bookmarkEnd w:id="1362"/>
      <w:bookmarkEnd w:id="1363"/>
      <w:bookmarkEnd w:id="1364"/>
      <w:bookmarkEnd w:id="1365"/>
      <w:bookmarkEnd w:id="1366"/>
    </w:p>
    <w:p>
      <w:pPr>
        <w:ind w:firstLine="643"/>
        <w:rPr>
          <w:rFonts w:ascii="宋体" w:hAnsi="宋体"/>
          <w:color w:val="auto"/>
          <w:highlight w:val="none"/>
        </w:rPr>
      </w:pPr>
      <w:bookmarkStart w:id="1367" w:name="_Toc25374"/>
      <w:bookmarkStart w:id="1368" w:name="_Toc3643"/>
      <w:bookmarkStart w:id="1369" w:name="_Toc20292"/>
      <w:bookmarkStart w:id="1370" w:name="_Toc29609"/>
      <w:bookmarkStart w:id="1371" w:name="_Toc22768"/>
      <w:r>
        <w:rPr>
          <w:rStyle w:val="24"/>
          <w:rFonts w:hint="eastAsia" w:ascii="宋体" w:hAnsi="宋体"/>
          <w:color w:val="auto"/>
          <w:highlight w:val="none"/>
        </w:rPr>
        <w:t>1.强化监督制约。</w:t>
      </w:r>
      <w:bookmarkEnd w:id="1367"/>
      <w:bookmarkEnd w:id="1368"/>
      <w:bookmarkEnd w:id="1369"/>
      <w:bookmarkEnd w:id="1370"/>
      <w:bookmarkEnd w:id="1371"/>
      <w:r>
        <w:rPr>
          <w:rFonts w:hint="eastAsia" w:ascii="宋体" w:hAnsi="宋体"/>
          <w:color w:val="auto"/>
          <w:highlight w:val="none"/>
        </w:rPr>
        <w:t>强化对权力运行的制约和监督，结合我厅“大内控”制度建设，加强对重点领域和关键岗位的监管，切实推动内控建设由立规矩向见成效转变。坚持抓在平常、严在日常，把严的主基调长期坚持下去，用好“四种形态”，综合发挥惩治震慑、惩戒挽救、教育警醒功效。通过谈话提醒、检查抽查、现场监督、列席有关会议等，加强日常监督，发挥好监督保障执行、促进完善发展作用。</w:t>
      </w:r>
    </w:p>
    <w:p>
      <w:pPr>
        <w:ind w:firstLine="643"/>
        <w:rPr>
          <w:rFonts w:ascii="宋体" w:hAnsi="宋体"/>
          <w:color w:val="auto"/>
          <w:highlight w:val="none"/>
        </w:rPr>
      </w:pPr>
      <w:bookmarkStart w:id="1372" w:name="_Toc1756"/>
      <w:bookmarkStart w:id="1373" w:name="_Toc8698"/>
      <w:bookmarkStart w:id="1374" w:name="_Toc14109"/>
      <w:bookmarkStart w:id="1375" w:name="_Toc13736"/>
      <w:bookmarkStart w:id="1376" w:name="_Toc31065"/>
      <w:r>
        <w:rPr>
          <w:rStyle w:val="24"/>
          <w:rFonts w:hint="eastAsia" w:ascii="宋体" w:hAnsi="宋体"/>
          <w:color w:val="auto"/>
          <w:highlight w:val="none"/>
        </w:rPr>
        <w:t>2.加强廉洁教育。</w:t>
      </w:r>
      <w:bookmarkEnd w:id="1372"/>
      <w:bookmarkEnd w:id="1373"/>
      <w:bookmarkEnd w:id="1374"/>
      <w:bookmarkEnd w:id="1375"/>
      <w:bookmarkEnd w:id="1376"/>
      <w:r>
        <w:rPr>
          <w:rFonts w:hint="eastAsia" w:ascii="宋体" w:hAnsi="宋体"/>
          <w:color w:val="auto"/>
          <w:highlight w:val="none"/>
        </w:rPr>
        <w:t>把《中国共产党廉洁自律准则》《中国共产党纪律处分条例》《中国共产党问责条例》等党规党纪作为党员干部日常教育培训的重点。有针对性的开展任职前廉政教育谈话，综合运用案件通报、以案说纪、观看警示教育专题片等方式，开展正反典型教育，教育和引导党员干部反躬自省，引以为戒，进一步筑牢拒腐防变的思想防线。</w:t>
      </w:r>
    </w:p>
    <w:p>
      <w:pPr>
        <w:ind w:firstLine="643"/>
        <w:rPr>
          <w:rFonts w:ascii="宋体" w:hAnsi="宋体"/>
          <w:color w:val="auto"/>
          <w:highlight w:val="none"/>
        </w:rPr>
      </w:pPr>
      <w:bookmarkStart w:id="1377" w:name="_Toc7054"/>
      <w:bookmarkStart w:id="1378" w:name="_Toc6787"/>
      <w:bookmarkStart w:id="1379" w:name="_Toc12459"/>
      <w:bookmarkStart w:id="1380" w:name="_Toc15399"/>
      <w:bookmarkStart w:id="1381" w:name="_Toc3399"/>
      <w:r>
        <w:rPr>
          <w:rStyle w:val="24"/>
          <w:rFonts w:hint="eastAsia" w:ascii="宋体" w:hAnsi="宋体"/>
          <w:color w:val="auto"/>
          <w:highlight w:val="none"/>
        </w:rPr>
        <w:t>3.持之以恒纠正“四风”。</w:t>
      </w:r>
      <w:bookmarkEnd w:id="1377"/>
      <w:bookmarkEnd w:id="1378"/>
      <w:bookmarkEnd w:id="1379"/>
      <w:bookmarkEnd w:id="1380"/>
      <w:bookmarkEnd w:id="1381"/>
      <w:r>
        <w:rPr>
          <w:rFonts w:hint="eastAsia" w:ascii="宋体" w:hAnsi="宋体"/>
          <w:color w:val="auto"/>
          <w:highlight w:val="none"/>
        </w:rPr>
        <w:t>锲而不舍落实中央八项规定精神，持续纠治形式主义、官僚主义突出问题，坚决防止享乐主义、奢靡之风反弹回潮。紧盯“四风”隐形变异新动向，深挖细查、露头就打，严肃执纪问责保持震慑。完善作风建设长效机制，用严密的制度规定和严格的制度执行，防范和遏制“四风”问题，巩固作风建设的良好态势。</w:t>
      </w:r>
    </w:p>
    <w:p>
      <w:pPr>
        <w:pStyle w:val="5"/>
        <w:bidi w:val="0"/>
        <w:rPr>
          <w:rFonts w:ascii="宋体" w:hAnsi="宋体"/>
        </w:rPr>
      </w:pPr>
      <w:bookmarkStart w:id="1382" w:name="_Toc2645"/>
      <w:bookmarkStart w:id="1383" w:name="_Toc29525"/>
      <w:bookmarkStart w:id="1384" w:name="_Toc1043"/>
      <w:bookmarkStart w:id="1385" w:name="_Toc4929"/>
      <w:bookmarkStart w:id="1386" w:name="_Toc15502"/>
      <w:bookmarkStart w:id="1387" w:name="_Toc9247"/>
      <w:r>
        <w:rPr>
          <w:rFonts w:hint="eastAsia" w:ascii="宋体" w:hAnsi="宋体"/>
          <w:lang w:val="en-US" w:eastAsia="zh-CN"/>
        </w:rPr>
        <w:t>（四）</w:t>
      </w:r>
      <w:r>
        <w:rPr>
          <w:rFonts w:hint="eastAsia" w:ascii="宋体" w:hAnsi="宋体"/>
        </w:rPr>
        <w:t>完善党建规章制度</w:t>
      </w:r>
      <w:bookmarkEnd w:id="1382"/>
      <w:bookmarkEnd w:id="1383"/>
      <w:bookmarkEnd w:id="1384"/>
      <w:bookmarkEnd w:id="1385"/>
      <w:bookmarkEnd w:id="1386"/>
      <w:bookmarkEnd w:id="1387"/>
    </w:p>
    <w:p>
      <w:pPr>
        <w:rPr>
          <w:rFonts w:ascii="宋体" w:hAnsi="宋体"/>
          <w:color w:val="auto"/>
          <w:highlight w:val="none"/>
        </w:rPr>
      </w:pPr>
      <w:r>
        <w:rPr>
          <w:rFonts w:hint="eastAsia" w:ascii="宋体" w:hAnsi="宋体"/>
          <w:color w:val="auto"/>
          <w:highlight w:val="none"/>
        </w:rPr>
        <w:t>修订完善党建工作制度，进一步压紧压实基层党建主体责任，构建纵向到底，横向到边的党建工作责任体系。狠抓制度落实，引导广大党员干部养成尊崇制度、遵守制度、捍卫制度的良好习惯，真正使制度落地生根成为硬约束。</w:t>
      </w:r>
    </w:p>
    <w:p>
      <w:pPr>
        <w:pStyle w:val="5"/>
        <w:rPr>
          <w:rFonts w:ascii="宋体" w:hAnsi="宋体"/>
          <w:color w:val="auto"/>
          <w:highlight w:val="none"/>
        </w:rPr>
      </w:pPr>
      <w:bookmarkStart w:id="1388" w:name="_Toc32242"/>
      <w:bookmarkStart w:id="1389" w:name="_Toc27355"/>
      <w:bookmarkStart w:id="1390" w:name="_Toc883"/>
      <w:bookmarkStart w:id="1391" w:name="_Toc27070"/>
      <w:bookmarkStart w:id="1392" w:name="_Toc4326"/>
      <w:bookmarkStart w:id="1393" w:name="_Toc5071"/>
      <w:r>
        <w:rPr>
          <w:rFonts w:hint="eastAsia" w:ascii="宋体" w:hAnsi="宋体"/>
          <w:color w:val="auto"/>
          <w:highlight w:val="none"/>
        </w:rPr>
        <w:t>（五）加强省属国有金融企业党的建设</w:t>
      </w:r>
      <w:bookmarkEnd w:id="1388"/>
      <w:bookmarkEnd w:id="1389"/>
      <w:bookmarkEnd w:id="1390"/>
      <w:bookmarkEnd w:id="1391"/>
      <w:bookmarkEnd w:id="1392"/>
      <w:bookmarkEnd w:id="1393"/>
    </w:p>
    <w:p>
      <w:pPr>
        <w:ind w:firstLine="643"/>
        <w:rPr>
          <w:rStyle w:val="24"/>
          <w:rFonts w:ascii="宋体" w:hAnsi="宋体"/>
          <w:color w:val="auto"/>
          <w:highlight w:val="none"/>
        </w:rPr>
      </w:pPr>
      <w:bookmarkStart w:id="1394" w:name="_Toc25228"/>
      <w:bookmarkStart w:id="1395" w:name="_Toc14138"/>
      <w:bookmarkStart w:id="1396" w:name="_Toc16439"/>
      <w:bookmarkStart w:id="1397" w:name="_Toc17224"/>
      <w:r>
        <w:rPr>
          <w:rStyle w:val="24"/>
          <w:rFonts w:hint="eastAsia" w:ascii="宋体" w:hAnsi="宋体"/>
          <w:color w:val="auto"/>
          <w:highlight w:val="none"/>
        </w:rPr>
        <w:t>1.坚持把党的领导融入公司治理各环节。</w:t>
      </w:r>
      <w:bookmarkEnd w:id="1394"/>
      <w:bookmarkEnd w:id="1395"/>
      <w:bookmarkEnd w:id="1396"/>
      <w:bookmarkEnd w:id="1397"/>
      <w:r>
        <w:rPr>
          <w:rFonts w:hint="eastAsia" w:ascii="宋体" w:hAnsi="宋体"/>
          <w:color w:val="auto"/>
          <w:highlight w:val="none"/>
        </w:rPr>
        <w:t>充分发挥企业党委的领导核心和政治核心作用，继续推进省属国有金融企业二级以下企业“党建入章”和“双向进入、交叉任职”，全面推行各级党组织书记由各级“一把手”担任，党员总经理担任党组织副书记；进一步规范企业党委会前置研究讨论重大经营管理事项的职责范围和程序要求，逐步规范独立法人企业党支部议事决策机制建立，使企业党组织发挥作用组织化、制度化、具体化，确保习近平总书记重要讲话重要指示精神、党中央和省委决策部署在企业贯彻落实。</w:t>
      </w:r>
    </w:p>
    <w:p>
      <w:pPr>
        <w:ind w:firstLine="643"/>
        <w:rPr>
          <w:rStyle w:val="24"/>
          <w:rFonts w:ascii="宋体" w:hAnsi="宋体"/>
          <w:color w:val="auto"/>
          <w:highlight w:val="none"/>
        </w:rPr>
      </w:pPr>
      <w:bookmarkStart w:id="1398" w:name="_Toc94"/>
      <w:bookmarkStart w:id="1399" w:name="_Toc27165"/>
      <w:bookmarkStart w:id="1400" w:name="_Toc13679"/>
      <w:bookmarkStart w:id="1401" w:name="_Toc23950"/>
      <w:r>
        <w:rPr>
          <w:rStyle w:val="24"/>
          <w:rFonts w:hint="eastAsia" w:ascii="宋体" w:hAnsi="宋体"/>
          <w:color w:val="auto"/>
          <w:highlight w:val="none"/>
        </w:rPr>
        <w:t>2.扎实推进党建工作与生产经营深度融合。</w:t>
      </w:r>
      <w:bookmarkEnd w:id="1398"/>
      <w:bookmarkEnd w:id="1399"/>
      <w:bookmarkEnd w:id="1400"/>
      <w:bookmarkEnd w:id="1401"/>
      <w:r>
        <w:rPr>
          <w:rFonts w:hint="eastAsia" w:ascii="宋体" w:hAnsi="宋体"/>
          <w:color w:val="auto"/>
          <w:highlight w:val="none"/>
        </w:rPr>
        <w:t>坚持以企业改革发展成果检验党组织的工作和战斗力，推动企业将党建工作和改革发展目标同向、措施同定、工作同步、协作同心。指导企业紧紧围绕生产经营、风险防控、服务实体、脱贫攻坚等中心任务创新工作载体、搭建工作平台，通过开展党员设岗定责、承诺践诺和创先争优等活动，充分激发企业各级党组织和党员干部先锋模范作用。严格党员教育管理，提高新发展党员质量，注重吸收生产经营第一线的优秀青年职工入党。建立健全党建工作考核评价机制，纳入企业综合评价体系，实现党建工作责任制与生产经营责任制有效联动。</w:t>
      </w:r>
    </w:p>
    <w:p>
      <w:pPr>
        <w:ind w:firstLine="643"/>
        <w:rPr>
          <w:rStyle w:val="24"/>
          <w:rFonts w:ascii="宋体" w:hAnsi="宋体"/>
          <w:color w:val="auto"/>
          <w:highlight w:val="none"/>
        </w:rPr>
      </w:pPr>
      <w:bookmarkStart w:id="1402" w:name="_Toc31021"/>
      <w:bookmarkStart w:id="1403" w:name="_Toc31486"/>
      <w:bookmarkStart w:id="1404" w:name="_Toc6285"/>
      <w:bookmarkStart w:id="1405" w:name="_Toc31595"/>
      <w:r>
        <w:rPr>
          <w:rStyle w:val="24"/>
          <w:rFonts w:hint="eastAsia" w:ascii="宋体" w:hAnsi="宋体"/>
          <w:color w:val="auto"/>
          <w:highlight w:val="none"/>
        </w:rPr>
        <w:t>3.全面提升基层党组织标准化建设质效。</w:t>
      </w:r>
      <w:bookmarkEnd w:id="1402"/>
      <w:bookmarkEnd w:id="1403"/>
      <w:bookmarkEnd w:id="1404"/>
      <w:bookmarkEnd w:id="1405"/>
      <w:r>
        <w:rPr>
          <w:rFonts w:hint="eastAsia" w:ascii="宋体" w:hAnsi="宋体"/>
          <w:color w:val="auto"/>
          <w:highlight w:val="none"/>
        </w:rPr>
        <w:t>牢固树立大抓基层鲜明导向，以“党支部标准体系（BTX）建设”为主线，抓好试点、推广和普及工作，全面建强企业党建基本队伍、基本活动、基本阵地、基本制度、基本保障；以健全组织体系为基础，聚焦组织覆盖的空白点和作用发挥的薄弱点，指导企业优化组织设置，强化组织功能，在有形覆盖基础上推进有效覆盖；以压实党建责任为重点，自上而下建立责任清单，抓实各级党组织书记述职评议考核，有效推动责任落实；以实施《全面提升省属国有金融企业党建工作三年行动计划》为抓手，聚焦国企党建30项重点任务，消除企业党建工作盲区，总结提炼亮点经验，打造具有省属国有金融企业特色的基层党建工作品牌。</w:t>
      </w:r>
    </w:p>
    <w:p>
      <w:pPr>
        <w:ind w:firstLine="643"/>
        <w:rPr>
          <w:rFonts w:ascii="宋体" w:hAnsi="宋体"/>
          <w:color w:val="auto"/>
          <w:highlight w:val="none"/>
        </w:rPr>
      </w:pPr>
      <w:bookmarkStart w:id="1406" w:name="_Toc13597"/>
      <w:bookmarkStart w:id="1407" w:name="_Toc20270"/>
      <w:bookmarkStart w:id="1408" w:name="_Toc24787"/>
      <w:bookmarkStart w:id="1409" w:name="_Toc6394"/>
      <w:r>
        <w:rPr>
          <w:rStyle w:val="24"/>
          <w:rFonts w:hint="eastAsia" w:ascii="宋体" w:hAnsi="宋体"/>
          <w:color w:val="auto"/>
          <w:highlight w:val="none"/>
        </w:rPr>
        <w:t>4.切实推动各项党内制度法规在企业落地落实。</w:t>
      </w:r>
      <w:bookmarkEnd w:id="1406"/>
      <w:bookmarkEnd w:id="1407"/>
      <w:bookmarkEnd w:id="1408"/>
      <w:bookmarkEnd w:id="1409"/>
      <w:r>
        <w:rPr>
          <w:rFonts w:hint="eastAsia" w:ascii="宋体" w:hAnsi="宋体"/>
          <w:color w:val="auto"/>
          <w:highlight w:val="none"/>
        </w:rPr>
        <w:t>严格执行《关于新形势下党内政治生活的若干准则》，加强对企业落实党的基本制度、严肃党的组织生活情况的监督、检查和指导。全面落实“第一议题”制度，指导企业及时跟进学习领会习近平总书记重要指示批示、中央和省委决策部署。以党史学习教育为契机，进一步强化党员干部党性教育，不断巩固深化“不忘初心、牢记使命”主题教育成果。督促企业扎实做好中央和省委巡视反馈企业党建问题整改落实工作，围绕典型案例深入开展警示教育，切实筑牢企业党员干部拒腐防变的思想防线。</w:t>
      </w:r>
    </w:p>
    <w:p>
      <w:pPr>
        <w:pStyle w:val="4"/>
        <w:ind w:firstLine="640" w:firstLineChars="200"/>
        <w:rPr>
          <w:rFonts w:ascii="宋体" w:hAnsi="宋体"/>
          <w:color w:val="auto"/>
          <w:highlight w:val="none"/>
        </w:rPr>
      </w:pPr>
      <w:bookmarkStart w:id="1410" w:name="_Toc30368"/>
      <w:bookmarkStart w:id="1411" w:name="_Toc9531"/>
      <w:bookmarkStart w:id="1412" w:name="_Toc29655"/>
      <w:bookmarkStart w:id="1413" w:name="_Toc17747"/>
      <w:bookmarkStart w:id="1414" w:name="_Toc25416"/>
      <w:bookmarkStart w:id="1415" w:name="_Toc26868"/>
      <w:r>
        <w:rPr>
          <w:rFonts w:hint="eastAsia" w:ascii="宋体" w:hAnsi="宋体"/>
          <w:color w:val="auto"/>
          <w:highlight w:val="none"/>
        </w:rPr>
        <w:t>二十、加强高素质干部队伍建设</w:t>
      </w:r>
      <w:bookmarkEnd w:id="1410"/>
      <w:bookmarkEnd w:id="1411"/>
      <w:bookmarkEnd w:id="1412"/>
      <w:bookmarkEnd w:id="1413"/>
      <w:bookmarkEnd w:id="1414"/>
      <w:bookmarkEnd w:id="1415"/>
    </w:p>
    <w:p>
      <w:pPr>
        <w:rPr>
          <w:rFonts w:ascii="宋体" w:hAnsi="宋体"/>
          <w:color w:val="auto"/>
          <w:highlight w:val="none"/>
        </w:rPr>
      </w:pPr>
      <w:bookmarkStart w:id="1416" w:name="_Toc22736"/>
      <w:bookmarkStart w:id="1417" w:name="_Toc12568"/>
      <w:r>
        <w:rPr>
          <w:rFonts w:hint="eastAsia" w:ascii="宋体" w:hAnsi="宋体"/>
          <w:color w:val="auto"/>
          <w:highlight w:val="none"/>
        </w:rPr>
        <w:t>加强党对干部人事工作的全面领导，严格贯彻落实新时代党的组织路线，努力造就一支忠诚干净担当的高素质干部队伍。注重开源与挖潜相结合，理论与实践相结合，结构与功能相结合，全面培养、精准选配财政干部人才。</w:t>
      </w:r>
      <w:bookmarkEnd w:id="1416"/>
    </w:p>
    <w:p>
      <w:pPr>
        <w:pStyle w:val="5"/>
        <w:ind w:left="640" w:firstLine="0" w:firstLineChars="0"/>
        <w:rPr>
          <w:rFonts w:ascii="宋体" w:hAnsi="宋体"/>
          <w:color w:val="auto"/>
          <w:highlight w:val="none"/>
        </w:rPr>
      </w:pPr>
      <w:bookmarkStart w:id="1418" w:name="_Toc27139"/>
      <w:bookmarkStart w:id="1419" w:name="_Toc16668"/>
      <w:bookmarkStart w:id="1420" w:name="_Toc26953"/>
      <w:bookmarkStart w:id="1421" w:name="_Toc16929"/>
      <w:bookmarkStart w:id="1422" w:name="_Toc20373"/>
      <w:r>
        <w:rPr>
          <w:rFonts w:hint="eastAsia" w:ascii="宋体" w:hAnsi="宋体"/>
          <w:color w:val="auto"/>
          <w:highlight w:val="none"/>
        </w:rPr>
        <w:t>（一）建设忠诚干净担当的高素质财政干部队伍</w:t>
      </w:r>
      <w:bookmarkEnd w:id="1417"/>
      <w:bookmarkEnd w:id="1418"/>
      <w:bookmarkEnd w:id="1419"/>
      <w:bookmarkEnd w:id="1420"/>
      <w:bookmarkEnd w:id="1421"/>
      <w:bookmarkEnd w:id="1422"/>
    </w:p>
    <w:p>
      <w:pPr>
        <w:ind w:firstLine="643"/>
        <w:rPr>
          <w:rFonts w:ascii="宋体" w:hAnsi="宋体"/>
          <w:color w:val="auto"/>
          <w:highlight w:val="none"/>
        </w:rPr>
      </w:pPr>
      <w:bookmarkStart w:id="1423" w:name="_Toc15364"/>
      <w:bookmarkStart w:id="1424" w:name="_Toc19287"/>
      <w:bookmarkStart w:id="1425" w:name="_Toc2753"/>
      <w:bookmarkStart w:id="1426" w:name="_Toc11447"/>
      <w:bookmarkStart w:id="1427" w:name="_Toc14399"/>
      <w:r>
        <w:rPr>
          <w:rStyle w:val="24"/>
          <w:rFonts w:hint="eastAsia" w:ascii="宋体" w:hAnsi="宋体"/>
          <w:color w:val="auto"/>
          <w:highlight w:val="none"/>
        </w:rPr>
        <w:t>1.坚持和加强党对干部人事工作的全面领导</w:t>
      </w:r>
      <w:bookmarkEnd w:id="1423"/>
      <w:r>
        <w:rPr>
          <w:rStyle w:val="24"/>
          <w:rFonts w:hint="eastAsia" w:ascii="宋体" w:hAnsi="宋体"/>
          <w:color w:val="auto"/>
          <w:highlight w:val="none"/>
        </w:rPr>
        <w:t>。</w:t>
      </w:r>
      <w:bookmarkEnd w:id="1424"/>
      <w:bookmarkEnd w:id="1425"/>
      <w:bookmarkEnd w:id="1426"/>
      <w:bookmarkEnd w:id="1427"/>
      <w:r>
        <w:rPr>
          <w:rFonts w:hint="eastAsia" w:ascii="宋体" w:hAnsi="宋体"/>
          <w:color w:val="auto"/>
          <w:highlight w:val="none"/>
        </w:rPr>
        <w:t>始终坚持党管干部、党管人才原则，充分发挥党组领导和把关作用，树立正确的选人用人导向，打造风清气正的政治生态。不断完善选贤任能和人才制度，构建科学规范的干部人事制度体系。立足财政改革发展大局，聚焦履行财政核心职能，不断提高财政干部政治判断力、政治领悟力、政治执行力，提升观大势、谋大局、抓大事能力。</w:t>
      </w:r>
      <w:bookmarkStart w:id="1428" w:name="_Toc12133"/>
    </w:p>
    <w:p>
      <w:pPr>
        <w:ind w:firstLine="643"/>
        <w:rPr>
          <w:rFonts w:ascii="宋体" w:hAnsi="宋体"/>
          <w:color w:val="auto"/>
          <w:highlight w:val="none"/>
        </w:rPr>
      </w:pPr>
      <w:bookmarkStart w:id="1429" w:name="_Toc29702"/>
      <w:bookmarkStart w:id="1430" w:name="_Toc12265"/>
      <w:bookmarkStart w:id="1431" w:name="_Toc10604"/>
      <w:bookmarkStart w:id="1432" w:name="_Toc31257"/>
      <w:r>
        <w:rPr>
          <w:rStyle w:val="24"/>
          <w:rFonts w:hint="eastAsia" w:ascii="宋体" w:hAnsi="宋体"/>
          <w:color w:val="auto"/>
          <w:highlight w:val="none"/>
        </w:rPr>
        <w:t>2.健全选人用人工作机制</w:t>
      </w:r>
      <w:bookmarkEnd w:id="1428"/>
      <w:r>
        <w:rPr>
          <w:rStyle w:val="24"/>
          <w:rFonts w:hint="eastAsia" w:ascii="宋体" w:hAnsi="宋体"/>
          <w:color w:val="auto"/>
          <w:highlight w:val="none"/>
        </w:rPr>
        <w:t>。</w:t>
      </w:r>
      <w:bookmarkEnd w:id="1429"/>
      <w:bookmarkEnd w:id="1430"/>
      <w:bookmarkEnd w:id="1431"/>
      <w:bookmarkEnd w:id="1432"/>
      <w:r>
        <w:rPr>
          <w:rFonts w:hint="eastAsia" w:ascii="宋体" w:hAnsi="宋体"/>
          <w:color w:val="auto"/>
          <w:highlight w:val="none"/>
        </w:rPr>
        <w:t>强化财政干部队伍建设，拓宽选人用人视野，改善队伍结构。注重干部实践锻炼，完善挂职锻炼、跟班学习等机制，拓宽干部交流渠道，加大业务岗位、综合岗位之间干部交流力度。严格干部考察考核，近距离有原则接触干部，强化对干部政治素质、廉洁自律等考察，深化干部平时考核，确保考准考实干部。加强处级领导班子建设，选优配强一把手，着力优化班子年龄、专业、经历和性别结构。加大对厅属企业干部队伍建设指导力度，强化企业领导班子，建立班子成员交流机制。</w:t>
      </w:r>
    </w:p>
    <w:p>
      <w:pPr>
        <w:ind w:firstLine="643"/>
        <w:rPr>
          <w:rFonts w:ascii="宋体" w:hAnsi="宋体"/>
          <w:color w:val="auto"/>
          <w:highlight w:val="none"/>
        </w:rPr>
      </w:pPr>
      <w:bookmarkStart w:id="1433" w:name="_Toc31174"/>
      <w:bookmarkStart w:id="1434" w:name="_Toc12708"/>
      <w:bookmarkStart w:id="1435" w:name="_Toc14041"/>
      <w:bookmarkStart w:id="1436" w:name="_Toc8064"/>
      <w:bookmarkStart w:id="1437" w:name="_Toc29533"/>
      <w:r>
        <w:rPr>
          <w:rStyle w:val="24"/>
          <w:rFonts w:hint="eastAsia" w:ascii="宋体" w:hAnsi="宋体"/>
          <w:color w:val="auto"/>
          <w:highlight w:val="none"/>
        </w:rPr>
        <w:t>3.扎实推进干部监督与关心关爱举措深度融合</w:t>
      </w:r>
      <w:bookmarkEnd w:id="1433"/>
      <w:r>
        <w:rPr>
          <w:rStyle w:val="24"/>
          <w:rFonts w:hint="eastAsia" w:ascii="宋体" w:hAnsi="宋体"/>
          <w:color w:val="auto"/>
          <w:highlight w:val="none"/>
        </w:rPr>
        <w:t>。</w:t>
      </w:r>
      <w:bookmarkEnd w:id="1434"/>
      <w:bookmarkEnd w:id="1435"/>
      <w:bookmarkEnd w:id="1436"/>
      <w:bookmarkEnd w:id="1437"/>
      <w:r>
        <w:rPr>
          <w:rFonts w:hint="eastAsia" w:ascii="宋体" w:hAnsi="宋体"/>
          <w:color w:val="auto"/>
          <w:highlight w:val="none"/>
        </w:rPr>
        <w:t>健全干部从严管理体系，健全干部选拔任用全过程监督体系，落实“凡提四必”制度，做好“一报告两评议”和选人用人专项检查。加强干部日常监督管理；加强对关键岗位的管理监督；建立巡察组组长和人才库，积极推进党组巡察工作，推动巡察工作与其他干部监督举措有机结合；营造容错纠错的干事氛围，认真落实“三个区分开来”要求；统筹做好工资福利、养老保险、职称评聘等工作，激励干部担当作为。</w:t>
      </w:r>
    </w:p>
    <w:p>
      <w:pPr>
        <w:pStyle w:val="5"/>
        <w:rPr>
          <w:rFonts w:ascii="宋体" w:hAnsi="宋体"/>
          <w:color w:val="auto"/>
          <w:highlight w:val="none"/>
        </w:rPr>
      </w:pPr>
      <w:bookmarkStart w:id="1438" w:name="_Toc19010"/>
      <w:bookmarkStart w:id="1439" w:name="_Toc14516"/>
      <w:bookmarkStart w:id="1440" w:name="_Toc2237"/>
      <w:bookmarkStart w:id="1441" w:name="_Toc29975"/>
      <w:bookmarkStart w:id="1442" w:name="_Toc2245"/>
      <w:bookmarkStart w:id="1443" w:name="_Toc12655"/>
      <w:r>
        <w:rPr>
          <w:rFonts w:hint="eastAsia" w:ascii="宋体" w:hAnsi="宋体"/>
          <w:color w:val="auto"/>
          <w:highlight w:val="none"/>
        </w:rPr>
        <w:t>（二）推进我省财政系统人才队伍建设</w:t>
      </w:r>
      <w:bookmarkEnd w:id="1438"/>
      <w:bookmarkEnd w:id="1439"/>
      <w:bookmarkEnd w:id="1440"/>
      <w:bookmarkEnd w:id="1441"/>
      <w:bookmarkEnd w:id="1442"/>
      <w:bookmarkEnd w:id="1443"/>
    </w:p>
    <w:p>
      <w:pPr>
        <w:ind w:firstLine="643"/>
        <w:rPr>
          <w:rFonts w:ascii="宋体" w:hAnsi="宋体"/>
          <w:color w:val="auto"/>
          <w:highlight w:val="none"/>
        </w:rPr>
      </w:pPr>
      <w:bookmarkStart w:id="1444" w:name="_Toc12897"/>
      <w:bookmarkStart w:id="1445" w:name="_Toc28411"/>
      <w:bookmarkStart w:id="1446" w:name="_Toc16681"/>
      <w:bookmarkStart w:id="1447" w:name="_Toc6027"/>
      <w:bookmarkStart w:id="1448" w:name="_Toc19423"/>
      <w:r>
        <w:rPr>
          <w:rStyle w:val="24"/>
          <w:rFonts w:hint="eastAsia" w:ascii="宋体" w:hAnsi="宋体"/>
          <w:color w:val="auto"/>
          <w:highlight w:val="none"/>
        </w:rPr>
        <w:t>1.落实科学有效的人才队伍建设规划</w:t>
      </w:r>
      <w:bookmarkEnd w:id="1444"/>
      <w:r>
        <w:rPr>
          <w:rStyle w:val="24"/>
          <w:rFonts w:hint="eastAsia" w:ascii="宋体" w:hAnsi="宋体"/>
          <w:color w:val="auto"/>
          <w:highlight w:val="none"/>
        </w:rPr>
        <w:t>。</w:t>
      </w:r>
      <w:bookmarkEnd w:id="1445"/>
      <w:bookmarkEnd w:id="1446"/>
      <w:bookmarkEnd w:id="1447"/>
      <w:bookmarkEnd w:id="1448"/>
      <w:r>
        <w:rPr>
          <w:rFonts w:hint="eastAsia" w:ascii="宋体" w:hAnsi="宋体"/>
          <w:color w:val="auto"/>
          <w:highlight w:val="none"/>
        </w:rPr>
        <w:t>充分发挥财政人才库作为干部队伍基地的基础支撑作用，推进完善“一库两</w:t>
      </w:r>
      <w:r>
        <w:rPr>
          <w:rFonts w:hint="eastAsia"/>
          <w:color w:val="auto"/>
          <w:highlight w:val="none"/>
          <w:lang w:eastAsia="zh-CN"/>
        </w:rPr>
        <w:t>池</w:t>
      </w:r>
      <w:r>
        <w:rPr>
          <w:rFonts w:hint="eastAsia" w:ascii="宋体" w:hAnsi="宋体"/>
          <w:color w:val="auto"/>
          <w:highlight w:val="none"/>
        </w:rPr>
        <w:t>”建设，形成数量充足、结构合理、素质优良的人才队伍。完善财政重点领域财政人才库建设，推动财政系统人才库基本形成覆盖主要财政核心工作、总量约为200名的财政人才队伍，强化日常管理，及时调整人才库的组成类别，根据在库人才特点建设专家人才池和复合人才池。实行更加开放的人才政策，加大对域外人才、财经专业人才的引进力度。</w:t>
      </w:r>
    </w:p>
    <w:p>
      <w:pPr>
        <w:ind w:firstLine="643"/>
        <w:rPr>
          <w:rFonts w:hint="eastAsia" w:ascii="宋体" w:hAnsi="宋体"/>
          <w:color w:val="auto"/>
          <w:highlight w:val="none"/>
        </w:rPr>
      </w:pPr>
      <w:bookmarkStart w:id="1449" w:name="_Toc29693"/>
      <w:bookmarkStart w:id="1450" w:name="_Toc2103"/>
      <w:bookmarkStart w:id="1451" w:name="_Toc9999"/>
      <w:bookmarkStart w:id="1452" w:name="_Toc9850"/>
      <w:bookmarkStart w:id="1453" w:name="_Toc9166"/>
      <w:r>
        <w:rPr>
          <w:rStyle w:val="24"/>
          <w:rFonts w:hint="eastAsia" w:ascii="宋体" w:hAnsi="宋体"/>
          <w:color w:val="auto"/>
          <w:highlight w:val="none"/>
        </w:rPr>
        <w:t>2.加强财政干部教育培训工作</w:t>
      </w:r>
      <w:bookmarkEnd w:id="1449"/>
      <w:r>
        <w:rPr>
          <w:rStyle w:val="24"/>
          <w:rFonts w:hint="eastAsia" w:ascii="宋体" w:hAnsi="宋体"/>
          <w:color w:val="auto"/>
          <w:highlight w:val="none"/>
        </w:rPr>
        <w:t>。</w:t>
      </w:r>
      <w:bookmarkEnd w:id="1450"/>
      <w:bookmarkEnd w:id="1451"/>
      <w:bookmarkEnd w:id="1452"/>
      <w:bookmarkEnd w:id="1453"/>
      <w:r>
        <w:rPr>
          <w:rFonts w:hint="eastAsia" w:ascii="宋体" w:hAnsi="宋体"/>
          <w:color w:val="auto"/>
          <w:highlight w:val="none"/>
        </w:rPr>
        <w:t>完善教育培训和实践锻炼相结合的人才培养体系。探索建立科学系统、主题鲜明、务实管用的财政干部教育培训机制，优化培训内容和方式，强化思想作风培训，强化干部素质能力培训。加强年轻干部培养，围绕“七种能力”，着力增强干部的政治判断力、政治领悟力和政治执行力，有计划、分批次、多渠道开展履行岗位职责所需的各领域综合知识培训，着力提升财政干部综合素质和履职本领。</w:t>
      </w:r>
    </w:p>
    <w:p>
      <w:pPr>
        <w:bidi w:val="0"/>
        <w:rPr>
          <w:rFonts w:hint="eastAsia"/>
          <w:lang w:val="en-US" w:eastAsia="zh-CN"/>
        </w:rPr>
      </w:pPr>
      <w:r>
        <w:rPr>
          <w:rFonts w:hint="eastAsia"/>
          <w:lang w:val="en-US" w:eastAsia="zh-CN"/>
        </w:rPr>
        <w:t>为确保规划顺利实施，各级财政部门要高度重视，精心组织，加强政策统筹协调，不断完善工作协同机制。要按照本规划的部署和要求，对目标任务进行分解，明确责任分工，相互协同、密切配合，推动规划提出的任务落实落地。强化本规划与吉林省国民经济和社会发展第十四个五年规划纲要的统筹衔接，适时开展规划实施情况动态监测和评估工作，及时发现在贯彻执行过程中出现的问题。加强监测评估结果应用，提高统筹抓落实的能力和水平，及时调整完善政策、优化改革措施，努力找准切入点、着力点和创新点，创造性地开展各项工作，确保全省财政“十四五”规划目标和任务圆满完成。</w:t>
      </w:r>
    </w:p>
    <w:sectPr>
      <w:headerReference r:id="rId12" w:type="default"/>
      <w:footerReference r:id="rId1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仿宋"/>
                        <w:sz w:val="1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r>
                      <w:rPr>
                        <w:rFonts w:hint="eastAsia"/>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816"/>
    <w:rsid w:val="00013EB7"/>
    <w:rsid w:val="00040479"/>
    <w:rsid w:val="000411A1"/>
    <w:rsid w:val="00047F5B"/>
    <w:rsid w:val="00050A17"/>
    <w:rsid w:val="000710DE"/>
    <w:rsid w:val="00071807"/>
    <w:rsid w:val="00075837"/>
    <w:rsid w:val="00084ACF"/>
    <w:rsid w:val="00094484"/>
    <w:rsid w:val="000A3586"/>
    <w:rsid w:val="000A3676"/>
    <w:rsid w:val="000B3AF1"/>
    <w:rsid w:val="000C3FD8"/>
    <w:rsid w:val="000D15E2"/>
    <w:rsid w:val="000D4B6D"/>
    <w:rsid w:val="000D60B7"/>
    <w:rsid w:val="000F0C51"/>
    <w:rsid w:val="00100B30"/>
    <w:rsid w:val="00111DD4"/>
    <w:rsid w:val="00122B77"/>
    <w:rsid w:val="00131D40"/>
    <w:rsid w:val="00133153"/>
    <w:rsid w:val="00156C29"/>
    <w:rsid w:val="00171118"/>
    <w:rsid w:val="00186A3F"/>
    <w:rsid w:val="001A29E1"/>
    <w:rsid w:val="001A36CD"/>
    <w:rsid w:val="001C5754"/>
    <w:rsid w:val="00225196"/>
    <w:rsid w:val="002325E2"/>
    <w:rsid w:val="002579A8"/>
    <w:rsid w:val="00257E51"/>
    <w:rsid w:val="00265662"/>
    <w:rsid w:val="00282836"/>
    <w:rsid w:val="00294736"/>
    <w:rsid w:val="002B2DC9"/>
    <w:rsid w:val="002B41FE"/>
    <w:rsid w:val="002D73CD"/>
    <w:rsid w:val="002E6150"/>
    <w:rsid w:val="002F008B"/>
    <w:rsid w:val="003049DB"/>
    <w:rsid w:val="00307680"/>
    <w:rsid w:val="0031010A"/>
    <w:rsid w:val="00310B21"/>
    <w:rsid w:val="00314A58"/>
    <w:rsid w:val="00321146"/>
    <w:rsid w:val="003458DD"/>
    <w:rsid w:val="00351B4B"/>
    <w:rsid w:val="00354470"/>
    <w:rsid w:val="003824C9"/>
    <w:rsid w:val="00385C01"/>
    <w:rsid w:val="003A2CAC"/>
    <w:rsid w:val="003F1850"/>
    <w:rsid w:val="00402C64"/>
    <w:rsid w:val="004147EC"/>
    <w:rsid w:val="0041741F"/>
    <w:rsid w:val="004209E1"/>
    <w:rsid w:val="004260B9"/>
    <w:rsid w:val="004460BB"/>
    <w:rsid w:val="0046364D"/>
    <w:rsid w:val="00466559"/>
    <w:rsid w:val="00490C2A"/>
    <w:rsid w:val="004938B5"/>
    <w:rsid w:val="004A7D9B"/>
    <w:rsid w:val="004C66CB"/>
    <w:rsid w:val="004E1358"/>
    <w:rsid w:val="004E392F"/>
    <w:rsid w:val="004E53D1"/>
    <w:rsid w:val="004F354A"/>
    <w:rsid w:val="004F7EC8"/>
    <w:rsid w:val="00503BDD"/>
    <w:rsid w:val="005224AB"/>
    <w:rsid w:val="005269E9"/>
    <w:rsid w:val="00540176"/>
    <w:rsid w:val="005468C9"/>
    <w:rsid w:val="00585B9B"/>
    <w:rsid w:val="00593BB1"/>
    <w:rsid w:val="00594EAF"/>
    <w:rsid w:val="005A1BFD"/>
    <w:rsid w:val="005B261C"/>
    <w:rsid w:val="005C1D21"/>
    <w:rsid w:val="005F5917"/>
    <w:rsid w:val="00611855"/>
    <w:rsid w:val="006176F8"/>
    <w:rsid w:val="006204F8"/>
    <w:rsid w:val="006223D8"/>
    <w:rsid w:val="006278AB"/>
    <w:rsid w:val="00635854"/>
    <w:rsid w:val="006536A2"/>
    <w:rsid w:val="00666CF0"/>
    <w:rsid w:val="006737A3"/>
    <w:rsid w:val="00675566"/>
    <w:rsid w:val="00675EE9"/>
    <w:rsid w:val="00682B98"/>
    <w:rsid w:val="006928D7"/>
    <w:rsid w:val="006A60EE"/>
    <w:rsid w:val="006B5EC1"/>
    <w:rsid w:val="006F38EA"/>
    <w:rsid w:val="006F732C"/>
    <w:rsid w:val="00723C33"/>
    <w:rsid w:val="0072758D"/>
    <w:rsid w:val="00742032"/>
    <w:rsid w:val="00745B26"/>
    <w:rsid w:val="00752A64"/>
    <w:rsid w:val="007665E9"/>
    <w:rsid w:val="007733D8"/>
    <w:rsid w:val="00793451"/>
    <w:rsid w:val="00794019"/>
    <w:rsid w:val="007A4483"/>
    <w:rsid w:val="007B2913"/>
    <w:rsid w:val="007B3DC9"/>
    <w:rsid w:val="007C3A9E"/>
    <w:rsid w:val="007E4EB8"/>
    <w:rsid w:val="007F1BC7"/>
    <w:rsid w:val="00802BD8"/>
    <w:rsid w:val="008113C3"/>
    <w:rsid w:val="0081377F"/>
    <w:rsid w:val="00816ECF"/>
    <w:rsid w:val="0082079E"/>
    <w:rsid w:val="00834D25"/>
    <w:rsid w:val="00865EDD"/>
    <w:rsid w:val="0086776F"/>
    <w:rsid w:val="00871ECC"/>
    <w:rsid w:val="008728D0"/>
    <w:rsid w:val="00881C65"/>
    <w:rsid w:val="00884C97"/>
    <w:rsid w:val="008B3778"/>
    <w:rsid w:val="008B3A2A"/>
    <w:rsid w:val="008C2900"/>
    <w:rsid w:val="008C6708"/>
    <w:rsid w:val="008D1082"/>
    <w:rsid w:val="008E09C7"/>
    <w:rsid w:val="008E7BD4"/>
    <w:rsid w:val="008F789D"/>
    <w:rsid w:val="00907D70"/>
    <w:rsid w:val="00910B38"/>
    <w:rsid w:val="0091240E"/>
    <w:rsid w:val="0092299A"/>
    <w:rsid w:val="009341AE"/>
    <w:rsid w:val="009536FA"/>
    <w:rsid w:val="00954F08"/>
    <w:rsid w:val="009635DC"/>
    <w:rsid w:val="00964146"/>
    <w:rsid w:val="00972DA4"/>
    <w:rsid w:val="00974236"/>
    <w:rsid w:val="009C328E"/>
    <w:rsid w:val="009D00C4"/>
    <w:rsid w:val="009E2635"/>
    <w:rsid w:val="009E7107"/>
    <w:rsid w:val="009F60BA"/>
    <w:rsid w:val="00A07F3E"/>
    <w:rsid w:val="00A101F0"/>
    <w:rsid w:val="00A1081C"/>
    <w:rsid w:val="00A23F40"/>
    <w:rsid w:val="00A3370B"/>
    <w:rsid w:val="00A36999"/>
    <w:rsid w:val="00A47491"/>
    <w:rsid w:val="00A512B0"/>
    <w:rsid w:val="00A75601"/>
    <w:rsid w:val="00AB1D63"/>
    <w:rsid w:val="00AD128B"/>
    <w:rsid w:val="00AF23D8"/>
    <w:rsid w:val="00B21612"/>
    <w:rsid w:val="00B2583D"/>
    <w:rsid w:val="00B4077F"/>
    <w:rsid w:val="00B41AE1"/>
    <w:rsid w:val="00B47BBB"/>
    <w:rsid w:val="00B541CD"/>
    <w:rsid w:val="00B61F14"/>
    <w:rsid w:val="00B64494"/>
    <w:rsid w:val="00B74272"/>
    <w:rsid w:val="00BA04AF"/>
    <w:rsid w:val="00BD1315"/>
    <w:rsid w:val="00BF1977"/>
    <w:rsid w:val="00BF343D"/>
    <w:rsid w:val="00C12816"/>
    <w:rsid w:val="00C43B91"/>
    <w:rsid w:val="00C50329"/>
    <w:rsid w:val="00C521DC"/>
    <w:rsid w:val="00C52A2C"/>
    <w:rsid w:val="00C578B3"/>
    <w:rsid w:val="00C60F86"/>
    <w:rsid w:val="00C627D6"/>
    <w:rsid w:val="00C7152C"/>
    <w:rsid w:val="00C7566C"/>
    <w:rsid w:val="00C852E3"/>
    <w:rsid w:val="00C90BDD"/>
    <w:rsid w:val="00C94268"/>
    <w:rsid w:val="00C9466E"/>
    <w:rsid w:val="00C966F4"/>
    <w:rsid w:val="00CB7B55"/>
    <w:rsid w:val="00CC29FB"/>
    <w:rsid w:val="00CC2F2B"/>
    <w:rsid w:val="00CD493D"/>
    <w:rsid w:val="00CE62EE"/>
    <w:rsid w:val="00CF146A"/>
    <w:rsid w:val="00CF5A55"/>
    <w:rsid w:val="00CF68A5"/>
    <w:rsid w:val="00D07A55"/>
    <w:rsid w:val="00D333A3"/>
    <w:rsid w:val="00D50E3B"/>
    <w:rsid w:val="00D51F2C"/>
    <w:rsid w:val="00D64976"/>
    <w:rsid w:val="00D767F7"/>
    <w:rsid w:val="00D96EE5"/>
    <w:rsid w:val="00DB1903"/>
    <w:rsid w:val="00DB43B9"/>
    <w:rsid w:val="00DD07EB"/>
    <w:rsid w:val="00DD09B1"/>
    <w:rsid w:val="00DE5A67"/>
    <w:rsid w:val="00DF1F3C"/>
    <w:rsid w:val="00E04AB5"/>
    <w:rsid w:val="00E119FC"/>
    <w:rsid w:val="00E3110B"/>
    <w:rsid w:val="00E51500"/>
    <w:rsid w:val="00E6660F"/>
    <w:rsid w:val="00E6703A"/>
    <w:rsid w:val="00E72951"/>
    <w:rsid w:val="00E76472"/>
    <w:rsid w:val="00E76989"/>
    <w:rsid w:val="00E9030B"/>
    <w:rsid w:val="00E9034A"/>
    <w:rsid w:val="00EB5AF3"/>
    <w:rsid w:val="00EC6295"/>
    <w:rsid w:val="00EE2743"/>
    <w:rsid w:val="00EE429F"/>
    <w:rsid w:val="00EF2A76"/>
    <w:rsid w:val="00F03CCF"/>
    <w:rsid w:val="00F051A3"/>
    <w:rsid w:val="00F1103C"/>
    <w:rsid w:val="00F12B21"/>
    <w:rsid w:val="00F21D2B"/>
    <w:rsid w:val="00F3235D"/>
    <w:rsid w:val="00F36207"/>
    <w:rsid w:val="00F431EB"/>
    <w:rsid w:val="00F60B78"/>
    <w:rsid w:val="00F6200A"/>
    <w:rsid w:val="00F6681C"/>
    <w:rsid w:val="00F70804"/>
    <w:rsid w:val="00F87054"/>
    <w:rsid w:val="00F90056"/>
    <w:rsid w:val="00F95117"/>
    <w:rsid w:val="00F96F18"/>
    <w:rsid w:val="00F97E8C"/>
    <w:rsid w:val="00FA5182"/>
    <w:rsid w:val="00FB3133"/>
    <w:rsid w:val="00FB4879"/>
    <w:rsid w:val="00FC07AE"/>
    <w:rsid w:val="00FD202E"/>
    <w:rsid w:val="00FE78D7"/>
    <w:rsid w:val="00FF0101"/>
    <w:rsid w:val="00FF140D"/>
    <w:rsid w:val="00FF1A26"/>
    <w:rsid w:val="00FF4DFA"/>
    <w:rsid w:val="00FF73FA"/>
    <w:rsid w:val="00FF7B2B"/>
    <w:rsid w:val="01375228"/>
    <w:rsid w:val="014B520A"/>
    <w:rsid w:val="019F0422"/>
    <w:rsid w:val="019F3246"/>
    <w:rsid w:val="027118E6"/>
    <w:rsid w:val="02C5742D"/>
    <w:rsid w:val="033E5852"/>
    <w:rsid w:val="034D3211"/>
    <w:rsid w:val="039A202E"/>
    <w:rsid w:val="03F804E4"/>
    <w:rsid w:val="046D752E"/>
    <w:rsid w:val="04AD4872"/>
    <w:rsid w:val="04B97667"/>
    <w:rsid w:val="054C7A76"/>
    <w:rsid w:val="057E6F99"/>
    <w:rsid w:val="05E46F9D"/>
    <w:rsid w:val="067A55B5"/>
    <w:rsid w:val="069F0D97"/>
    <w:rsid w:val="06AC278C"/>
    <w:rsid w:val="0730756E"/>
    <w:rsid w:val="08A468AB"/>
    <w:rsid w:val="08A91F74"/>
    <w:rsid w:val="08F54CD3"/>
    <w:rsid w:val="091134F7"/>
    <w:rsid w:val="091400C8"/>
    <w:rsid w:val="09636022"/>
    <w:rsid w:val="09B26C8F"/>
    <w:rsid w:val="0A1E35E6"/>
    <w:rsid w:val="0A2F730D"/>
    <w:rsid w:val="0A904838"/>
    <w:rsid w:val="0AD7048E"/>
    <w:rsid w:val="0AF84ECB"/>
    <w:rsid w:val="0B2466D6"/>
    <w:rsid w:val="0BFA335F"/>
    <w:rsid w:val="0C626B37"/>
    <w:rsid w:val="0C996D6B"/>
    <w:rsid w:val="0D221F06"/>
    <w:rsid w:val="0D5239B7"/>
    <w:rsid w:val="0E680F83"/>
    <w:rsid w:val="0E7D0CFC"/>
    <w:rsid w:val="0E90456E"/>
    <w:rsid w:val="0F7856DE"/>
    <w:rsid w:val="0F837FD5"/>
    <w:rsid w:val="0FAD236C"/>
    <w:rsid w:val="101337F9"/>
    <w:rsid w:val="10392617"/>
    <w:rsid w:val="104626A3"/>
    <w:rsid w:val="10C46CCE"/>
    <w:rsid w:val="10C94A94"/>
    <w:rsid w:val="11500DFD"/>
    <w:rsid w:val="1187575B"/>
    <w:rsid w:val="13E35A88"/>
    <w:rsid w:val="13F27912"/>
    <w:rsid w:val="144173C6"/>
    <w:rsid w:val="15893492"/>
    <w:rsid w:val="15D21B03"/>
    <w:rsid w:val="15E1635B"/>
    <w:rsid w:val="161458A8"/>
    <w:rsid w:val="166F085F"/>
    <w:rsid w:val="16EF68C1"/>
    <w:rsid w:val="17046B41"/>
    <w:rsid w:val="17085B2E"/>
    <w:rsid w:val="17CA7AC7"/>
    <w:rsid w:val="197F59AE"/>
    <w:rsid w:val="19C7124E"/>
    <w:rsid w:val="1A750737"/>
    <w:rsid w:val="1AA37FF4"/>
    <w:rsid w:val="1BAE7874"/>
    <w:rsid w:val="1BD458F3"/>
    <w:rsid w:val="1C027D27"/>
    <w:rsid w:val="1CC85F0F"/>
    <w:rsid w:val="1D9C6F0C"/>
    <w:rsid w:val="1DA656A5"/>
    <w:rsid w:val="1E397F56"/>
    <w:rsid w:val="1E596512"/>
    <w:rsid w:val="1E9F55FD"/>
    <w:rsid w:val="1F06550A"/>
    <w:rsid w:val="1FB007A4"/>
    <w:rsid w:val="1FF97DAC"/>
    <w:rsid w:val="200E6E09"/>
    <w:rsid w:val="201E72D9"/>
    <w:rsid w:val="203B7F72"/>
    <w:rsid w:val="211D13C3"/>
    <w:rsid w:val="21452573"/>
    <w:rsid w:val="218527AE"/>
    <w:rsid w:val="21CF4D2A"/>
    <w:rsid w:val="22411600"/>
    <w:rsid w:val="236D1357"/>
    <w:rsid w:val="23E37C13"/>
    <w:rsid w:val="244520CE"/>
    <w:rsid w:val="244D199D"/>
    <w:rsid w:val="2475411C"/>
    <w:rsid w:val="24B02FF9"/>
    <w:rsid w:val="24D07F9D"/>
    <w:rsid w:val="24E15778"/>
    <w:rsid w:val="25433076"/>
    <w:rsid w:val="259752F7"/>
    <w:rsid w:val="25A76D0F"/>
    <w:rsid w:val="25DF56B3"/>
    <w:rsid w:val="264D1810"/>
    <w:rsid w:val="26B34BB4"/>
    <w:rsid w:val="26D659A0"/>
    <w:rsid w:val="27110559"/>
    <w:rsid w:val="27A2148C"/>
    <w:rsid w:val="27D267E0"/>
    <w:rsid w:val="27EF4596"/>
    <w:rsid w:val="282D1C18"/>
    <w:rsid w:val="284B1F63"/>
    <w:rsid w:val="29297E43"/>
    <w:rsid w:val="2A5D73DB"/>
    <w:rsid w:val="2B9E25D3"/>
    <w:rsid w:val="2C952B11"/>
    <w:rsid w:val="2CC2770A"/>
    <w:rsid w:val="2CDE5A4C"/>
    <w:rsid w:val="2DC76F27"/>
    <w:rsid w:val="2E9D2135"/>
    <w:rsid w:val="2F4E1330"/>
    <w:rsid w:val="2FE86451"/>
    <w:rsid w:val="301A5665"/>
    <w:rsid w:val="30364729"/>
    <w:rsid w:val="3059394F"/>
    <w:rsid w:val="30F04BA2"/>
    <w:rsid w:val="31135D5F"/>
    <w:rsid w:val="31A25D29"/>
    <w:rsid w:val="320E662E"/>
    <w:rsid w:val="328A248E"/>
    <w:rsid w:val="33157DEB"/>
    <w:rsid w:val="341F3FB3"/>
    <w:rsid w:val="343914D5"/>
    <w:rsid w:val="34A316B1"/>
    <w:rsid w:val="35624ABE"/>
    <w:rsid w:val="359D4FE7"/>
    <w:rsid w:val="36907C71"/>
    <w:rsid w:val="3694222A"/>
    <w:rsid w:val="36CC0D61"/>
    <w:rsid w:val="36E959FD"/>
    <w:rsid w:val="37865EA2"/>
    <w:rsid w:val="37EC05BC"/>
    <w:rsid w:val="39162E72"/>
    <w:rsid w:val="391851F5"/>
    <w:rsid w:val="39802DB7"/>
    <w:rsid w:val="39825E37"/>
    <w:rsid w:val="399C1190"/>
    <w:rsid w:val="39F93944"/>
    <w:rsid w:val="3AF04537"/>
    <w:rsid w:val="3B3C74A4"/>
    <w:rsid w:val="3BBE23A9"/>
    <w:rsid w:val="3BC37B13"/>
    <w:rsid w:val="3C6035B8"/>
    <w:rsid w:val="3C691098"/>
    <w:rsid w:val="3CB74E9B"/>
    <w:rsid w:val="3CEC24F6"/>
    <w:rsid w:val="3D303F93"/>
    <w:rsid w:val="3D756C1A"/>
    <w:rsid w:val="3DAB2DA5"/>
    <w:rsid w:val="3E9E51B0"/>
    <w:rsid w:val="3F8219D8"/>
    <w:rsid w:val="3FBB797E"/>
    <w:rsid w:val="4082167D"/>
    <w:rsid w:val="41111BF8"/>
    <w:rsid w:val="41BE30C2"/>
    <w:rsid w:val="41E352F0"/>
    <w:rsid w:val="41F74758"/>
    <w:rsid w:val="4298453C"/>
    <w:rsid w:val="42A372D4"/>
    <w:rsid w:val="42B331A0"/>
    <w:rsid w:val="441E42F3"/>
    <w:rsid w:val="457846D1"/>
    <w:rsid w:val="45E06102"/>
    <w:rsid w:val="45F051E7"/>
    <w:rsid w:val="45FC44E5"/>
    <w:rsid w:val="46762F99"/>
    <w:rsid w:val="46AB32D3"/>
    <w:rsid w:val="46F86B48"/>
    <w:rsid w:val="474267BC"/>
    <w:rsid w:val="47E414F1"/>
    <w:rsid w:val="49011BC9"/>
    <w:rsid w:val="498128B4"/>
    <w:rsid w:val="4A1A1F71"/>
    <w:rsid w:val="4B1B19AF"/>
    <w:rsid w:val="4B2D15E6"/>
    <w:rsid w:val="4B71778E"/>
    <w:rsid w:val="4B821F88"/>
    <w:rsid w:val="4C92522C"/>
    <w:rsid w:val="4D567382"/>
    <w:rsid w:val="4D6C52A6"/>
    <w:rsid w:val="4E2232B9"/>
    <w:rsid w:val="4E444B80"/>
    <w:rsid w:val="4E4F6112"/>
    <w:rsid w:val="4EF045CA"/>
    <w:rsid w:val="4F1A2326"/>
    <w:rsid w:val="4F5D2DED"/>
    <w:rsid w:val="4FA56C21"/>
    <w:rsid w:val="4FB01261"/>
    <w:rsid w:val="5030727A"/>
    <w:rsid w:val="50692C96"/>
    <w:rsid w:val="507E73C8"/>
    <w:rsid w:val="50A8497D"/>
    <w:rsid w:val="515A0323"/>
    <w:rsid w:val="522D3589"/>
    <w:rsid w:val="52AA6257"/>
    <w:rsid w:val="52DB330F"/>
    <w:rsid w:val="53021078"/>
    <w:rsid w:val="539236B1"/>
    <w:rsid w:val="53A22348"/>
    <w:rsid w:val="53BC25F1"/>
    <w:rsid w:val="53C504EF"/>
    <w:rsid w:val="53F203E8"/>
    <w:rsid w:val="55FC2681"/>
    <w:rsid w:val="56A2001A"/>
    <w:rsid w:val="56B97721"/>
    <w:rsid w:val="56E40092"/>
    <w:rsid w:val="56ED744F"/>
    <w:rsid w:val="572E3F78"/>
    <w:rsid w:val="5817008A"/>
    <w:rsid w:val="584748B1"/>
    <w:rsid w:val="59094F53"/>
    <w:rsid w:val="59821989"/>
    <w:rsid w:val="5987188D"/>
    <w:rsid w:val="5A0E726A"/>
    <w:rsid w:val="5ACF06F0"/>
    <w:rsid w:val="5AE80E1C"/>
    <w:rsid w:val="5BD93A76"/>
    <w:rsid w:val="5C48269F"/>
    <w:rsid w:val="5D315703"/>
    <w:rsid w:val="5D710102"/>
    <w:rsid w:val="5DAC6DD4"/>
    <w:rsid w:val="5DCC2A4C"/>
    <w:rsid w:val="5E1D1521"/>
    <w:rsid w:val="5E62582E"/>
    <w:rsid w:val="5ED02BAC"/>
    <w:rsid w:val="5F280D06"/>
    <w:rsid w:val="5F5B703E"/>
    <w:rsid w:val="5FAF7A41"/>
    <w:rsid w:val="5FD905F4"/>
    <w:rsid w:val="605404F1"/>
    <w:rsid w:val="612D2D65"/>
    <w:rsid w:val="61430979"/>
    <w:rsid w:val="61525C67"/>
    <w:rsid w:val="61817793"/>
    <w:rsid w:val="61DE079D"/>
    <w:rsid w:val="62537485"/>
    <w:rsid w:val="63001DD6"/>
    <w:rsid w:val="63A8580D"/>
    <w:rsid w:val="64361C29"/>
    <w:rsid w:val="68481BF8"/>
    <w:rsid w:val="69CC4B06"/>
    <w:rsid w:val="6A121D4F"/>
    <w:rsid w:val="6AB4710C"/>
    <w:rsid w:val="6AF33EC5"/>
    <w:rsid w:val="6B057883"/>
    <w:rsid w:val="6B2B1151"/>
    <w:rsid w:val="6BEE55F1"/>
    <w:rsid w:val="6C0B7817"/>
    <w:rsid w:val="6C850A41"/>
    <w:rsid w:val="6CE94DA5"/>
    <w:rsid w:val="6D5F61C8"/>
    <w:rsid w:val="6D817762"/>
    <w:rsid w:val="6D825A33"/>
    <w:rsid w:val="6DA26BA5"/>
    <w:rsid w:val="6DF17FD2"/>
    <w:rsid w:val="6E797301"/>
    <w:rsid w:val="6EDD4180"/>
    <w:rsid w:val="6F8748CF"/>
    <w:rsid w:val="6F9A5441"/>
    <w:rsid w:val="6F9E565F"/>
    <w:rsid w:val="71200117"/>
    <w:rsid w:val="71641043"/>
    <w:rsid w:val="71BD2BC3"/>
    <w:rsid w:val="71CB6840"/>
    <w:rsid w:val="7255260B"/>
    <w:rsid w:val="72A03D82"/>
    <w:rsid w:val="72E42E05"/>
    <w:rsid w:val="73DC7EA8"/>
    <w:rsid w:val="742E5F18"/>
    <w:rsid w:val="74494124"/>
    <w:rsid w:val="74616D4C"/>
    <w:rsid w:val="747D33F0"/>
    <w:rsid w:val="74EF72E0"/>
    <w:rsid w:val="74F60197"/>
    <w:rsid w:val="75B353EB"/>
    <w:rsid w:val="75BD57A2"/>
    <w:rsid w:val="7614400C"/>
    <w:rsid w:val="76C647F2"/>
    <w:rsid w:val="76ED5C9B"/>
    <w:rsid w:val="78A176AA"/>
    <w:rsid w:val="78B92162"/>
    <w:rsid w:val="791F7958"/>
    <w:rsid w:val="7A0B45DC"/>
    <w:rsid w:val="7A9E1F31"/>
    <w:rsid w:val="7AC6540F"/>
    <w:rsid w:val="7ADD24B6"/>
    <w:rsid w:val="7AEA75CF"/>
    <w:rsid w:val="7B6D5A62"/>
    <w:rsid w:val="7C3F7925"/>
    <w:rsid w:val="7C661278"/>
    <w:rsid w:val="7D6A328D"/>
    <w:rsid w:val="7DA03784"/>
    <w:rsid w:val="7DB871B0"/>
    <w:rsid w:val="7E5D02A9"/>
    <w:rsid w:val="7F3F394D"/>
    <w:rsid w:val="7F545133"/>
    <w:rsid w:val="7F7658B7"/>
    <w:rsid w:val="7F7958B8"/>
    <w:rsid w:val="7FAF1594"/>
    <w:rsid w:val="7FF8576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宋体" w:hAnsi="宋体" w:eastAsia="仿宋" w:cstheme="minorBidi"/>
      <w:kern w:val="2"/>
      <w:sz w:val="32"/>
      <w:szCs w:val="24"/>
      <w:lang w:val="en-US" w:eastAsia="zh-CN" w:bidi="ar-SA"/>
    </w:rPr>
  </w:style>
  <w:style w:type="paragraph" w:styleId="4">
    <w:name w:val="heading 1"/>
    <w:next w:val="1"/>
    <w:link w:val="27"/>
    <w:qFormat/>
    <w:uiPriority w:val="0"/>
    <w:pPr>
      <w:widowControl w:val="0"/>
      <w:outlineLvl w:val="0"/>
    </w:pPr>
    <w:rPr>
      <w:rFonts w:ascii="Calibri" w:hAnsi="Calibri" w:eastAsia="黑体" w:cstheme="minorBidi"/>
      <w:kern w:val="44"/>
      <w:sz w:val="32"/>
      <w:lang w:val="en-US" w:eastAsia="zh-CN" w:bidi="ar-SA"/>
    </w:rPr>
  </w:style>
  <w:style w:type="paragraph" w:styleId="5">
    <w:name w:val="heading 2"/>
    <w:next w:val="1"/>
    <w:link w:val="23"/>
    <w:unhideWhenUsed/>
    <w:qFormat/>
    <w:uiPriority w:val="0"/>
    <w:pPr>
      <w:widowControl w:val="0"/>
      <w:ind w:firstLine="640" w:firstLineChars="200"/>
      <w:outlineLvl w:val="1"/>
    </w:pPr>
    <w:rPr>
      <w:rFonts w:ascii="宋体" w:hAnsi="宋体" w:eastAsia="楷体" w:cstheme="minorBidi"/>
      <w:sz w:val="32"/>
      <w:lang w:val="en-US" w:eastAsia="zh-CN" w:bidi="ar-SA"/>
    </w:rPr>
  </w:style>
  <w:style w:type="paragraph" w:styleId="6">
    <w:name w:val="heading 3"/>
    <w:next w:val="1"/>
    <w:link w:val="24"/>
    <w:unhideWhenUsed/>
    <w:qFormat/>
    <w:uiPriority w:val="0"/>
    <w:pPr>
      <w:widowControl w:val="0"/>
      <w:outlineLvl w:val="2"/>
    </w:pPr>
    <w:rPr>
      <w:rFonts w:ascii="宋体" w:hAnsi="宋体" w:eastAsia="仿宋" w:cstheme="minorBidi"/>
      <w:b/>
      <w:bCs/>
      <w:sz w:val="32"/>
      <w:lang w:val="en-US" w:eastAsia="zh-CN" w:bidi="ar-SA"/>
    </w:rPr>
  </w:style>
  <w:style w:type="paragraph" w:styleId="7">
    <w:name w:val="heading 4"/>
    <w:basedOn w:val="1"/>
    <w:next w:val="1"/>
    <w:link w:val="33"/>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unhideWhenUsed/>
    <w:qFormat/>
    <w:uiPriority w:val="1"/>
  </w:style>
  <w:style w:type="table" w:default="1" w:styleId="22">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29"/>
    <w:unhideWhenUsed/>
    <w:qFormat/>
    <w:uiPriority w:val="0"/>
    <w:pPr>
      <w:ind w:firstLine="420"/>
    </w:pPr>
  </w:style>
  <w:style w:type="paragraph" w:styleId="3">
    <w:name w:val="Body Text Indent"/>
    <w:basedOn w:val="1"/>
    <w:link w:val="28"/>
    <w:unhideWhenUsed/>
    <w:qFormat/>
    <w:uiPriority w:val="99"/>
    <w:pPr>
      <w:spacing w:after="120"/>
      <w:ind w:left="420" w:leftChars="200"/>
    </w:pPr>
  </w:style>
  <w:style w:type="paragraph" w:styleId="8">
    <w:name w:val="toc 7"/>
    <w:basedOn w:val="1"/>
    <w:next w:val="1"/>
    <w:unhideWhenUsed/>
    <w:qFormat/>
    <w:uiPriority w:val="39"/>
    <w:pPr>
      <w:ind w:left="2520" w:leftChars="1200"/>
    </w:pPr>
  </w:style>
  <w:style w:type="paragraph" w:styleId="9">
    <w:name w:val="toc 5"/>
    <w:basedOn w:val="1"/>
    <w:next w:val="1"/>
    <w:unhideWhenUsed/>
    <w:qFormat/>
    <w:uiPriority w:val="39"/>
    <w:pPr>
      <w:ind w:left="1680" w:leftChars="800"/>
    </w:pPr>
  </w:style>
  <w:style w:type="paragraph" w:styleId="10">
    <w:name w:val="toc 3"/>
    <w:basedOn w:val="1"/>
    <w:next w:val="1"/>
    <w:unhideWhenUsed/>
    <w:qFormat/>
    <w:uiPriority w:val="39"/>
    <w:pPr>
      <w:ind w:left="840" w:leftChars="400"/>
    </w:pPr>
  </w:style>
  <w:style w:type="paragraph" w:styleId="11">
    <w:name w:val="toc 8"/>
    <w:basedOn w:val="1"/>
    <w:next w:val="1"/>
    <w:unhideWhenUsed/>
    <w:qFormat/>
    <w:uiPriority w:val="39"/>
    <w:pPr>
      <w:ind w:left="2940" w:leftChars="1400"/>
    </w:p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nhideWhenUsed/>
    <w:qFormat/>
    <w:uiPriority w:val="39"/>
  </w:style>
  <w:style w:type="paragraph" w:styleId="15">
    <w:name w:val="toc 4"/>
    <w:basedOn w:val="1"/>
    <w:next w:val="1"/>
    <w:unhideWhenUsed/>
    <w:qFormat/>
    <w:uiPriority w:val="39"/>
    <w:pPr>
      <w:ind w:left="1260" w:leftChars="600"/>
    </w:pPr>
  </w:style>
  <w:style w:type="paragraph" w:styleId="16">
    <w:name w:val="toc 6"/>
    <w:basedOn w:val="1"/>
    <w:next w:val="1"/>
    <w:unhideWhenUsed/>
    <w:qFormat/>
    <w:uiPriority w:val="39"/>
    <w:pPr>
      <w:ind w:left="2100" w:leftChars="1000"/>
    </w:pPr>
  </w:style>
  <w:style w:type="paragraph" w:styleId="17">
    <w:name w:val="toc 2"/>
    <w:basedOn w:val="1"/>
    <w:next w:val="1"/>
    <w:unhideWhenUsed/>
    <w:qFormat/>
    <w:uiPriority w:val="39"/>
    <w:pPr>
      <w:ind w:left="420" w:leftChars="200"/>
    </w:pPr>
  </w:style>
  <w:style w:type="paragraph" w:styleId="18">
    <w:name w:val="toc 9"/>
    <w:basedOn w:val="1"/>
    <w:next w:val="1"/>
    <w:unhideWhenUsed/>
    <w:qFormat/>
    <w:uiPriority w:val="39"/>
    <w:pPr>
      <w:ind w:left="3360" w:leftChars="1600"/>
    </w:pPr>
  </w:style>
  <w:style w:type="paragraph" w:styleId="19">
    <w:name w:val="Normal (Web)"/>
    <w:basedOn w:val="1"/>
    <w:qFormat/>
    <w:uiPriority w:val="0"/>
    <w:pPr>
      <w:spacing w:beforeAutospacing="1" w:afterAutospacing="1"/>
      <w:jc w:val="left"/>
    </w:pPr>
    <w:rPr>
      <w:rFonts w:cs="Times New Roman" w:asciiTheme="minorHAnsi" w:hAnsiTheme="minorHAnsi" w:eastAsiaTheme="minorEastAsia"/>
      <w:kern w:val="0"/>
      <w:sz w:val="24"/>
    </w:r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标题 2 Char"/>
    <w:basedOn w:val="20"/>
    <w:link w:val="5"/>
    <w:qFormat/>
    <w:uiPriority w:val="0"/>
    <w:rPr>
      <w:rFonts w:ascii="宋体" w:hAnsi="宋体" w:eastAsia="楷体"/>
      <w:kern w:val="0"/>
      <w:sz w:val="32"/>
      <w:szCs w:val="20"/>
    </w:rPr>
  </w:style>
  <w:style w:type="character" w:customStyle="1" w:styleId="24">
    <w:name w:val="标题 3 Char"/>
    <w:basedOn w:val="20"/>
    <w:link w:val="6"/>
    <w:qFormat/>
    <w:uiPriority w:val="0"/>
    <w:rPr>
      <w:rFonts w:ascii="宋体" w:hAnsi="宋体" w:eastAsia="仿宋"/>
      <w:b/>
      <w:bCs/>
      <w:kern w:val="0"/>
      <w:sz w:val="32"/>
      <w:szCs w:val="20"/>
    </w:rPr>
  </w:style>
  <w:style w:type="character" w:customStyle="1" w:styleId="25">
    <w:name w:val="页眉 Char"/>
    <w:basedOn w:val="20"/>
    <w:link w:val="13"/>
    <w:qFormat/>
    <w:uiPriority w:val="99"/>
    <w:rPr>
      <w:sz w:val="18"/>
      <w:szCs w:val="18"/>
    </w:rPr>
  </w:style>
  <w:style w:type="character" w:customStyle="1" w:styleId="26">
    <w:name w:val="页脚 Char"/>
    <w:basedOn w:val="20"/>
    <w:link w:val="12"/>
    <w:qFormat/>
    <w:uiPriority w:val="99"/>
    <w:rPr>
      <w:sz w:val="18"/>
      <w:szCs w:val="18"/>
    </w:rPr>
  </w:style>
  <w:style w:type="character" w:customStyle="1" w:styleId="27">
    <w:name w:val="标题 1 Char"/>
    <w:basedOn w:val="20"/>
    <w:link w:val="4"/>
    <w:qFormat/>
    <w:uiPriority w:val="0"/>
    <w:rPr>
      <w:rFonts w:ascii="Calibri" w:hAnsi="Calibri" w:eastAsia="黑体"/>
      <w:kern w:val="44"/>
      <w:sz w:val="32"/>
      <w:szCs w:val="20"/>
    </w:rPr>
  </w:style>
  <w:style w:type="character" w:customStyle="1" w:styleId="28">
    <w:name w:val="正文文本缩进 Char"/>
    <w:basedOn w:val="20"/>
    <w:link w:val="3"/>
    <w:semiHidden/>
    <w:qFormat/>
    <w:uiPriority w:val="99"/>
    <w:rPr>
      <w:rFonts w:ascii="宋体" w:hAnsi="宋体" w:eastAsia="仿宋"/>
      <w:sz w:val="32"/>
      <w:szCs w:val="24"/>
    </w:rPr>
  </w:style>
  <w:style w:type="character" w:customStyle="1" w:styleId="29">
    <w:name w:val="正文首行缩进 2 Char"/>
    <w:basedOn w:val="28"/>
    <w:link w:val="2"/>
    <w:qFormat/>
    <w:uiPriority w:val="0"/>
    <w:rPr>
      <w:rFonts w:ascii="宋体" w:hAnsi="宋体" w:eastAsia="仿宋"/>
      <w:sz w:val="32"/>
      <w:szCs w:val="24"/>
    </w:rPr>
  </w:style>
  <w:style w:type="paragraph" w:customStyle="1" w:styleId="30">
    <w:name w:val="列出段落1"/>
    <w:basedOn w:val="1"/>
    <w:qFormat/>
    <w:uiPriority w:val="34"/>
    <w:pPr>
      <w:ind w:firstLine="420"/>
    </w:pPr>
  </w:style>
  <w:style w:type="paragraph" w:customStyle="1" w:styleId="31">
    <w:name w:val="WPSOffice手动目录 1"/>
    <w:qFormat/>
    <w:uiPriority w:val="0"/>
    <w:pPr>
      <w:ind w:leftChars="0"/>
    </w:pPr>
    <w:rPr>
      <w:rFonts w:asciiTheme="minorHAnsi" w:hAnsiTheme="minorHAnsi" w:eastAsiaTheme="minorEastAsia" w:cstheme="minorBidi"/>
      <w:sz w:val="20"/>
      <w:szCs w:val="20"/>
    </w:rPr>
  </w:style>
  <w:style w:type="paragraph" w:customStyle="1" w:styleId="32">
    <w:name w:val="WPSOffice手动目录 2"/>
    <w:qFormat/>
    <w:uiPriority w:val="0"/>
    <w:pPr>
      <w:ind w:leftChars="200"/>
    </w:pPr>
    <w:rPr>
      <w:rFonts w:asciiTheme="minorHAnsi" w:hAnsiTheme="minorHAnsi" w:eastAsiaTheme="minorEastAsia" w:cstheme="minorBidi"/>
      <w:sz w:val="20"/>
      <w:szCs w:val="20"/>
    </w:rPr>
  </w:style>
  <w:style w:type="character" w:customStyle="1" w:styleId="33">
    <w:name w:val="标题 4 Char"/>
    <w:link w:val="7"/>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sectNamePr val="目录页"/>
    </customSectPr>
    <customSectPr>
      <sectNamePr val="目录页"/>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97</Pages>
  <Words>47972</Words>
  <Characters>48479</Characters>
  <Lines>332</Lines>
  <Paragraphs>93</Paragraphs>
  <TotalTime>0</TotalTime>
  <ScaleCrop>false</ScaleCrop>
  <LinksUpToDate>false</LinksUpToDate>
  <CharactersWithSpaces>49194</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2021-05-12T15:56:00Z</dcterms:created>
  <dc:creator>admin</dc:creator>
  <cp:lastModifiedBy>Administrator</cp:lastModifiedBy>
  <cp:lastPrinted>2021-10-08T04:30:00Z</cp:lastPrinted>
  <dcterms:modified xsi:type="dcterms:W3CDTF">2026-03-03T07:18:06Z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