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宋体" w:hAnsi="宋体" w:eastAsia="宋体" w:cs="宋体"/>
          <w:color w:val="333333"/>
          <w:spacing w:val="0"/>
          <w:kern w:val="0"/>
          <w:sz w:val="32"/>
          <w:szCs w:val="32"/>
          <w:shd w:val="clear" w:color="auto" w:fill="FFFFFF"/>
          <w:lang w:val="en-US" w:eastAsia="zh-CN" w:bidi="ar"/>
        </w:rPr>
      </w:pPr>
      <w:r>
        <w:rPr>
          <w:rFonts w:hint="eastAsia" w:ascii="宋体" w:hAnsi="宋体" w:eastAsia="宋体" w:cs="宋体"/>
          <w:color w:val="333333"/>
          <w:spacing w:val="0"/>
          <w:kern w:val="0"/>
          <w:sz w:val="32"/>
          <w:szCs w:val="32"/>
          <w:shd w:val="clear" w:color="auto" w:fill="FFFFFF"/>
          <w:lang w:val="en-US" w:eastAsia="zh-CN" w:bidi="ar"/>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lang w:val="en-US" w:eastAsia="zh-CN"/>
        </w:rPr>
      </w:pPr>
      <w:r>
        <w:rPr>
          <w:rFonts w:hint="eastAsia"/>
          <w:lang w:val="en-US" w:eastAsia="zh-CN"/>
        </w:rPr>
        <w:t> </w:t>
      </w:r>
    </w:p>
    <w:p>
      <w:pPr>
        <w:pStyle w:val="4"/>
        <w:bidi w:val="0"/>
        <w:rPr>
          <w:rFonts w:hint="eastAsia"/>
          <w:lang w:val="en-US" w:eastAsia="zh-CN"/>
        </w:rPr>
      </w:pPr>
      <w:r>
        <w:rPr>
          <w:rFonts w:hint="eastAsia"/>
          <w:lang w:val="en-US" w:eastAsia="zh-CN"/>
        </w:rPr>
        <w:t>__________财政局关于中介机构从事</w:t>
      </w:r>
    </w:p>
    <w:p>
      <w:pPr>
        <w:pStyle w:val="4"/>
        <w:bidi w:val="0"/>
      </w:pPr>
      <w:r>
        <w:rPr>
          <w:rFonts w:hint="eastAsia"/>
          <w:lang w:val="en-US" w:eastAsia="zh-CN"/>
        </w:rPr>
        <w:t>代理记账业务实行告知承诺的通知</w:t>
      </w:r>
    </w:p>
    <w:p>
      <w:pPr>
        <w:bidi w:val="0"/>
      </w:pPr>
      <w:r>
        <w:rPr>
          <w:rFonts w:hint="eastAsia" w:ascii="Times New Roman" w:eastAsia="仿宋_GB2312"/>
          <w:lang w:val="en-US" w:eastAsia="zh-CN"/>
        </w:rPr>
        <w:t> </w:t>
      </w:r>
    </w:p>
    <w:p>
      <w:pPr>
        <w:bidi w:val="0"/>
      </w:pPr>
      <w:r>
        <w:rPr>
          <w:rFonts w:hint="eastAsia" w:ascii="Times New Roman" w:eastAsia="仿宋_GB2312"/>
          <w:lang w:val="en-US" w:eastAsia="zh-CN"/>
        </w:rPr>
        <w:t>本主管部门就中介机构从事代理记账业务告知承诺事项通知如下：</w:t>
      </w:r>
    </w:p>
    <w:p>
      <w:pPr>
        <w:pStyle w:val="2"/>
        <w:bidi w:val="0"/>
      </w:pPr>
      <w:r>
        <w:rPr>
          <w:rFonts w:hint="eastAsia"/>
          <w:lang w:val="en-US" w:eastAsia="zh-CN"/>
        </w:rPr>
        <w:t>一、告知承诺依据</w:t>
      </w:r>
    </w:p>
    <w:p>
      <w:pPr>
        <w:bidi w:val="0"/>
      </w:pPr>
      <w:r>
        <w:rPr>
          <w:rFonts w:hint="eastAsia" w:ascii="Times New Roman" w:eastAsia="仿宋_GB2312"/>
          <w:lang w:val="en-US" w:eastAsia="zh-CN"/>
        </w:rPr>
        <w:t>本告知承诺事项的依据为：</w:t>
      </w:r>
    </w:p>
    <w:p>
      <w:pPr>
        <w:bidi w:val="0"/>
      </w:pPr>
      <w:r>
        <w:rPr>
          <w:rFonts w:hint="eastAsia" w:ascii="Times New Roman" w:eastAsia="仿宋_GB2312"/>
          <w:lang w:val="en-US" w:eastAsia="zh-CN"/>
        </w:rPr>
        <w:t>1.《中华人民共和国会计法》第三十六条；</w:t>
      </w:r>
    </w:p>
    <w:p>
      <w:pPr>
        <w:bidi w:val="0"/>
      </w:pPr>
      <w:r>
        <w:rPr>
          <w:rFonts w:hint="eastAsia" w:ascii="Times New Roman" w:eastAsia="仿宋_GB2312"/>
          <w:lang w:val="en-US" w:eastAsia="zh-CN"/>
        </w:rPr>
        <w:t>2.《代理记账管理办法》(财政部令第98号)第二条、第三条。</w:t>
      </w:r>
    </w:p>
    <w:p>
      <w:pPr>
        <w:pStyle w:val="2"/>
        <w:bidi w:val="0"/>
      </w:pPr>
      <w:r>
        <w:rPr>
          <w:rFonts w:hint="eastAsia"/>
          <w:lang w:val="en-US" w:eastAsia="zh-CN"/>
        </w:rPr>
        <w:t>二、法定条件</w:t>
      </w:r>
    </w:p>
    <w:p>
      <w:pPr>
        <w:bidi w:val="0"/>
      </w:pPr>
      <w:r>
        <w:rPr>
          <w:rFonts w:hint="eastAsia" w:ascii="Times New Roman" w:eastAsia="仿宋_GB2312"/>
          <w:lang w:val="en-US" w:eastAsia="zh-CN"/>
        </w:rPr>
        <w:t>1.为依法设立的企业；</w:t>
      </w:r>
    </w:p>
    <w:p>
      <w:pPr>
        <w:bidi w:val="0"/>
      </w:pPr>
      <w:r>
        <w:rPr>
          <w:rFonts w:hint="eastAsia" w:ascii="Times New Roman" w:eastAsia="仿宋_GB2312"/>
          <w:lang w:val="en-US" w:eastAsia="zh-CN"/>
        </w:rPr>
        <w:t>2.专职从业人员不少于3名；</w:t>
      </w:r>
    </w:p>
    <w:p>
      <w:pPr>
        <w:bidi w:val="0"/>
      </w:pPr>
      <w:r>
        <w:rPr>
          <w:rFonts w:hint="eastAsia" w:ascii="Times New Roman" w:eastAsia="仿宋_GB2312"/>
          <w:lang w:val="en-US" w:eastAsia="zh-CN"/>
        </w:rPr>
        <w:t>3.主管代理记账业务的负责人具有会计师以上专业技术职务资格或者从事会计工作不少于三年，且为专职从业人员；</w:t>
      </w:r>
    </w:p>
    <w:p>
      <w:pPr>
        <w:bidi w:val="0"/>
      </w:pPr>
      <w:r>
        <w:rPr>
          <w:rFonts w:hint="eastAsia" w:ascii="Times New Roman" w:eastAsia="仿宋_GB2312"/>
          <w:lang w:val="en-US" w:eastAsia="zh-CN"/>
        </w:rPr>
        <w:t>4.有健全的代理记账业务内部规范。</w:t>
      </w:r>
    </w:p>
    <w:p>
      <w:pPr>
        <w:pStyle w:val="2"/>
        <w:bidi w:val="0"/>
      </w:pPr>
      <w:r>
        <w:rPr>
          <w:rFonts w:hint="eastAsia"/>
          <w:lang w:val="en-US" w:eastAsia="zh-CN"/>
        </w:rPr>
        <w:t>三、应当提交的材料</w:t>
      </w:r>
    </w:p>
    <w:p>
      <w:pPr>
        <w:bidi w:val="0"/>
      </w:pPr>
      <w:r>
        <w:rPr>
          <w:rFonts w:hint="eastAsia" w:ascii="Times New Roman" w:eastAsia="仿宋_GB2312"/>
          <w:lang w:val="en-US" w:eastAsia="zh-CN"/>
        </w:rPr>
        <w:t>根据告知承诺依据和法定条件，中介机构应当提交下列材料：</w:t>
      </w:r>
    </w:p>
    <w:p>
      <w:pPr>
        <w:bidi w:val="0"/>
      </w:pPr>
      <w:r>
        <w:rPr>
          <w:rFonts w:hint="eastAsia" w:ascii="Times New Roman" w:eastAsia="仿宋_GB2312"/>
          <w:lang w:val="en-US" w:eastAsia="zh-CN"/>
        </w:rPr>
        <w:t>1.吉林省会计代理记账机构执业资格申请表;</w:t>
      </w:r>
    </w:p>
    <w:p>
      <w:pPr>
        <w:bidi w:val="0"/>
      </w:pPr>
      <w:r>
        <w:rPr>
          <w:rFonts w:hint="eastAsia" w:ascii="Times New Roman" w:eastAsia="仿宋_GB2312"/>
          <w:lang w:val="en-US" w:eastAsia="zh-CN"/>
        </w:rPr>
        <w:t>2.代理记账业务内部规范;</w:t>
      </w:r>
    </w:p>
    <w:p>
      <w:pPr>
        <w:bidi w:val="0"/>
        <w:rPr>
          <w:rFonts w:hint="eastAsia"/>
          <w:lang w:val="en-US" w:eastAsia="zh-CN"/>
        </w:rPr>
      </w:pPr>
      <w:r>
        <w:rPr>
          <w:rFonts w:hint="eastAsia" w:ascii="Times New Roman" w:eastAsia="仿宋_GB2312"/>
          <w:lang w:val="en-US" w:eastAsia="zh-CN"/>
        </w:rPr>
        <w:t>3.中介机构从事代理记账业务告知承诺书;</w:t>
      </w:r>
    </w:p>
    <w:p>
      <w:pPr>
        <w:bidi w:val="0"/>
        <w:rPr>
          <w:rFonts w:hint="default"/>
          <w:lang w:val="en-US" w:eastAsia="zh-CN"/>
        </w:rPr>
      </w:pPr>
      <w:r>
        <w:rPr>
          <w:rFonts w:hint="eastAsia" w:ascii="Times New Roman" w:eastAsia="仿宋_GB2312"/>
          <w:lang w:val="en-US" w:eastAsia="zh-CN"/>
        </w:rPr>
        <w:t>4.统一社会信用代码。</w:t>
      </w:r>
    </w:p>
    <w:p>
      <w:pPr>
        <w:pStyle w:val="2"/>
        <w:bidi w:val="0"/>
      </w:pPr>
      <w:r>
        <w:rPr>
          <w:rFonts w:hint="eastAsia"/>
          <w:lang w:val="en-US" w:eastAsia="zh-CN"/>
        </w:rPr>
        <w:t>四、告知承诺的办理程序</w:t>
      </w:r>
    </w:p>
    <w:p>
      <w:pPr>
        <w:bidi w:val="0"/>
      </w:pPr>
      <w:r>
        <w:rPr>
          <w:rFonts w:hint="eastAsia" w:ascii="Times New Roman" w:eastAsia="仿宋_GB2312"/>
          <w:lang w:val="en-US" w:eastAsia="zh-CN"/>
        </w:rPr>
        <w:t>1.中介机构应向市（州）、县（市）财政局提交签章后的《中介机构从事代理记账业务告知承诺书》原件及相关申请材料；</w:t>
      </w:r>
    </w:p>
    <w:p>
      <w:pPr>
        <w:shd w:val="clear" w:color="auto" w:fill="FFFFFF"/>
        <w:overflowPunct w:val="0"/>
        <w:adjustRightInd w:val="0"/>
        <w:snapToGrid w:val="0"/>
        <w:spacing w:line="594" w:lineRule="exact"/>
        <w:ind w:firstLine="640" w:firstLineChars="200"/>
      </w:pPr>
      <w:r>
        <w:rPr>
          <w:rFonts w:hint="eastAsia" w:ascii="Times New Roman" w:eastAsia="仿宋_GB2312"/>
          <w:lang w:val="en-US" w:eastAsia="zh-CN"/>
        </w:rPr>
        <w:t>2.市（州）、县（市）财政局</w:t>
      </w:r>
      <w:r>
        <w:rPr>
          <w:rFonts w:hint="eastAsia" w:eastAsia="仿宋_GB2312"/>
          <w:color w:val="000000"/>
          <w:kern w:val="0"/>
          <w:sz w:val="32"/>
          <w:szCs w:val="32"/>
          <w:lang w:eastAsia="zh-CN"/>
        </w:rPr>
        <w:t>主管部门</w:t>
      </w:r>
      <w:r>
        <w:rPr>
          <w:rFonts w:ascii="Times New Roman" w:hAnsi="Times New Roman" w:eastAsia="仿宋_GB2312"/>
          <w:color w:val="000000"/>
          <w:kern w:val="0"/>
          <w:sz w:val="32"/>
          <w:szCs w:val="32"/>
        </w:rPr>
        <w:t>应当按照</w:t>
      </w:r>
      <w:r>
        <w:rPr>
          <w:rFonts w:hint="eastAsia" w:ascii="Times New Roman" w:hAnsi="Times New Roman" w:eastAsia="仿宋_GB2312"/>
          <w:color w:val="000000"/>
          <w:kern w:val="0"/>
          <w:sz w:val="32"/>
          <w:szCs w:val="32"/>
        </w:rPr>
        <w:t>上述申请条件和申报材料</w:t>
      </w:r>
      <w:r>
        <w:rPr>
          <w:rFonts w:hint="eastAsia" w:eastAsia="仿宋_GB2312"/>
          <w:color w:val="000000"/>
          <w:kern w:val="0"/>
          <w:sz w:val="32"/>
          <w:szCs w:val="32"/>
          <w:lang w:eastAsia="zh-CN"/>
        </w:rPr>
        <w:t>进行审核</w:t>
      </w:r>
      <w:r>
        <w:rPr>
          <w:rFonts w:ascii="Times New Roman" w:hAnsi="Times New Roman" w:eastAsia="仿宋_GB2312"/>
          <w:color w:val="000000"/>
          <w:kern w:val="0"/>
          <w:sz w:val="32"/>
          <w:szCs w:val="32"/>
        </w:rPr>
        <w:t>。</w:t>
      </w:r>
      <w:r>
        <w:rPr>
          <w:rFonts w:hint="eastAsia" w:ascii="Times New Roman" w:eastAsia="仿宋_GB2312"/>
          <w:lang w:val="en-US" w:eastAsia="zh-CN"/>
        </w:rPr>
        <w:t>申请材料齐全、符合法定形式的，由市（州）、县（市）财政局当场作出准予许可决定，并在5个工作日内颁发代理记账执业证书。同时在门户网站对中介机构提交的告知承诺书进行公示，接受社会监督；</w:t>
      </w:r>
    </w:p>
    <w:p>
      <w:pPr>
        <w:bidi w:val="0"/>
      </w:pPr>
      <w:r>
        <w:rPr>
          <w:rFonts w:hint="eastAsia" w:ascii="Times New Roman" w:eastAsia="仿宋_GB2312"/>
          <w:lang w:val="en-US" w:eastAsia="zh-CN"/>
        </w:rPr>
        <w:t>3.市（州）、县（市）财政局将在作出准予许可决定后3个月内，按照《代理记账管理办法》(财政部令第98号)的相关规定，对中介机构的承诺内容是否属实进行现场核查。</w:t>
      </w:r>
    </w:p>
    <w:p>
      <w:pPr>
        <w:pStyle w:val="2"/>
        <w:bidi w:val="0"/>
      </w:pPr>
      <w:r>
        <w:rPr>
          <w:rFonts w:hint="eastAsia"/>
          <w:lang w:val="en-US" w:eastAsia="zh-CN"/>
        </w:rPr>
        <w:t>五、监督和法律责任</w:t>
      </w:r>
    </w:p>
    <w:p>
      <w:pPr>
        <w:bidi w:val="0"/>
        <w:rPr>
          <w:rFonts w:hint="eastAsia"/>
          <w:lang w:val="en-US" w:eastAsia="zh-CN"/>
        </w:rPr>
      </w:pPr>
      <w:r>
        <w:rPr>
          <w:rFonts w:hint="eastAsia" w:ascii="Times New Roman" w:eastAsia="仿宋_GB2312"/>
          <w:lang w:val="en-US" w:eastAsia="zh-CN"/>
        </w:rPr>
        <w:t>1.市（州）、县（市）财政局要重点对企业履行承诺情况进行检查，发现违反承诺的要责令限期整改，逾期不整改或者整改后仍未履行承诺的要依法撤销相关许可，构成违法的要依法予以处罚。</w:t>
      </w:r>
    </w:p>
    <w:p>
      <w:pPr>
        <w:bidi w:val="0"/>
        <w:rPr>
          <w:rFonts w:hint="eastAsia" w:ascii="宋体" w:hAnsi="宋体" w:eastAsia="宋体" w:cs="宋体"/>
          <w:color w:val="333333"/>
          <w:spacing w:val="0"/>
          <w:kern w:val="0"/>
          <w:sz w:val="32"/>
          <w:szCs w:val="32"/>
          <w:shd w:val="clear" w:color="auto" w:fill="FFFFFF"/>
          <w:lang w:val="en-US" w:eastAsia="zh-CN" w:bidi="ar"/>
        </w:rPr>
      </w:pPr>
      <w:r>
        <w:rPr>
          <w:rFonts w:hint="eastAsia" w:ascii="Times New Roman" w:eastAsia="仿宋_GB2312"/>
          <w:lang w:val="en-US" w:eastAsia="zh-CN"/>
        </w:rPr>
        <w:t>2.中介机构作出虚假承诺或者承诺内容严重不实的，由市（州）、县（市）财政局纳入信用记录，并归集至全国信用信息共享平台和国家企业信用信息公示系统（吉林）。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52CE"/>
    <w:rsid w:val="701952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keepLines/>
      <w:outlineLvl w:val="0"/>
    </w:pPr>
    <w:rPr>
      <w:rFonts w:eastAsia="黑体"/>
      <w:bCs/>
      <w:kern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qFormat/>
    <w:uiPriority w:val="10"/>
    <w:pPr>
      <w:spacing w:after="50" w:afterLines="50" w:line="600" w:lineRule="exact"/>
      <w:ind w:firstLine="0" w:firstLineChars="0"/>
      <w:jc w:val="center"/>
      <w:outlineLvl w:val="0"/>
    </w:pPr>
    <w:rPr>
      <w:rFonts w:eastAsia="方正小标宋简体"/>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2021-07-07T06:03:00Z</dcterms:created>
  <dc:creator>NinG</dc:creator>
  <cp:lastModifiedBy>NinG</cp:lastModifiedBy>
  <dcterms:modified xsi:type="dcterms:W3CDTF">2021-07-07T06:03:30Z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E3E732EDF6FD4DB683FDEFDCAE374652</vt:lpwstr>
  </property>
</Properties>
</file>