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p>
    <w:p>
      <w:pPr>
        <w:keepNext w:val="0"/>
        <w:keepLines w:val="0"/>
        <w:pageBreakBefore w:val="0"/>
        <w:widowControl/>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XX—XX年度XXX</w:t>
      </w:r>
      <w:r>
        <w:rPr>
          <w:rFonts w:hint="eastAsia" w:ascii="方正小标宋简体" w:hAnsi="方正小标宋简体" w:eastAsia="方正小标宋简体" w:cs="方正小标宋简体"/>
          <w:b w:val="0"/>
          <w:bCs/>
          <w:sz w:val="44"/>
          <w:szCs w:val="44"/>
        </w:rPr>
        <w:t>项目绩效评价方案</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sz w:val="44"/>
          <w:szCs w:val="44"/>
        </w:rPr>
      </w:pP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引</w:t>
      </w:r>
      <w:r>
        <w:rPr>
          <w:rFonts w:hint="eastAsia" w:ascii="仿宋_GB2312" w:hAnsi="仿宋_GB2312" w:eastAsia="仿宋_GB2312" w:cs="仿宋_GB2312"/>
          <w:b/>
          <w:bCs w:val="0"/>
          <w:sz w:val="32"/>
          <w:szCs w:val="32"/>
          <w:lang w:val="en-US" w:eastAsia="zh-CN"/>
        </w:rPr>
        <w:t xml:space="preserve">  </w:t>
      </w:r>
      <w:r>
        <w:rPr>
          <w:rFonts w:hint="eastAsia" w:ascii="仿宋_GB2312" w:hAnsi="仿宋_GB2312" w:eastAsia="仿宋_GB2312" w:cs="仿宋_GB2312"/>
          <w:b/>
          <w:bCs w:val="0"/>
          <w:sz w:val="32"/>
          <w:szCs w:val="32"/>
          <w:lang w:eastAsia="zh-CN"/>
        </w:rPr>
        <w:t>言</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为贯彻落实《</w:t>
      </w:r>
      <w:r>
        <w:rPr>
          <w:rFonts w:hint="eastAsia" w:ascii="仿宋_GB2312" w:hAnsi="仿宋_GB2312" w:eastAsia="仿宋_GB2312" w:cs="仿宋_GB2312"/>
          <w:sz w:val="32"/>
          <w:szCs w:val="32"/>
          <w:shd w:val="clear" w:color="auto" w:fill="FFFFFF"/>
          <w:lang w:eastAsia="zh-CN"/>
        </w:rPr>
        <w:t>中共吉林省委吉林省人民政府关于全面实施预算绩效管理的实施意见</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吉发</w:t>
      </w:r>
      <w:r>
        <w:rPr>
          <w:rFonts w:hint="eastAsia" w:ascii="仿宋_GB2312" w:hAnsi="仿宋_GB2312" w:eastAsia="仿宋_GB2312" w:cs="仿宋_GB2312"/>
          <w:sz w:val="32"/>
          <w:szCs w:val="32"/>
          <w:shd w:val="clear" w:color="auto" w:fill="FFFFFF"/>
        </w:rPr>
        <w:t>〔201</w:t>
      </w:r>
      <w:r>
        <w:rPr>
          <w:rFonts w:hint="eastAsia" w:ascii="仿宋_GB2312" w:hAnsi="仿宋_GB2312" w:eastAsia="仿宋_GB2312" w:cs="仿宋_GB2312"/>
          <w:sz w:val="32"/>
          <w:szCs w:val="32"/>
          <w:shd w:val="clear" w:color="auto" w:fill="FFFFFF"/>
          <w:lang w:val="en-US" w:eastAsia="zh-CN"/>
        </w:rPr>
        <w:t>9</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10</w:t>
      </w:r>
      <w:r>
        <w:rPr>
          <w:rFonts w:hint="eastAsia" w:ascii="仿宋_GB2312" w:hAnsi="仿宋_GB2312" w:eastAsia="仿宋_GB2312" w:cs="仿宋_GB2312"/>
          <w:sz w:val="32"/>
          <w:szCs w:val="32"/>
          <w:shd w:val="clear" w:color="auto" w:fill="FFFFFF"/>
        </w:rPr>
        <w:t>号）</w:t>
      </w:r>
      <w:r>
        <w:rPr>
          <w:rFonts w:hint="eastAsia" w:ascii="仿宋_GB2312" w:hAnsi="仿宋_GB2312" w:eastAsia="仿宋_GB2312" w:cs="仿宋_GB2312"/>
          <w:sz w:val="32"/>
          <w:szCs w:val="32"/>
          <w:shd w:val="clear" w:color="auto" w:fill="FFFFFF"/>
          <w:lang w:val="en-US" w:eastAsia="zh-CN"/>
        </w:rPr>
        <w:t>,根据《</w:t>
      </w:r>
      <w:r>
        <w:rPr>
          <w:rFonts w:hint="eastAsia" w:ascii="仿宋_GB2312" w:hAnsi="仿宋_GB2312" w:cs="仿宋_GB2312"/>
          <w:sz w:val="32"/>
          <w:szCs w:val="32"/>
          <w:shd w:val="clear" w:color="auto" w:fill="FFFFFF"/>
          <w:lang w:val="en-US" w:eastAsia="zh-CN"/>
        </w:rPr>
        <w:t>XX办法</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cs="仿宋_GB2312"/>
          <w:sz w:val="32"/>
          <w:szCs w:val="32"/>
          <w:shd w:val="clear" w:color="auto" w:fill="FFFFFF"/>
          <w:lang w:val="en-US" w:eastAsia="zh-CN"/>
        </w:rPr>
        <w:t>和《XX通知》</w:t>
      </w:r>
      <w:r>
        <w:rPr>
          <w:rFonts w:hint="eastAsia" w:ascii="仿宋_GB2312" w:hAnsi="仿宋_GB2312" w:eastAsia="仿宋_GB2312" w:cs="仿宋_GB2312"/>
          <w:b w:val="0"/>
          <w:bCs/>
          <w:sz w:val="32"/>
          <w:szCs w:val="32"/>
          <w:lang w:val="en-US" w:eastAsia="zh-CN"/>
        </w:rPr>
        <w:t>等相关规定，吉林省财政厅委托XX事务所（</w:t>
      </w:r>
      <w:r>
        <w:rPr>
          <w:rFonts w:hint="eastAsia" w:ascii="仿宋_GB2312" w:hAnsi="仿宋_GB2312" w:cs="仿宋_GB2312"/>
          <w:b w:val="0"/>
          <w:bCs/>
          <w:sz w:val="32"/>
          <w:szCs w:val="32"/>
          <w:lang w:val="en-US" w:eastAsia="zh-CN"/>
        </w:rPr>
        <w:t>第三方机构名称</w:t>
      </w:r>
      <w:r>
        <w:rPr>
          <w:rFonts w:hint="eastAsia" w:ascii="仿宋_GB2312" w:hAnsi="仿宋_GB2312" w:eastAsia="仿宋_GB2312" w:cs="仿宋_GB2312"/>
          <w:b w:val="0"/>
          <w:bCs/>
          <w:sz w:val="32"/>
          <w:szCs w:val="32"/>
          <w:lang w:val="en-US" w:eastAsia="zh-CN"/>
        </w:rPr>
        <w:t>）对吉林省XX部门XX年度或XX-XX年度实施的XX项目开展绩效评价。为保证此次评价工作的规范性、公正性、客观性和时效性，特制定本方案。</w:t>
      </w:r>
    </w:p>
    <w:p>
      <w:pPr>
        <w:pStyle w:val="6"/>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黑体" w:hAnsi="黑体" w:eastAsia="黑体" w:cs="黑体"/>
          <w:b w:val="0"/>
          <w:bCs/>
          <w:color w:val="FF0000"/>
          <w:sz w:val="32"/>
          <w:szCs w:val="32"/>
        </w:rPr>
      </w:pPr>
      <w:r>
        <w:rPr>
          <w:rFonts w:hint="eastAsia" w:ascii="黑体" w:hAnsi="黑体" w:eastAsia="黑体" w:cs="黑体"/>
          <w:b w:val="0"/>
          <w:bCs/>
          <w:sz w:val="32"/>
          <w:szCs w:val="32"/>
          <w:lang w:eastAsia="zh-CN"/>
        </w:rPr>
        <w:t>一、</w:t>
      </w:r>
      <w:r>
        <w:rPr>
          <w:rFonts w:hint="eastAsia" w:ascii="黑体" w:hAnsi="黑体" w:eastAsia="黑体" w:cs="黑体"/>
          <w:b w:val="0"/>
          <w:bCs/>
          <w:sz w:val="32"/>
          <w:szCs w:val="32"/>
        </w:rPr>
        <w:t>项目概况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项目立项的背景和目</w:t>
      </w:r>
      <w:r>
        <w:rPr>
          <w:rFonts w:hint="eastAsia" w:ascii="仿宋_GB2312" w:hAnsi="仿宋_GB2312" w:eastAsia="仿宋_GB2312" w:cs="仿宋_GB2312"/>
          <w:sz w:val="32"/>
          <w:szCs w:val="32"/>
          <w:lang w:eastAsia="zh-CN"/>
        </w:rPr>
        <w:t>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项目立项的政策背景</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项目实施的历史概况</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项目实施</w:t>
      </w:r>
      <w:r>
        <w:rPr>
          <w:rFonts w:hint="eastAsia" w:ascii="仿宋_GB2312" w:hAnsi="仿宋_GB2312" w:eastAsia="仿宋_GB2312" w:cs="仿宋_GB2312"/>
          <w:sz w:val="32"/>
          <w:szCs w:val="32"/>
          <w:lang w:eastAsia="zh-CN"/>
        </w:rPr>
        <w:t>的目标</w:t>
      </w:r>
      <w:r>
        <w:rPr>
          <w:rFonts w:hint="eastAsia" w:ascii="仿宋_GB2312" w:hAnsi="仿宋_GB2312" w:eastAsia="仿宋_GB2312" w:cs="仿宋_GB2312"/>
          <w:sz w:val="32"/>
          <w:szCs w:val="32"/>
        </w:rPr>
        <w:t>和意义。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项目立项依据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逐条列示，注明出处和来源。</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项目预算及资金来源</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资金来源</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项目资金计划安排情况（整体预算、年度预算）</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预算变更情况及变更原因。</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项目内容和实施范围</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立项时间、批复单位、具体内容（政策受益条件及受益对象范围）、实施区域范围、具体资金投向、计划进度和完成时间等。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项目组织及管理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项目组织管理架构、项目具体实施流程（包括项目资金拨付流程），以及项目业务管理和财务管理的核心制度。</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项目相关方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一般包括项目的管理方、实施方、</w:t>
      </w:r>
      <w:r>
        <w:rPr>
          <w:rFonts w:hint="eastAsia" w:ascii="仿宋_GB2312" w:hAnsi="仿宋_GB2312" w:eastAsia="仿宋_GB2312" w:cs="仿宋_GB2312"/>
          <w:sz w:val="32"/>
          <w:szCs w:val="32"/>
          <w:lang w:eastAsia="zh-CN"/>
        </w:rPr>
        <w:t>其他利益相关</w:t>
      </w:r>
      <w:r>
        <w:rPr>
          <w:rFonts w:hint="eastAsia" w:ascii="仿宋_GB2312" w:hAnsi="仿宋_GB2312" w:eastAsia="仿宋_GB2312" w:cs="仿宋_GB2312"/>
          <w:sz w:val="32"/>
          <w:szCs w:val="32"/>
        </w:rPr>
        <w:t>方等。分析相关方参与项目设计、实施、运行、受益的路径；描述相关方在项目不同阶段中的职责和作用。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项目的管理方包括但不限于：项目决策部门、</w:t>
      </w:r>
      <w:r>
        <w:rPr>
          <w:rFonts w:hint="eastAsia" w:ascii="仿宋_GB2312" w:hAnsi="仿宋_GB2312" w:cs="仿宋_GB2312"/>
          <w:sz w:val="32"/>
          <w:szCs w:val="32"/>
          <w:lang w:eastAsia="zh-CN"/>
        </w:rPr>
        <w:t>政府</w:t>
      </w:r>
      <w:r>
        <w:rPr>
          <w:rFonts w:hint="eastAsia" w:ascii="仿宋_GB2312" w:hAnsi="仿宋_GB2312" w:eastAsia="仿宋_GB2312" w:cs="仿宋_GB2312"/>
          <w:sz w:val="32"/>
          <w:szCs w:val="32"/>
        </w:rPr>
        <w:t>购买服务</w:t>
      </w:r>
      <w:r>
        <w:rPr>
          <w:rFonts w:hint="eastAsia" w:ascii="仿宋_GB2312" w:hAnsi="仿宋_GB2312" w:cs="仿宋_GB2312"/>
          <w:sz w:val="32"/>
          <w:szCs w:val="32"/>
          <w:lang w:eastAsia="zh-CN"/>
        </w:rPr>
        <w:t>的</w:t>
      </w:r>
      <w:r>
        <w:rPr>
          <w:rFonts w:hint="eastAsia" w:ascii="仿宋_GB2312" w:hAnsi="仿宋_GB2312" w:eastAsia="仿宋_GB2312" w:cs="仿宋_GB2312"/>
          <w:sz w:val="32"/>
          <w:szCs w:val="32"/>
        </w:rPr>
        <w:t>项目单位、规划审批部门、预算审批部门、协同管理部门、行业指导部门、政府采购管理部门等管理方，以及受委托的造价咨询、概算审核、财务监理、质量监理、决算审计等市场专业机构（提供相关服务的供应商）。</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项目实施</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一般是指项目单位。但在政府购买服务项目中，应定义为提供服务的社会组织；在需要其他部门单位具体落实或实施的项目中，应定义这些单位为项目实施单位。这些情况下项目单位职责应依据实际情况定义为管理方或实施方。</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其他利益相关方是指在项目实施</w:t>
      </w:r>
      <w:r>
        <w:rPr>
          <w:rFonts w:hint="eastAsia" w:ascii="仿宋_GB2312" w:hAnsi="仿宋_GB2312" w:eastAsia="仿宋_GB2312" w:cs="仿宋_GB2312"/>
          <w:sz w:val="32"/>
          <w:szCs w:val="32"/>
          <w:lang w:eastAsia="zh-CN"/>
        </w:rPr>
        <w:t>过程</w:t>
      </w:r>
      <w:r>
        <w:rPr>
          <w:rFonts w:hint="eastAsia" w:ascii="仿宋_GB2312" w:hAnsi="仿宋_GB2312" w:eastAsia="仿宋_GB2312" w:cs="仿宋_GB2312"/>
          <w:sz w:val="32"/>
          <w:szCs w:val="32"/>
        </w:rPr>
        <w:t>中，具有重大利益关系的个人或团体，包括项目受益者（直接受益者、间接受益者）、社会公众等利益相关者。</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项目绩效目标</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项目总</w:t>
      </w:r>
      <w:r>
        <w:rPr>
          <w:rFonts w:hint="eastAsia" w:ascii="仿宋_GB2312" w:hAnsi="仿宋_GB2312" w:eastAsia="仿宋_GB2312" w:cs="仿宋_GB2312"/>
          <w:sz w:val="32"/>
          <w:szCs w:val="32"/>
          <w:lang w:eastAsia="zh-CN"/>
        </w:rPr>
        <w:t>体</w:t>
      </w:r>
      <w:r>
        <w:rPr>
          <w:rFonts w:hint="eastAsia" w:ascii="仿宋_GB2312" w:hAnsi="仿宋_GB2312" w:eastAsia="仿宋_GB2312" w:cs="仿宋_GB2312"/>
          <w:sz w:val="32"/>
          <w:szCs w:val="32"/>
        </w:rPr>
        <w:t>绩效目标和阶段性绩效目标。反映项目绩效目标的实际设定情况，对绩效目标需要补充完善的，应提供相应依据。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黑体" w:hAnsi="黑体" w:eastAsia="黑体" w:cs="黑体"/>
          <w:b w:val="0"/>
          <w:bCs/>
          <w:color w:val="FF0000"/>
          <w:sz w:val="32"/>
          <w:szCs w:val="32"/>
        </w:rPr>
      </w:pPr>
      <w:r>
        <w:rPr>
          <w:rFonts w:hint="eastAsia" w:ascii="黑体" w:hAnsi="黑体" w:eastAsia="黑体" w:cs="黑体"/>
          <w:b w:val="0"/>
          <w:bCs/>
          <w:sz w:val="32"/>
          <w:szCs w:val="32"/>
        </w:rPr>
        <w:t>二、评价思路</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（一）</w:t>
      </w:r>
      <w:r>
        <w:rPr>
          <w:rFonts w:hint="eastAsia" w:ascii="仿宋_GB2312" w:hAnsi="仿宋_GB2312" w:eastAsia="仿宋_GB2312" w:cs="仿宋_GB2312"/>
          <w:sz w:val="32"/>
          <w:szCs w:val="32"/>
        </w:rPr>
        <w:t>评价目的和依据</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评价目的：说明评价所要实现的目标，体现评价的最终价值。</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评价依据：阐明评价的法律、政策、技术、管理等支撑条件，包括行业方面和财政方面。</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评价范围和对象</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评价范围：全样本/抽样；资金范围；区域范围等。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评价对象：评价范围内的样本属性，通常指项目资金。</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评价时段的确定</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根据项目实际情况确定评价的时段。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三、评价指标体系</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（一）</w:t>
      </w:r>
      <w:r>
        <w:rPr>
          <w:rFonts w:hint="eastAsia" w:ascii="仿宋_GB2312" w:hAnsi="仿宋_GB2312" w:eastAsia="仿宋_GB2312" w:cs="仿宋_GB2312"/>
          <w:b w:val="0"/>
          <w:bCs/>
          <w:sz w:val="32"/>
          <w:szCs w:val="32"/>
        </w:rPr>
        <w:t>指标体系设计的总体思路</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1</w:t>
      </w:r>
      <w:r>
        <w:rPr>
          <w:rFonts w:hint="eastAsia" w:ascii="仿宋_GB2312" w:hAnsi="仿宋_GB2312" w:cs="仿宋_GB2312"/>
          <w:b w:val="0"/>
          <w:bCs/>
          <w:sz w:val="32"/>
          <w:szCs w:val="32"/>
          <w:lang w:val="en-US" w:eastAsia="zh-CN"/>
        </w:rPr>
        <w:t>、</w:t>
      </w:r>
      <w:r>
        <w:rPr>
          <w:rFonts w:hint="eastAsia" w:ascii="仿宋_GB2312" w:hAnsi="仿宋_GB2312" w:eastAsia="仿宋_GB2312" w:cs="仿宋_GB2312"/>
          <w:b w:val="0"/>
          <w:bCs/>
          <w:sz w:val="32"/>
          <w:szCs w:val="32"/>
        </w:rPr>
        <w:t>指标设计思路和依据</w:t>
      </w:r>
      <w:r>
        <w:rPr>
          <w:rFonts w:hint="eastAsia" w:ascii="仿宋_GB2312" w:hAnsi="仿宋_GB2312" w:cs="仿宋_GB2312"/>
          <w:b w:val="0"/>
          <w:bCs/>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2、</w:t>
      </w:r>
      <w:r>
        <w:rPr>
          <w:rFonts w:hint="eastAsia" w:ascii="仿宋_GB2312" w:hAnsi="仿宋_GB2312" w:eastAsia="仿宋_GB2312" w:cs="仿宋_GB2312"/>
          <w:b w:val="0"/>
          <w:bCs/>
          <w:sz w:val="32"/>
          <w:szCs w:val="32"/>
        </w:rPr>
        <w:t>权重设计思路</w:t>
      </w:r>
      <w:r>
        <w:rPr>
          <w:rFonts w:hint="eastAsia" w:ascii="仿宋_GB2312" w:hAnsi="仿宋_GB2312" w:cs="仿宋_GB2312"/>
          <w:b w:val="0"/>
          <w:bCs/>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3</w:t>
      </w:r>
      <w:r>
        <w:rPr>
          <w:rFonts w:hint="eastAsia" w:ascii="仿宋_GB2312" w:hAnsi="仿宋_GB2312" w:cs="仿宋_GB2312"/>
          <w:b w:val="0"/>
          <w:bCs/>
          <w:sz w:val="32"/>
          <w:szCs w:val="32"/>
          <w:lang w:val="en-US" w:eastAsia="zh-CN"/>
        </w:rPr>
        <w:t>、</w:t>
      </w:r>
      <w:r>
        <w:rPr>
          <w:rFonts w:hint="eastAsia" w:ascii="仿宋_GB2312" w:hAnsi="仿宋_GB2312" w:eastAsia="仿宋_GB2312" w:cs="仿宋_GB2312"/>
          <w:b w:val="0"/>
          <w:bCs/>
          <w:sz w:val="32"/>
          <w:szCs w:val="32"/>
        </w:rPr>
        <w:t>数据来源及取数方式</w:t>
      </w:r>
      <w:r>
        <w:rPr>
          <w:rFonts w:hint="eastAsia" w:ascii="仿宋_GB2312" w:hAnsi="仿宋_GB2312" w:cs="仿宋_GB2312"/>
          <w:b w:val="0"/>
          <w:bCs/>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4</w:t>
      </w:r>
      <w:r>
        <w:rPr>
          <w:rFonts w:hint="eastAsia" w:ascii="仿宋_GB2312" w:hAnsi="仿宋_GB2312" w:cs="仿宋_GB2312"/>
          <w:b w:val="0"/>
          <w:bCs/>
          <w:sz w:val="32"/>
          <w:szCs w:val="32"/>
          <w:lang w:val="en-US" w:eastAsia="zh-CN"/>
        </w:rPr>
        <w:t>、</w:t>
      </w:r>
      <w:r>
        <w:rPr>
          <w:rFonts w:hint="eastAsia" w:ascii="仿宋_GB2312" w:hAnsi="仿宋_GB2312" w:eastAsia="仿宋_GB2312" w:cs="仿宋_GB2312"/>
          <w:b w:val="0"/>
          <w:bCs/>
          <w:sz w:val="32"/>
          <w:szCs w:val="32"/>
        </w:rPr>
        <w:t>评价标准及评分方式确定的原则和方法</w:t>
      </w:r>
      <w:r>
        <w:rPr>
          <w:rFonts w:hint="eastAsia" w:ascii="仿宋_GB2312" w:hAnsi="仿宋_GB2312" w:cs="仿宋_GB2312"/>
          <w:b w:val="0"/>
          <w:bCs/>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指标体系</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color w:val="auto"/>
          <w:sz w:val="32"/>
          <w:szCs w:val="32"/>
          <w:lang w:val="en-US" w:eastAsia="zh-CN"/>
        </w:rPr>
        <w:t xml:space="preserve">  1</w:t>
      </w:r>
      <w:r>
        <w:rPr>
          <w:rFonts w:hint="eastAsia" w:ascii="仿宋_GB2312" w:hAnsi="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rPr>
        <w:t>正文列示综合评价表（决策类指标、</w:t>
      </w:r>
      <w:r>
        <w:rPr>
          <w:rFonts w:hint="eastAsia" w:ascii="仿宋_GB2312" w:hAnsi="仿宋_GB2312" w:eastAsia="仿宋_GB2312" w:cs="仿宋_GB2312"/>
          <w:b w:val="0"/>
          <w:bCs/>
          <w:color w:val="auto"/>
          <w:sz w:val="32"/>
          <w:szCs w:val="32"/>
          <w:lang w:eastAsia="zh-CN"/>
        </w:rPr>
        <w:t>过程</w:t>
      </w:r>
      <w:r>
        <w:rPr>
          <w:rFonts w:hint="eastAsia" w:ascii="仿宋_GB2312" w:hAnsi="仿宋_GB2312" w:eastAsia="仿宋_GB2312" w:cs="仿宋_GB2312"/>
          <w:b w:val="0"/>
          <w:bCs/>
          <w:color w:val="auto"/>
          <w:sz w:val="32"/>
          <w:szCs w:val="32"/>
        </w:rPr>
        <w:t>类指标、</w:t>
      </w:r>
      <w:r>
        <w:rPr>
          <w:rFonts w:hint="eastAsia" w:ascii="仿宋_GB2312" w:hAnsi="仿宋_GB2312" w:eastAsia="仿宋_GB2312" w:cs="仿宋_GB2312"/>
          <w:b w:val="0"/>
          <w:bCs/>
          <w:color w:val="auto"/>
          <w:sz w:val="32"/>
          <w:szCs w:val="32"/>
          <w:lang w:eastAsia="zh-CN"/>
        </w:rPr>
        <w:t>产出</w:t>
      </w:r>
      <w:r>
        <w:rPr>
          <w:rFonts w:hint="eastAsia" w:ascii="仿宋_GB2312" w:hAnsi="仿宋_GB2312" w:eastAsia="仿宋_GB2312" w:cs="仿宋_GB2312"/>
          <w:b w:val="0"/>
          <w:bCs/>
          <w:color w:val="auto"/>
          <w:sz w:val="32"/>
          <w:szCs w:val="32"/>
        </w:rPr>
        <w:t>类指标</w:t>
      </w:r>
      <w:r>
        <w:rPr>
          <w:rFonts w:hint="eastAsia" w:ascii="仿宋_GB2312" w:hAnsi="仿宋_GB2312" w:eastAsia="仿宋_GB2312" w:cs="仿宋_GB2312"/>
          <w:b w:val="0"/>
          <w:bCs/>
          <w:color w:val="auto"/>
          <w:sz w:val="32"/>
          <w:szCs w:val="32"/>
          <w:lang w:eastAsia="zh-CN"/>
        </w:rPr>
        <w:t>、效果类指标</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rPr>
        <w:t>附件列示“指标工作底稿”或“绩效评价指标体系评分一览表”</w:t>
      </w:r>
      <w:r>
        <w:rPr>
          <w:rFonts w:hint="eastAsia" w:ascii="仿宋_GB2312" w:hAnsi="仿宋_GB2312" w:cs="仿宋_GB2312"/>
          <w:b w:val="0"/>
          <w:bCs/>
          <w:color w:val="auto"/>
          <w:sz w:val="32"/>
          <w:szCs w:val="32"/>
          <w:lang w:eastAsia="zh-CN"/>
        </w:rPr>
        <w:t>。主要包括</w:t>
      </w:r>
      <w:r>
        <w:rPr>
          <w:rFonts w:hint="eastAsia" w:ascii="仿宋_GB2312" w:hAnsi="仿宋_GB2312" w:eastAsia="仿宋_GB2312" w:cs="仿宋_GB2312"/>
          <w:b w:val="0"/>
          <w:bCs/>
          <w:color w:val="auto"/>
          <w:sz w:val="32"/>
          <w:szCs w:val="32"/>
          <w:lang w:eastAsia="zh-CN"/>
        </w:rPr>
        <w:t>指标名称、</w:t>
      </w:r>
      <w:r>
        <w:rPr>
          <w:rFonts w:hint="eastAsia" w:ascii="仿宋_GB2312" w:hAnsi="仿宋_GB2312" w:eastAsia="仿宋_GB2312" w:cs="仿宋_GB2312"/>
          <w:b w:val="0"/>
          <w:bCs/>
          <w:color w:val="auto"/>
          <w:sz w:val="32"/>
          <w:szCs w:val="32"/>
        </w:rPr>
        <w:t>指标解释、指标权重、计算公式、评价标准（标杆值）、评分细则、数据</w:t>
      </w:r>
      <w:bookmarkStart w:id="0" w:name="_GoBack"/>
      <w:bookmarkEnd w:id="0"/>
      <w:r>
        <w:rPr>
          <w:rFonts w:hint="eastAsia" w:ascii="仿宋_GB2312" w:hAnsi="仿宋_GB2312" w:eastAsia="仿宋_GB2312" w:cs="仿宋_GB2312"/>
          <w:b w:val="0"/>
          <w:bCs/>
          <w:color w:val="auto"/>
          <w:sz w:val="32"/>
          <w:szCs w:val="32"/>
        </w:rPr>
        <w:t>来源、数据口径及取数方式。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 xml:space="preserve">    3</w:t>
      </w:r>
      <w:r>
        <w:rPr>
          <w:rFonts w:hint="eastAsia" w:ascii="仿宋_GB2312" w:hAnsi="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rPr>
        <w:t>附件列示“基础数据表”。</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黑体" w:hAnsi="黑体" w:eastAsia="黑体" w:cs="黑体"/>
          <w:b w:val="0"/>
          <w:bCs/>
          <w:color w:val="FF0000"/>
          <w:sz w:val="32"/>
          <w:szCs w:val="32"/>
        </w:rPr>
      </w:pPr>
      <w:r>
        <w:rPr>
          <w:rFonts w:hint="eastAsia" w:ascii="黑体" w:hAnsi="黑体" w:eastAsia="黑体" w:cs="黑体"/>
          <w:b w:val="0"/>
          <w:bCs/>
          <w:sz w:val="32"/>
          <w:szCs w:val="32"/>
        </w:rPr>
        <w:t>四、社会调查方案</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（一）</w:t>
      </w:r>
      <w:r>
        <w:rPr>
          <w:rFonts w:hint="eastAsia" w:ascii="仿宋_GB2312" w:hAnsi="仿宋_GB2312" w:eastAsia="仿宋_GB2312" w:cs="仿宋_GB2312"/>
          <w:sz w:val="32"/>
          <w:szCs w:val="32"/>
        </w:rPr>
        <w:t>问卷调查方案</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问卷调查的目的</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样本总体、抽样方法和抽样比例</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问卷发放和回收方式</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附件列示问卷样式</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5</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附件列示抽样样本名单</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（二）</w:t>
      </w:r>
      <w:r>
        <w:rPr>
          <w:rFonts w:hint="eastAsia" w:ascii="仿宋_GB2312" w:hAnsi="仿宋_GB2312" w:eastAsia="仿宋_GB2312" w:cs="仿宋_GB2312"/>
          <w:sz w:val="32"/>
          <w:szCs w:val="32"/>
        </w:rPr>
        <w:t>社会访谈方案</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访谈目的</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访谈对象的选择（利益相关方）</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访谈的方式</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4</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附件列示访谈提纲</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0"/>
        <w:textAlignment w:val="auto"/>
        <w:outlineLvl w:val="9"/>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附件列示访谈对象名单</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五、评价的组织实施</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人员分工（表格列示）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界定各相关方人员（包括专家）的权利及责任，确保评价工作有序开展。</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评价时间及主要工作进程安排（表格列示）</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评价期间</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评价实施时限</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3</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评价各工作环节（步骤）的时间节点</w:t>
      </w:r>
      <w:r>
        <w:rPr>
          <w:rFonts w:hint="eastAsia" w:ascii="仿宋_GB2312" w:hAnsi="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（三）</w:t>
      </w:r>
      <w:r>
        <w:rPr>
          <w:rFonts w:hint="eastAsia" w:ascii="仿宋_GB2312" w:hAnsi="仿宋_GB2312" w:eastAsia="仿宋_GB2312" w:cs="仿宋_GB2312"/>
          <w:sz w:val="32"/>
          <w:szCs w:val="32"/>
        </w:rPr>
        <w:t>内部控制制度</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评价方为保证绩效评价过程</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结果的客观性、准确性而制定的内部控制机制和程序。</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其他需要说明的情况</w:t>
      </w:r>
    </w:p>
    <w:p/>
    <w:sectPr>
      <w:headerReference r:id="rId3" w:type="default"/>
      <w:footerReference r:id="rId4" w:type="default"/>
      <w:pgSz w:w="11906" w:h="16838"/>
      <w:pgMar w:top="1984"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ngLiU-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S PGothic">
    <w:panose1 w:val="020B0600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Angsana New">
    <w:panose1 w:val="02020603050405020304"/>
    <w:charset w:val="00"/>
    <w:family w:val="auto"/>
    <w:pitch w:val="default"/>
    <w:sig w:usb0="81000003" w:usb1="00000000" w:usb2="00000000" w:usb3="00000000" w:csb0="00010001" w:csb1="00000000"/>
  </w:font>
  <w:font w:name="Corbel">
    <w:panose1 w:val="020B0503020204020204"/>
    <w:charset w:val="00"/>
    <w:family w:val="auto"/>
    <w:pitch w:val="default"/>
    <w:sig w:usb0="A00002EF" w:usb1="4000A44B" w:usb2="00000000" w:usb3="00000000" w:csb0="2000019F" w:csb1="00000000"/>
  </w:font>
  <w:font w:name="DokChampa">
    <w:panose1 w:val="020B0604020202020204"/>
    <w:charset w:val="00"/>
    <w:family w:val="auto"/>
    <w:pitch w:val="default"/>
    <w:sig w:usb0="03000003" w:usb1="00000000" w:usb2="00000000" w:usb3="00000000" w:csb0="40010001" w:csb1="00000000"/>
  </w:font>
  <w:font w:name="Estrangelo Edessa">
    <w:panose1 w:val="03080600000000000000"/>
    <w:charset w:val="00"/>
    <w:family w:val="auto"/>
    <w:pitch w:val="default"/>
    <w:sig w:usb0="80002043" w:usb1="00000000" w:usb2="00000080" w:usb3="00000000" w:csb0="00000001" w:csb1="00000000"/>
  </w:font>
  <w:font w:name="EucrosiaUPC">
    <w:panose1 w:val="02020603050405020304"/>
    <w:charset w:val="00"/>
    <w:family w:val="auto"/>
    <w:pitch w:val="default"/>
    <w:sig w:usb0="81000027" w:usb1="00000002" w:usb2="00000000" w:usb3="00000000" w:csb0="00010001" w:csb1="00000000"/>
  </w:font>
  <w:font w:name="Euphemia">
    <w:panose1 w:val="020B0503040102020104"/>
    <w:charset w:val="00"/>
    <w:family w:val="auto"/>
    <w:pitch w:val="default"/>
    <w:sig w:usb0="8000006F" w:usb1="0000004A" w:usb2="00002000" w:usb3="00000000" w:csb0="00000001" w:csb1="00000000"/>
  </w:font>
  <w:font w:name="Franklin Gothic Medium">
    <w:panose1 w:val="020B0603020102020204"/>
    <w:charset w:val="00"/>
    <w:family w:val="auto"/>
    <w:pitch w:val="default"/>
    <w:sig w:usb0="00000287" w:usb1="00000000" w:usb2="00000000" w:usb3="00000000" w:csb0="2000009F" w:csb1="DFD70000"/>
  </w:font>
  <w:font w:name="FrankRuehl">
    <w:panose1 w:val="020E05030601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Georgia">
    <w:panose1 w:val="02040502050405020303"/>
    <w:charset w:val="00"/>
    <w:family w:val="auto"/>
    <w:pitch w:val="default"/>
    <w:sig w:usb0="00000287" w:usb1="00000000" w:usb2="00000000" w:usb3="00000000" w:csb0="2000009F" w:csb1="00000000"/>
  </w:font>
  <w:font w:name="IrisUPC">
    <w:panose1 w:val="020B0604020202020204"/>
    <w:charset w:val="00"/>
    <w:family w:val="auto"/>
    <w:pitch w:val="default"/>
    <w:sig w:usb0="01000007" w:usb1="00000002" w:usb2="00000000" w:usb3="00000000" w:csb0="00010001" w:csb1="00000000"/>
  </w:font>
  <w:font w:name="MV Boli">
    <w:panose1 w:val="02000500030200090000"/>
    <w:charset w:val="00"/>
    <w:family w:val="auto"/>
    <w:pitch w:val="default"/>
    <w:sig w:usb0="00000003" w:usb1="00000000" w:usb2="00000100" w:usb3="00000000" w:csb0="00000001" w:csb1="00000000"/>
  </w:font>
  <w:font w:name="Narkisim">
    <w:panose1 w:val="020E0502050101010101"/>
    <w:charset w:val="00"/>
    <w:family w:val="auto"/>
    <w:pitch w:val="default"/>
    <w:sig w:usb0="00000801" w:usb1="00000000" w:usb2="00000000" w:usb3="00000000" w:csb0="00000020" w:csb1="00200000"/>
  </w:font>
  <w:font w:name="Nyala">
    <w:panose1 w:val="02000504070300020003"/>
    <w:charset w:val="00"/>
    <w:family w:val="auto"/>
    <w:pitch w:val="default"/>
    <w:sig w:usb0="A000006F" w:usb1="00000000" w:usb2="00000800" w:usb3="00000000" w:csb0="00000093" w:csb1="00000000"/>
  </w:font>
  <w:font w:name="Palatino Linotype">
    <w:panose1 w:val="02040502050505030304"/>
    <w:charset w:val="00"/>
    <w:family w:val="auto"/>
    <w:pitch w:val="default"/>
    <w:sig w:usb0="E0000287" w:usb1="40000013" w:usb2="00000000" w:usb3="00000000" w:csb0="2000019F" w:csb1="00000000"/>
  </w:font>
  <w:font w:name="Plantagenet Cherokee">
    <w:panose1 w:val="02020602070100000000"/>
    <w:charset w:val="00"/>
    <w:family w:val="auto"/>
    <w:pitch w:val="default"/>
    <w:sig w:usb0="00000003" w:usb1="00000000" w:usb2="00001000" w:usb3="00000000" w:csb0="00000001" w:csb1="00000000"/>
  </w:font>
  <w:font w:name="Raavi">
    <w:panose1 w:val="020B0502040204020203"/>
    <w:charset w:val="00"/>
    <w:family w:val="auto"/>
    <w:pitch w:val="default"/>
    <w:sig w:usb0="00020003" w:usb1="00000000" w:usb2="00000000" w:usb3="00000000" w:csb0="00000001" w:csb1="00000000"/>
  </w:font>
  <w:font w:name="Rod">
    <w:panose1 w:val="02030509050101010101"/>
    <w:charset w:val="00"/>
    <w:family w:val="auto"/>
    <w:pitch w:val="default"/>
    <w:sig w:usb0="00000801" w:usb1="00000000" w:usb2="00000000" w:usb3="00000000" w:csb0="00000020" w:csb1="00200000"/>
  </w:font>
  <w:font w:name="Segoe Print">
    <w:panose1 w:val="02000600000000000000"/>
    <w:charset w:val="00"/>
    <w:family w:val="auto"/>
    <w:pitch w:val="default"/>
    <w:sig w:usb0="0000028F" w:usb1="00000000" w:usb2="00000000" w:usb3="00000000" w:csb0="2000009F" w:csb1="47010000"/>
  </w:font>
  <w:font w:name="Segoe Script">
    <w:panose1 w:val="02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auto"/>
    <w:pitch w:val="default"/>
    <w:sig w:usb0="8000006F" w:usb1="1200FBEF" w:usb2="0004C000" w:usb3="00000000" w:csb0="00000001" w:csb1="40000000"/>
  </w:font>
  <w:font w:name="Shonar Bangla">
    <w:panose1 w:val="020B0502040204020203"/>
    <w:charset w:val="00"/>
    <w:family w:val="auto"/>
    <w:pitch w:val="default"/>
    <w:sig w:usb0="0001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Simplified Arabic Fixed">
    <w:panose1 w:val="02070309020205020404"/>
    <w:charset w:val="00"/>
    <w:family w:val="auto"/>
    <w:pitch w:val="default"/>
    <w:sig w:usb0="00002003" w:usb1="00000000" w:usb2="00000000" w:usb3="00000000" w:csb0="00000041" w:csb1="20080000"/>
  </w:font>
  <w:font w:name="Sylfaen">
    <w:panose1 w:val="010A0502050306030303"/>
    <w:charset w:val="00"/>
    <w:family w:val="auto"/>
    <w:pitch w:val="default"/>
    <w:sig w:usb0="04000687" w:usb1="00000000" w:usb2="00000000" w:usb3="00000000" w:csb0="2000009F" w:csb1="00000000"/>
  </w:font>
  <w:font w:name="Tahoma">
    <w:panose1 w:val="020B0604030504040204"/>
    <w:charset w:val="00"/>
    <w:family w:val="auto"/>
    <w:pitch w:val="default"/>
    <w:sig w:usb0="E1002EFF" w:usb1="C000605B" w:usb2="00000029" w:usb3="00000000" w:csb0="200101FF" w:csb1="2028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unga">
    <w:panose1 w:val="020B0502040204020203"/>
    <w:charset w:val="00"/>
    <w:family w:val="auto"/>
    <w:pitch w:val="default"/>
    <w:sig w:usb0="00400003" w:usb1="00000000" w:usb2="00000000" w:usb3="00000000" w:csb0="00000001" w:csb1="00000000"/>
  </w:font>
  <w:font w:name="等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20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65F8"/>
    <w:rsid w:val="03D56801"/>
    <w:rsid w:val="146F0620"/>
    <w:rsid w:val="2BA641BA"/>
    <w:rsid w:val="356444E1"/>
    <w:rsid w:val="40A044B0"/>
    <w:rsid w:val="44DA37AA"/>
    <w:rsid w:val="496018FC"/>
    <w:rsid w:val="61B40216"/>
    <w:rsid w:val="68044D05"/>
    <w:rsid w:val="755F075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widowControl/>
      <w:ind w:firstLine="420" w:firstLineChars="200"/>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2020-09-28T06:40:33Z</cp:lastPrinted>
  <dcterms:modified xsi:type="dcterms:W3CDTF">2020-09-28T07:45:11Z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