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B5613">
      <w:pPr>
        <w:rPr>
          <w:rFonts w:hint="eastAsia" w:ascii="宋体" w:hAnsi="宋体" w:eastAsia="黑体"/>
        </w:rPr>
      </w:pPr>
      <w:r>
        <w:rPr>
          <w:rFonts w:hint="eastAsia" w:ascii="宋体" w:hAnsi="宋体" w:eastAsia="黑体"/>
        </w:rPr>
        <w:t>附件</w:t>
      </w:r>
    </w:p>
    <w:p w14:paraId="1B6F19D1">
      <w:pPr>
        <w:rPr>
          <w:rFonts w:ascii="宋体" w:hAnsi="宋体"/>
        </w:rPr>
      </w:pPr>
    </w:p>
    <w:p w14:paraId="291B9411">
      <w:pPr>
        <w:spacing w:line="800" w:lineRule="exact"/>
        <w:jc w:val="center"/>
        <w:rPr>
          <w:rFonts w:hint="eastAsia" w:ascii="宋体" w:hAnsi="宋体" w:eastAsia="方正小标宋简体"/>
          <w:sz w:val="44"/>
          <w:szCs w:val="44"/>
        </w:rPr>
      </w:pPr>
      <w:bookmarkStart w:id="0" w:name="_GoBack"/>
      <w:r>
        <w:rPr>
          <w:rFonts w:hint="eastAsia" w:ascii="宋体" w:hAnsi="宋体" w:eastAsia="方正小标宋简体"/>
          <w:sz w:val="44"/>
          <w:szCs w:val="44"/>
        </w:rPr>
        <w:t>吉林省省级部门预算绩效运行监控管理办法</w:t>
      </w:r>
      <w:bookmarkEnd w:id="0"/>
    </w:p>
    <w:p w14:paraId="34803EA2">
      <w:pPr>
        <w:rPr>
          <w:rFonts w:hint="eastAsia" w:ascii="宋体" w:hAnsi="宋体"/>
        </w:rPr>
      </w:pPr>
    </w:p>
    <w:p w14:paraId="3D3D7D4C">
      <w:pPr>
        <w:jc w:val="center"/>
        <w:rPr>
          <w:rFonts w:hint="eastAsia" w:ascii="宋体" w:hAnsi="宋体" w:eastAsia="黑体"/>
        </w:rPr>
      </w:pPr>
      <w:r>
        <w:rPr>
          <w:rFonts w:hint="eastAsia" w:ascii="宋体" w:hAnsi="宋体" w:eastAsia="黑体"/>
        </w:rPr>
        <w:t>第一章  总  则</w:t>
      </w:r>
    </w:p>
    <w:p w14:paraId="4E488842">
      <w:pPr>
        <w:rPr>
          <w:rFonts w:hint="eastAsia" w:ascii="宋体" w:hAnsi="宋体"/>
        </w:rPr>
      </w:pPr>
    </w:p>
    <w:p w14:paraId="0DA21778">
      <w:pPr>
        <w:ind w:firstLine="643" w:firstLineChars="200"/>
        <w:rPr>
          <w:rFonts w:hint="eastAsia" w:ascii="宋体" w:hAnsi="宋体"/>
        </w:rPr>
      </w:pPr>
      <w:r>
        <w:rPr>
          <w:rFonts w:hint="eastAsia" w:ascii="宋体" w:hAnsi="宋体"/>
          <w:b/>
        </w:rPr>
        <w:t>第一条</w:t>
      </w:r>
      <w:r>
        <w:rPr>
          <w:rFonts w:hint="eastAsia" w:ascii="宋体" w:hAnsi="宋体"/>
        </w:rPr>
        <w:t xml:space="preserve">  为规范和加强吉林省省级部门预算绩效运行监控管理（以下简称“绩效监控”），建立健全激励和约束机制，提高预算执行率和财政资金使用效益，根据《中共吉林省委、吉林省人民政府关于全面实施预算绩效管理的实施意见》（吉发〔2019〕10号）制定本办法。</w:t>
      </w:r>
    </w:p>
    <w:p w14:paraId="3D70F526">
      <w:pPr>
        <w:ind w:firstLine="643" w:firstLineChars="200"/>
        <w:rPr>
          <w:rFonts w:hint="eastAsia" w:ascii="宋体" w:hAnsi="宋体"/>
        </w:rPr>
      </w:pPr>
      <w:r>
        <w:rPr>
          <w:rFonts w:hint="eastAsia" w:ascii="宋体" w:hAnsi="宋体"/>
          <w:b/>
        </w:rPr>
        <w:t>第二条</w:t>
      </w:r>
      <w:r>
        <w:rPr>
          <w:rFonts w:hint="eastAsia" w:ascii="宋体" w:hAnsi="宋体"/>
        </w:rPr>
        <w:t xml:space="preserve">  绩效监控是指在预算执行过程中，财政部门、预算部门及其所属单位对绩效目标实现程度和预算执行情况等开展的监督、控制和管理活动。</w:t>
      </w:r>
    </w:p>
    <w:p w14:paraId="6874C986">
      <w:pPr>
        <w:ind w:firstLine="643" w:firstLineChars="200"/>
        <w:rPr>
          <w:rFonts w:hint="eastAsia" w:ascii="宋体" w:hAnsi="宋体"/>
        </w:rPr>
      </w:pPr>
      <w:r>
        <w:rPr>
          <w:rFonts w:hint="eastAsia" w:ascii="宋体" w:hAnsi="宋体"/>
          <w:b/>
        </w:rPr>
        <w:t>第三条</w:t>
      </w:r>
      <w:r>
        <w:rPr>
          <w:rFonts w:hint="eastAsia" w:ascii="宋体" w:hAnsi="宋体"/>
        </w:rPr>
        <w:t xml:space="preserve">  绩效监控按照全面覆盖、突出重点、及时纠偏的原则，由省财政厅统一组织，预算部门分别实施。</w:t>
      </w:r>
    </w:p>
    <w:p w14:paraId="0732706C">
      <w:pPr>
        <w:ind w:firstLine="640" w:firstLineChars="200"/>
        <w:rPr>
          <w:rFonts w:ascii="宋体" w:hAnsi="宋体"/>
        </w:rPr>
      </w:pPr>
    </w:p>
    <w:p w14:paraId="1EF7DBF0">
      <w:pPr>
        <w:jc w:val="center"/>
        <w:rPr>
          <w:rFonts w:hint="eastAsia" w:ascii="宋体" w:hAnsi="宋体" w:eastAsia="黑体"/>
        </w:rPr>
      </w:pPr>
      <w:r>
        <w:rPr>
          <w:rFonts w:hint="eastAsia" w:ascii="宋体" w:hAnsi="宋体" w:eastAsia="黑体"/>
        </w:rPr>
        <w:t>第二章  职责分工</w:t>
      </w:r>
    </w:p>
    <w:p w14:paraId="5E22D744">
      <w:pPr>
        <w:ind w:firstLine="640" w:firstLineChars="200"/>
        <w:rPr>
          <w:rFonts w:hint="eastAsia" w:ascii="宋体" w:hAnsi="宋体"/>
        </w:rPr>
      </w:pPr>
    </w:p>
    <w:p w14:paraId="76176DF0">
      <w:pPr>
        <w:ind w:firstLine="643" w:firstLineChars="200"/>
        <w:rPr>
          <w:rFonts w:hint="eastAsia" w:ascii="宋体" w:hAnsi="宋体"/>
        </w:rPr>
      </w:pPr>
      <w:r>
        <w:rPr>
          <w:rFonts w:hint="eastAsia" w:ascii="宋体" w:hAnsi="宋体"/>
          <w:b/>
        </w:rPr>
        <w:t>第四条</w:t>
      </w:r>
      <w:r>
        <w:rPr>
          <w:rFonts w:hint="eastAsia" w:ascii="宋体" w:hAnsi="宋体"/>
        </w:rPr>
        <w:t xml:space="preserve">  省财政厅是组织绩效监控管理工作的主体，主要职责包括：</w:t>
      </w:r>
    </w:p>
    <w:p w14:paraId="6C854055">
      <w:pPr>
        <w:ind w:firstLine="640" w:firstLineChars="200"/>
        <w:rPr>
          <w:rFonts w:hint="eastAsia" w:ascii="宋体" w:hAnsi="宋体"/>
        </w:rPr>
      </w:pPr>
      <w:r>
        <w:rPr>
          <w:rFonts w:hint="eastAsia" w:ascii="宋体" w:hAnsi="宋体"/>
        </w:rPr>
        <w:t>（一）建立健全省级预算绩效监控机制办法；</w:t>
      </w:r>
    </w:p>
    <w:p w14:paraId="4DE4F0D3">
      <w:pPr>
        <w:ind w:firstLine="640" w:firstLineChars="200"/>
        <w:rPr>
          <w:rFonts w:hint="eastAsia" w:ascii="宋体" w:hAnsi="宋体"/>
        </w:rPr>
      </w:pPr>
      <w:r>
        <w:rPr>
          <w:rFonts w:hint="eastAsia" w:ascii="宋体" w:hAnsi="宋体"/>
        </w:rPr>
        <w:t>（二）组织指导预算部门开展绩效监控；</w:t>
      </w:r>
    </w:p>
    <w:p w14:paraId="75964A38">
      <w:pPr>
        <w:ind w:firstLine="640" w:firstLineChars="200"/>
        <w:rPr>
          <w:rFonts w:hint="eastAsia" w:ascii="宋体" w:hAnsi="宋体"/>
        </w:rPr>
      </w:pPr>
      <w:r>
        <w:rPr>
          <w:rFonts w:hint="eastAsia" w:ascii="宋体" w:hAnsi="宋体"/>
        </w:rPr>
        <w:t>（三）根据工作需要，开展重点绩效监控；</w:t>
      </w:r>
    </w:p>
    <w:p w14:paraId="013295CC">
      <w:pPr>
        <w:ind w:firstLine="640" w:firstLineChars="200"/>
        <w:rPr>
          <w:rFonts w:hint="eastAsia" w:ascii="宋体" w:hAnsi="宋体"/>
        </w:rPr>
      </w:pPr>
      <w:r>
        <w:rPr>
          <w:rFonts w:hint="eastAsia" w:ascii="宋体" w:hAnsi="宋体"/>
        </w:rPr>
        <w:t>（四）督促指导绩效监控结果应用；</w:t>
      </w:r>
    </w:p>
    <w:p w14:paraId="41996995">
      <w:pPr>
        <w:ind w:firstLine="640" w:firstLineChars="200"/>
        <w:rPr>
          <w:rFonts w:hint="eastAsia" w:ascii="宋体" w:hAnsi="宋体"/>
        </w:rPr>
      </w:pPr>
      <w:r>
        <w:rPr>
          <w:rFonts w:hint="eastAsia" w:ascii="宋体" w:hAnsi="宋体"/>
        </w:rPr>
        <w:t>（五）对部门绩效监控结果开展审核，督促落实主体责任；</w:t>
      </w:r>
    </w:p>
    <w:p w14:paraId="2EA40F5C">
      <w:pPr>
        <w:ind w:firstLine="640" w:firstLineChars="200"/>
        <w:rPr>
          <w:rFonts w:hint="eastAsia" w:ascii="宋体" w:hAnsi="宋体"/>
        </w:rPr>
      </w:pPr>
      <w:r>
        <w:rPr>
          <w:rFonts w:hint="eastAsia" w:ascii="宋体" w:hAnsi="宋体"/>
        </w:rPr>
        <w:t>（六）</w:t>
      </w:r>
      <w:r>
        <w:rPr>
          <w:rFonts w:hint="eastAsia" w:ascii="宋体" w:hAnsi="宋体"/>
        </w:rPr>
        <w:tab/>
      </w:r>
      <w:r>
        <w:rPr>
          <w:rFonts w:hint="eastAsia" w:ascii="宋体" w:hAnsi="宋体"/>
        </w:rPr>
        <w:t>其他应当履行的绩效监控管理职责。</w:t>
      </w:r>
    </w:p>
    <w:p w14:paraId="3143D168">
      <w:pPr>
        <w:ind w:firstLine="643" w:firstLineChars="200"/>
        <w:rPr>
          <w:rFonts w:hint="eastAsia" w:ascii="宋体" w:hAnsi="宋体"/>
        </w:rPr>
      </w:pPr>
      <w:r>
        <w:rPr>
          <w:rFonts w:hint="eastAsia" w:ascii="宋体" w:hAnsi="宋体"/>
          <w:b/>
        </w:rPr>
        <w:t>第五条</w:t>
      </w:r>
      <w:r>
        <w:rPr>
          <w:rFonts w:hint="eastAsia" w:ascii="宋体" w:hAnsi="宋体"/>
        </w:rPr>
        <w:t xml:space="preserve">  预算部门是实施绩效监控的主体，主要职责包括：</w:t>
      </w:r>
    </w:p>
    <w:p w14:paraId="220D9D4C">
      <w:pPr>
        <w:ind w:firstLine="640" w:firstLineChars="200"/>
        <w:rPr>
          <w:rFonts w:hint="eastAsia" w:ascii="宋体" w:hAnsi="宋体"/>
        </w:rPr>
      </w:pPr>
      <w:r>
        <w:rPr>
          <w:rFonts w:hint="eastAsia" w:ascii="宋体" w:hAnsi="宋体"/>
        </w:rPr>
        <w:t>（一）建立健全本部门绩效监控管理制度；</w:t>
      </w:r>
    </w:p>
    <w:p w14:paraId="0F47934A">
      <w:pPr>
        <w:ind w:firstLine="640" w:firstLineChars="200"/>
        <w:rPr>
          <w:rFonts w:hint="eastAsia" w:ascii="宋体" w:hAnsi="宋体"/>
        </w:rPr>
      </w:pPr>
      <w:r>
        <w:rPr>
          <w:rFonts w:hint="eastAsia" w:ascii="宋体" w:hAnsi="宋体"/>
        </w:rPr>
        <w:t>（二）组织预算执行单位（包括部门本级及所属单位，下同）开展绩效监控管理工作，对预算执行单位的绩效监控情况进行督导检查，并定期对监控信息进行收集、审核、分析、汇总，发现存在问题的，及时采取措施予以纠正。同时，按照要求向省财政厅报送绩效监控结果。</w:t>
      </w:r>
    </w:p>
    <w:p w14:paraId="1B279B06">
      <w:pPr>
        <w:ind w:firstLine="640" w:firstLineChars="200"/>
        <w:rPr>
          <w:rFonts w:hint="eastAsia" w:ascii="宋体" w:hAnsi="宋体"/>
        </w:rPr>
      </w:pPr>
      <w:r>
        <w:rPr>
          <w:rFonts w:hint="eastAsia" w:ascii="宋体" w:hAnsi="宋体"/>
        </w:rPr>
        <w:t>（三）其他应当履行的绩效监控管理职责。</w:t>
      </w:r>
    </w:p>
    <w:p w14:paraId="65A2518E">
      <w:pPr>
        <w:ind w:firstLine="640" w:firstLineChars="200"/>
        <w:rPr>
          <w:rFonts w:hint="eastAsia" w:ascii="宋体" w:hAnsi="宋体"/>
        </w:rPr>
      </w:pPr>
    </w:p>
    <w:p w14:paraId="609A1428">
      <w:pPr>
        <w:jc w:val="center"/>
        <w:rPr>
          <w:rFonts w:hint="eastAsia" w:ascii="宋体" w:hAnsi="宋体" w:eastAsia="黑体"/>
        </w:rPr>
      </w:pPr>
      <w:r>
        <w:rPr>
          <w:rFonts w:hint="eastAsia" w:ascii="宋体" w:hAnsi="宋体" w:eastAsia="黑体"/>
        </w:rPr>
        <w:t>第三章  范围和内容</w:t>
      </w:r>
    </w:p>
    <w:p w14:paraId="5F185119">
      <w:pPr>
        <w:ind w:firstLine="640" w:firstLineChars="200"/>
        <w:rPr>
          <w:rFonts w:hint="eastAsia" w:ascii="宋体" w:hAnsi="宋体"/>
        </w:rPr>
      </w:pPr>
    </w:p>
    <w:p w14:paraId="10673F09">
      <w:pPr>
        <w:ind w:firstLine="643" w:firstLineChars="200"/>
        <w:rPr>
          <w:rFonts w:hint="eastAsia" w:ascii="宋体" w:hAnsi="宋体"/>
        </w:rPr>
      </w:pPr>
      <w:r>
        <w:rPr>
          <w:rFonts w:hint="eastAsia" w:ascii="宋体" w:hAnsi="宋体"/>
          <w:b/>
        </w:rPr>
        <w:t>第六条</w:t>
      </w:r>
      <w:r>
        <w:rPr>
          <w:rFonts w:hint="eastAsia" w:ascii="宋体" w:hAnsi="宋体"/>
        </w:rPr>
        <w:t xml:space="preserve">  预算部门绩效监控范围涵盖一般公共预算、政府性基金预算、国有资本经营预算所有项目支出。</w:t>
      </w:r>
    </w:p>
    <w:p w14:paraId="733B0E94">
      <w:pPr>
        <w:ind w:firstLine="640" w:firstLineChars="200"/>
        <w:rPr>
          <w:rFonts w:hint="eastAsia" w:ascii="宋体" w:hAnsi="宋体"/>
        </w:rPr>
      </w:pPr>
      <w:r>
        <w:rPr>
          <w:rFonts w:hint="eastAsia" w:ascii="宋体" w:hAnsi="宋体"/>
        </w:rPr>
        <w:t>预算部门应对重大项目，以及巡视、审计发现问题较多，管理薄弱、执行进度慢、绩效水平不高的项目，进行重点监控。</w:t>
      </w:r>
    </w:p>
    <w:p w14:paraId="441D4E36">
      <w:pPr>
        <w:ind w:firstLine="643" w:firstLineChars="200"/>
        <w:rPr>
          <w:rFonts w:hint="eastAsia" w:ascii="宋体" w:hAnsi="宋体"/>
        </w:rPr>
      </w:pPr>
      <w:r>
        <w:rPr>
          <w:rFonts w:hint="eastAsia" w:ascii="宋体" w:hAnsi="宋体"/>
          <w:b/>
        </w:rPr>
        <w:t>第七条</w:t>
      </w:r>
      <w:r>
        <w:rPr>
          <w:rFonts w:hint="eastAsia" w:ascii="宋体" w:hAnsi="宋体"/>
        </w:rPr>
        <w:t xml:space="preserve">  绩效监控的内容：</w:t>
      </w:r>
    </w:p>
    <w:p w14:paraId="4BA8AE0C">
      <w:pPr>
        <w:ind w:firstLine="640" w:firstLineChars="200"/>
        <w:rPr>
          <w:rFonts w:hint="eastAsia" w:ascii="宋体" w:hAnsi="宋体"/>
        </w:rPr>
      </w:pPr>
      <w:r>
        <w:rPr>
          <w:rFonts w:hint="eastAsia" w:ascii="宋体" w:hAnsi="宋体"/>
        </w:rPr>
        <w:t>（一）对绩效目标完成情况进行监控。一是成本指标预期完成趋势，主要包括经济成本指标、社会成本指标、生态环境成本指标等。二是产出指标的完成进度及趋势，主要包括数量指标、质量指标、时效指标等。三是效果指标的实现进度及趋势，主要包括经济效益指标、社会效益指标、生态效益指标等。四是服务对象满意度及趋势。</w:t>
      </w:r>
    </w:p>
    <w:p w14:paraId="6A1023F8">
      <w:pPr>
        <w:ind w:firstLine="640" w:firstLineChars="200"/>
        <w:rPr>
          <w:rFonts w:hint="eastAsia" w:ascii="宋体" w:hAnsi="宋体"/>
        </w:rPr>
      </w:pPr>
      <w:r>
        <w:rPr>
          <w:rFonts w:hint="eastAsia" w:ascii="宋体" w:hAnsi="宋体"/>
        </w:rPr>
        <w:t>（二）对预算资金执行情况进行监控。主要包括预算资金拨付情况、实际支出情况、执行进度以及预计结转结余情况等。</w:t>
      </w:r>
    </w:p>
    <w:p w14:paraId="399931B7">
      <w:pPr>
        <w:ind w:firstLine="640" w:firstLineChars="200"/>
        <w:rPr>
          <w:rFonts w:hint="eastAsia" w:ascii="宋体" w:hAnsi="宋体"/>
        </w:rPr>
      </w:pPr>
      <w:r>
        <w:rPr>
          <w:rFonts w:hint="eastAsia" w:ascii="宋体" w:hAnsi="宋体"/>
        </w:rPr>
        <w:t>（三）对重大项目绩效延伸监控。必要时，可对重大项目支出具体工作任务开展、发展趋势、实施计划调整等情况进行延伸监控。具体包括：政府采购、工程招标、监理和验收、信息公示、资产管理，以及有关预算资金会计核算等。</w:t>
      </w:r>
    </w:p>
    <w:p w14:paraId="7ED4C725">
      <w:pPr>
        <w:ind w:firstLine="640" w:firstLineChars="200"/>
        <w:rPr>
          <w:rFonts w:hint="eastAsia" w:ascii="宋体" w:hAnsi="宋体"/>
        </w:rPr>
      </w:pPr>
      <w:r>
        <w:rPr>
          <w:rFonts w:hint="eastAsia" w:ascii="宋体" w:hAnsi="宋体"/>
        </w:rPr>
        <w:t>（四）其他需要实施绩效监控的内容。</w:t>
      </w:r>
    </w:p>
    <w:p w14:paraId="1F82CC42">
      <w:pPr>
        <w:ind w:firstLine="640" w:firstLineChars="200"/>
        <w:rPr>
          <w:rFonts w:hint="eastAsia" w:ascii="宋体" w:hAnsi="宋体"/>
        </w:rPr>
      </w:pPr>
    </w:p>
    <w:p w14:paraId="5BB199D3">
      <w:pPr>
        <w:jc w:val="center"/>
        <w:rPr>
          <w:rFonts w:hint="eastAsia" w:ascii="宋体" w:hAnsi="宋体" w:eastAsia="黑体"/>
        </w:rPr>
      </w:pPr>
      <w:r>
        <w:rPr>
          <w:rFonts w:hint="eastAsia" w:ascii="宋体" w:hAnsi="宋体" w:eastAsia="黑体"/>
        </w:rPr>
        <w:t>第四章  方式和流程</w:t>
      </w:r>
    </w:p>
    <w:p w14:paraId="0CBE2CDB">
      <w:pPr>
        <w:ind w:firstLine="640" w:firstLineChars="200"/>
        <w:rPr>
          <w:rFonts w:hint="eastAsia" w:ascii="宋体" w:hAnsi="宋体"/>
        </w:rPr>
      </w:pPr>
    </w:p>
    <w:p w14:paraId="549685F7">
      <w:pPr>
        <w:ind w:firstLine="643" w:firstLineChars="200"/>
        <w:rPr>
          <w:rFonts w:hint="eastAsia" w:ascii="宋体" w:hAnsi="宋体"/>
        </w:rPr>
      </w:pPr>
      <w:r>
        <w:rPr>
          <w:rFonts w:hint="eastAsia" w:ascii="宋体" w:hAnsi="宋体"/>
          <w:b/>
        </w:rPr>
        <w:t>第八条</w:t>
      </w:r>
      <w:r>
        <w:rPr>
          <w:rFonts w:hint="eastAsia" w:ascii="宋体" w:hAnsi="宋体"/>
        </w:rPr>
        <w:t xml:space="preserve">  绩效监控采用目标比较法，对照预期绩效目标，执行中对目标完成情况、预算执行进度、组织实施进展、资金管理使用情况进行分析评判。</w:t>
      </w:r>
    </w:p>
    <w:p w14:paraId="56560A53">
      <w:pPr>
        <w:ind w:firstLine="643" w:firstLineChars="200"/>
        <w:rPr>
          <w:rFonts w:hint="eastAsia" w:ascii="宋体" w:hAnsi="宋体"/>
        </w:rPr>
      </w:pPr>
      <w:r>
        <w:rPr>
          <w:rFonts w:hint="eastAsia" w:ascii="宋体" w:hAnsi="宋体"/>
          <w:b/>
        </w:rPr>
        <w:t>第九条</w:t>
      </w:r>
      <w:r>
        <w:rPr>
          <w:rFonts w:hint="eastAsia" w:ascii="宋体" w:hAnsi="宋体"/>
        </w:rPr>
        <w:t xml:space="preserve">  绩效监控包括及时性、合规性和有效性监控。及时性监控重点关注上年结转资金较大、当年新增预算且前期准备不充分，以及预算执行环境发生重大变化等情况。合规性监控重点关注相关预算管理制度落实情况、项目预算资金使用过程中的无预算开支、超预算开支、挤占挪用预算资金、超标准配置资产等情况。有效性监控重点关注项目执行是否与绩效目标一致、执行效果能否达到预期等。</w:t>
      </w:r>
    </w:p>
    <w:p w14:paraId="6318394F">
      <w:pPr>
        <w:ind w:firstLine="643" w:firstLineChars="200"/>
        <w:rPr>
          <w:rFonts w:hint="eastAsia" w:ascii="宋体" w:hAnsi="宋体"/>
        </w:rPr>
      </w:pPr>
      <w:r>
        <w:rPr>
          <w:rFonts w:hint="eastAsia" w:ascii="宋体" w:hAnsi="宋体"/>
          <w:b/>
        </w:rPr>
        <w:t>第十条</w:t>
      </w:r>
      <w:r>
        <w:rPr>
          <w:rFonts w:hint="eastAsia" w:ascii="宋体" w:hAnsi="宋体"/>
        </w:rPr>
        <w:t xml:space="preserve">  绩效监控是一项全周期管理工作，具体采取预算部门日常监控和省财政厅定期组织监控相结合的方式进行。对科研类项目可暂不开展年度中的绩效监控，但应在实施期内针对关键节点实施监督检查。</w:t>
      </w:r>
    </w:p>
    <w:p w14:paraId="54CD2576">
      <w:pPr>
        <w:ind w:firstLine="643" w:firstLineChars="200"/>
        <w:rPr>
          <w:rFonts w:hint="eastAsia" w:ascii="宋体" w:hAnsi="宋体"/>
        </w:rPr>
      </w:pPr>
      <w:r>
        <w:rPr>
          <w:rFonts w:hint="eastAsia" w:ascii="宋体" w:hAnsi="宋体"/>
          <w:b/>
        </w:rPr>
        <w:t>第十一条</w:t>
      </w:r>
      <w:r>
        <w:rPr>
          <w:rFonts w:hint="eastAsia" w:ascii="宋体" w:hAnsi="宋体"/>
        </w:rPr>
        <w:t xml:space="preserve">  每年8月，预算部门要集中对1－7月绩效目标完成情况和预算执行情况开展一次绩效监控，具体流程是：</w:t>
      </w:r>
    </w:p>
    <w:p w14:paraId="1EC82E5A">
      <w:pPr>
        <w:ind w:firstLine="640" w:firstLineChars="200"/>
        <w:rPr>
          <w:rFonts w:hint="eastAsia" w:ascii="宋体" w:hAnsi="宋体"/>
        </w:rPr>
      </w:pPr>
      <w:r>
        <w:rPr>
          <w:rFonts w:hint="eastAsia" w:ascii="宋体" w:hAnsi="宋体"/>
        </w:rPr>
        <w:t>（一）收集整理监控信息。预算执行单位对照预期绩效目标，以目标完成情况为重点收集整理监控信息。</w:t>
      </w:r>
    </w:p>
    <w:p w14:paraId="39A87D45">
      <w:pPr>
        <w:ind w:firstLine="640" w:firstLineChars="200"/>
        <w:rPr>
          <w:rFonts w:hint="eastAsia" w:ascii="宋体" w:hAnsi="宋体"/>
        </w:rPr>
      </w:pPr>
      <w:r>
        <w:rPr>
          <w:rFonts w:hint="eastAsia" w:ascii="宋体" w:hAnsi="宋体"/>
        </w:rPr>
        <w:t>（二）研究分析监控信息。预算执行单位梳理汇总监控信息后，对偏离绩效目标或预算执行进度较慢的原因进行分析，对绩效目标完成情况进行预判，并对预计不能完成目标的原因及拟采取的改进措施进行说明。</w:t>
      </w:r>
    </w:p>
    <w:p w14:paraId="2EEA52C7">
      <w:pPr>
        <w:ind w:firstLine="640" w:firstLineChars="200"/>
        <w:rPr>
          <w:rFonts w:hint="eastAsia" w:ascii="宋体" w:hAnsi="宋体"/>
        </w:rPr>
      </w:pPr>
      <w:r>
        <w:rPr>
          <w:rFonts w:hint="eastAsia" w:ascii="宋体" w:hAnsi="宋体"/>
        </w:rPr>
        <w:t>（三）填报项目支出绩效运行监控情况。预算执行单位在整理分析绩效监控信息的基础上，通过“预算管理一体化系统”绩效监控模块进行填报，并提交预算部门审核，审核通过后于8月底前提交省财政厅部门预算主管处。因特殊情况无法通过系统进行报送的，应报送纸质资料。</w:t>
      </w:r>
    </w:p>
    <w:p w14:paraId="6FD449E9">
      <w:pPr>
        <w:ind w:firstLine="640" w:firstLineChars="200"/>
        <w:rPr>
          <w:rFonts w:hint="eastAsia" w:ascii="宋体" w:hAnsi="宋体"/>
        </w:rPr>
      </w:pPr>
      <w:r>
        <w:rPr>
          <w:rFonts w:hint="eastAsia" w:ascii="宋体" w:hAnsi="宋体"/>
        </w:rPr>
        <w:t>（四）省级部门绩效监控工作完成后，及时总结经验、发现问题、提出下一步整改措施，形成本部门绩效运行监控汇总情况，并于8月底前提交省财政厅。</w:t>
      </w:r>
    </w:p>
    <w:p w14:paraId="707A2FF7">
      <w:pPr>
        <w:ind w:firstLine="640" w:firstLineChars="200"/>
        <w:rPr>
          <w:rFonts w:hint="eastAsia" w:ascii="宋体" w:hAnsi="宋体"/>
        </w:rPr>
      </w:pPr>
      <w:r>
        <w:rPr>
          <w:rFonts w:hint="eastAsia" w:ascii="宋体" w:hAnsi="宋体"/>
        </w:rPr>
        <w:t>（五）省财政厅在上述常规监控的基础上，结合我省实际情况和有关要求选取部分项目适时组织开展“重点监控”，相关部门应在要求时限内完成填报工作。</w:t>
      </w:r>
    </w:p>
    <w:p w14:paraId="40023285">
      <w:pPr>
        <w:ind w:firstLine="640" w:firstLineChars="200"/>
        <w:rPr>
          <w:rFonts w:ascii="宋体" w:hAnsi="宋体"/>
        </w:rPr>
      </w:pPr>
    </w:p>
    <w:p w14:paraId="3F178EC1">
      <w:pPr>
        <w:jc w:val="center"/>
        <w:rPr>
          <w:rFonts w:hint="eastAsia" w:ascii="宋体" w:hAnsi="宋体" w:eastAsia="黑体"/>
        </w:rPr>
      </w:pPr>
      <w:r>
        <w:rPr>
          <w:rFonts w:hint="eastAsia" w:ascii="宋体" w:hAnsi="宋体" w:eastAsia="黑体"/>
        </w:rPr>
        <w:t>第五章  结果应用</w:t>
      </w:r>
    </w:p>
    <w:p w14:paraId="73D305AF">
      <w:pPr>
        <w:ind w:firstLine="640" w:firstLineChars="200"/>
        <w:rPr>
          <w:rFonts w:hint="eastAsia" w:ascii="宋体" w:hAnsi="宋体"/>
        </w:rPr>
      </w:pPr>
    </w:p>
    <w:p w14:paraId="21F77A0B">
      <w:pPr>
        <w:ind w:firstLine="643" w:firstLineChars="200"/>
        <w:rPr>
          <w:rFonts w:hint="eastAsia" w:ascii="宋体" w:hAnsi="宋体"/>
        </w:rPr>
      </w:pPr>
      <w:r>
        <w:rPr>
          <w:rFonts w:hint="eastAsia" w:ascii="宋体" w:hAnsi="宋体"/>
          <w:b/>
        </w:rPr>
        <w:t>第十二条</w:t>
      </w:r>
      <w:r>
        <w:rPr>
          <w:rFonts w:hint="eastAsia" w:ascii="宋体" w:hAnsi="宋体"/>
        </w:rPr>
        <w:t xml:space="preserve">  绩效监控结果作为资金拨付、预算调整的重要依据。</w:t>
      </w:r>
    </w:p>
    <w:p w14:paraId="3D2C068E">
      <w:pPr>
        <w:ind w:firstLine="643" w:firstLineChars="200"/>
        <w:rPr>
          <w:rFonts w:hint="eastAsia" w:ascii="宋体" w:hAnsi="宋体"/>
        </w:rPr>
      </w:pPr>
      <w:r>
        <w:rPr>
          <w:rFonts w:hint="eastAsia" w:ascii="宋体" w:hAnsi="宋体"/>
          <w:b/>
        </w:rPr>
        <w:t>第十三条</w:t>
      </w:r>
      <w:r>
        <w:rPr>
          <w:rFonts w:hint="eastAsia" w:ascii="宋体" w:hAnsi="宋体"/>
        </w:rPr>
        <w:t xml:space="preserve">  预算部门和预算执行单位对偏离绩效目标或预算执行进度慢的，应认真分析原因。对于因政策调整、突发事件或自然灾害等客观条件导致预算无法执行或执行进度缓慢不能实现绩效目标的，应及时按规定程序进行调减预算，并同步调整绩效目标。对于绩效监控中发现严重问题的，如预算执行与绩效目标偏离较大、已经或预计造成重大损失浪费或风险等情况，应暂停项目实施，按照有关程序调减预算并停止拨付资金，及时纠偏止损。已开始执行的政府采购项目应当按照《中华人民共和国政府采购法》相关程序规定处理。</w:t>
      </w:r>
    </w:p>
    <w:p w14:paraId="4F07F1B8">
      <w:pPr>
        <w:ind w:firstLine="643" w:firstLineChars="200"/>
        <w:rPr>
          <w:rFonts w:hint="eastAsia" w:ascii="宋体" w:hAnsi="宋体"/>
        </w:rPr>
      </w:pPr>
      <w:r>
        <w:rPr>
          <w:rFonts w:hint="eastAsia" w:ascii="宋体" w:hAnsi="宋体"/>
          <w:b/>
        </w:rPr>
        <w:t>第十四条</w:t>
      </w:r>
      <w:r>
        <w:rPr>
          <w:rFonts w:hint="eastAsia" w:ascii="宋体" w:hAnsi="宋体"/>
        </w:rPr>
        <w:t xml:space="preserve">  省财政厅对预算部门绩效监控结果进行审核分析，对发现的问题和风险进行研判。问题严重的，暂缓或停止预算拨款，并督促部门进行整改，整改不到位或无法继续实施的，及时收回资金。</w:t>
      </w:r>
    </w:p>
    <w:p w14:paraId="1CA2CC31">
      <w:pPr>
        <w:ind w:firstLine="643" w:firstLineChars="200"/>
        <w:rPr>
          <w:rFonts w:hint="eastAsia" w:ascii="宋体" w:hAnsi="宋体"/>
        </w:rPr>
      </w:pPr>
      <w:r>
        <w:rPr>
          <w:rFonts w:hint="eastAsia" w:ascii="宋体" w:hAnsi="宋体"/>
          <w:b/>
        </w:rPr>
        <w:t>第十五条</w:t>
      </w:r>
      <w:r>
        <w:rPr>
          <w:rFonts w:hint="eastAsia" w:ascii="宋体" w:hAnsi="宋体"/>
        </w:rPr>
        <w:t xml:space="preserve">  对在绩效监控过程中发现的财政违法行为，依照《中华人民共和国预算法》《财政违法行为处罚处分条例》等有关规定追究相关责任，发现重大违纪违法问题线索，及时移送纪检监察机关。</w:t>
      </w:r>
    </w:p>
    <w:p w14:paraId="789BB4BD">
      <w:pPr>
        <w:ind w:firstLine="640" w:firstLineChars="200"/>
        <w:rPr>
          <w:rFonts w:hint="eastAsia" w:ascii="宋体" w:hAnsi="宋体"/>
        </w:rPr>
      </w:pPr>
    </w:p>
    <w:p w14:paraId="372F00AC">
      <w:pPr>
        <w:jc w:val="center"/>
        <w:rPr>
          <w:rFonts w:hint="eastAsia" w:ascii="宋体" w:hAnsi="宋体" w:eastAsia="黑体"/>
        </w:rPr>
      </w:pPr>
      <w:r>
        <w:rPr>
          <w:rFonts w:hint="eastAsia" w:ascii="宋体" w:hAnsi="宋体" w:eastAsia="黑体"/>
        </w:rPr>
        <w:t>第六章  附  则</w:t>
      </w:r>
    </w:p>
    <w:p w14:paraId="1158BD09">
      <w:pPr>
        <w:ind w:firstLine="640" w:firstLineChars="200"/>
        <w:rPr>
          <w:rFonts w:hint="eastAsia" w:ascii="宋体" w:hAnsi="宋体"/>
        </w:rPr>
      </w:pPr>
    </w:p>
    <w:p w14:paraId="08B85A02">
      <w:pPr>
        <w:ind w:firstLine="643" w:firstLineChars="200"/>
        <w:rPr>
          <w:rFonts w:hint="eastAsia" w:ascii="宋体" w:hAnsi="宋体"/>
        </w:rPr>
      </w:pPr>
      <w:r>
        <w:rPr>
          <w:rFonts w:hint="eastAsia" w:ascii="宋体" w:hAnsi="宋体"/>
          <w:b/>
        </w:rPr>
        <w:t>第十六条</w:t>
      </w:r>
      <w:r>
        <w:rPr>
          <w:rFonts w:hint="eastAsia" w:ascii="宋体" w:hAnsi="宋体"/>
        </w:rPr>
        <w:t xml:space="preserve">  各预算部门应结合实际，制定本部门绩效监控管理办法或实施细则，报省财政厅备案。</w:t>
      </w:r>
    </w:p>
    <w:p w14:paraId="7644DD21">
      <w:pPr>
        <w:ind w:firstLine="643" w:firstLineChars="200"/>
        <w:rPr>
          <w:rFonts w:hint="eastAsia" w:ascii="宋体" w:hAnsi="宋体"/>
        </w:rPr>
      </w:pPr>
      <w:r>
        <w:rPr>
          <w:rFonts w:hint="eastAsia" w:ascii="宋体" w:hAnsi="宋体"/>
          <w:b/>
        </w:rPr>
        <w:t>第十七条</w:t>
      </w:r>
      <w:r>
        <w:rPr>
          <w:rFonts w:hint="eastAsia" w:ascii="宋体" w:hAnsi="宋体"/>
        </w:rPr>
        <w:t xml:space="preserve">  本办法自印发之日起施行。原文件《吉林省省级部门预算绩效运行监控管理暂行办法》（吉财绩〔2019〕865号）同时废止。</w:t>
      </w:r>
    </w:p>
    <w:p w14:paraId="176F0B87">
      <w:pPr>
        <w:rPr>
          <w:rFonts w:hint="eastAsia"/>
        </w:rPr>
      </w:pPr>
    </w:p>
    <w:p w14:paraId="4CC38168"/>
    <w:sectPr>
      <w:footerReference r:id="rId3" w:type="default"/>
      <w:footerReference r:id="rId4" w:type="even"/>
      <w:pgSz w:w="11906" w:h="16838"/>
      <w:pgMar w:top="2098" w:right="1588" w:bottom="2098" w:left="1588" w:header="851" w:footer="1588" w:gutter="0"/>
      <w:pgNumType w:start="1"/>
      <w:cols w:space="720" w:num="1"/>
      <w:docGrid w:type="lines" w:linePitch="574"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482AD">
    <w:pPr>
      <w:pStyle w:val="2"/>
      <w:framePr w:wrap="around" w:vAnchor="text" w:hAnchor="margin" w:xAlign="outside" w:y="1"/>
      <w:rPr>
        <w:rStyle w:val="5"/>
        <w:sz w:val="28"/>
      </w:rPr>
    </w:pPr>
    <w:r>
      <w:rPr>
        <w:rStyle w:val="5"/>
        <w:sz w:val="28"/>
      </w:rPr>
      <w:t>—</w:t>
    </w:r>
    <w:r>
      <w:rPr>
        <w:sz w:val="28"/>
      </w:rPr>
      <w:fldChar w:fldCharType="begin"/>
    </w:r>
    <w:r>
      <w:rPr>
        <w:rStyle w:val="5"/>
        <w:sz w:val="28"/>
      </w:rPr>
      <w:instrText xml:space="preserve">PAGE  </w:instrText>
    </w:r>
    <w:r>
      <w:rPr>
        <w:sz w:val="28"/>
      </w:rPr>
      <w:fldChar w:fldCharType="separate"/>
    </w:r>
    <w:r>
      <w:rPr>
        <w:rStyle w:val="5"/>
        <w:sz w:val="28"/>
      </w:rPr>
      <w:t>6</w:t>
    </w:r>
    <w:r>
      <w:rPr>
        <w:sz w:val="28"/>
      </w:rPr>
      <w:fldChar w:fldCharType="end"/>
    </w:r>
    <w:r>
      <w:rPr>
        <w:rStyle w:val="5"/>
        <w:sz w:val="28"/>
      </w:rPr>
      <w:t>—</w:t>
    </w:r>
  </w:p>
  <w:p w14:paraId="5092521C">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DD4AA">
    <w:pPr>
      <w:pStyle w:val="2"/>
      <w:framePr w:wrap="around" w:vAnchor="text" w:hAnchor="margin" w:xAlign="outside" w:y="1"/>
      <w:rPr>
        <w:rStyle w:val="5"/>
      </w:rPr>
    </w:pPr>
    <w:r>
      <w:fldChar w:fldCharType="begin"/>
    </w:r>
    <w:r>
      <w:rPr>
        <w:rStyle w:val="5"/>
      </w:rPr>
      <w:instrText xml:space="preserve">PAGE  </w:instrText>
    </w:r>
    <w:r>
      <w:fldChar w:fldCharType="end"/>
    </w:r>
  </w:p>
  <w:p w14:paraId="38255F65">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4475ED"/>
    <w:rsid w:val="524475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Char Char Char"/>
    <w:basedOn w:val="1"/>
    <w:uiPriority w:val="0"/>
    <w:pPr>
      <w:widowControl/>
      <w:spacing w:after="160" w:line="240" w:lineRule="exact"/>
      <w:jc w:val="left"/>
    </w:pPr>
    <w:rPr>
      <w:rFonts w:ascii="Arial" w:hAnsi="Arial" w:eastAsia="Times New Roman" w:cs="Verdana"/>
      <w:b/>
      <w:kern w:val="0"/>
      <w:sz w:val="24"/>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2026-08-18T01:26:00Z</dcterms:created>
  <dc:creator>伞</dc:creator>
  <cp:lastModifiedBy>伞</cp:lastModifiedBy>
  <dcterms:modified xsi:type="dcterms:W3CDTF">2026-08-18T01:27:39Z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74BF70232CBE4245AA105633BEC4092A_11</vt:lpwstr>
  </property>
  <property fmtid="{D5CDD505-2E9C-101B-9397-08002B2CF9AE}" pid="4" name="KSOTemplateDocerSaveRecord">
    <vt:lpwstr>eyJoZGlkIjoiZDI1MTg1NTg5N2ZiMDM2Mjk4ZGE5NmYzNTgwNTY5Y2EiLCJ1c2VySWQiOiIyNzI2NDAxOTgifQ==</vt:lpwstr>
  </property>
</Properties>
</file>