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Times New Roman"/>
          <w:sz w:val="44"/>
          <w:szCs w:val="20"/>
          <w:lang w:eastAsia="zh-CN"/>
        </w:rPr>
      </w:pPr>
      <w:r>
        <w:rPr>
          <w:rFonts w:hint="eastAsia" w:ascii="宋体" w:hAnsi="宋体" w:eastAsia="方正小标宋简体" w:cs="Times New Roman"/>
          <w:sz w:val="44"/>
          <w:szCs w:val="20"/>
        </w:rPr>
        <w:t>2024年度中小企业和民营经济发展专项资金绩效评价</w:t>
      </w:r>
      <w:r>
        <w:rPr>
          <w:rFonts w:hint="eastAsia" w:ascii="宋体" w:hAnsi="宋体" w:eastAsia="方正小标宋简体" w:cs="Times New Roman"/>
          <w:sz w:val="44"/>
          <w:szCs w:val="20"/>
          <w:lang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exact"/>
        <w:ind w:left="0" w:leftChars="0" w:right="0" w:rightChars="0"/>
        <w:jc w:val="both"/>
        <w:textAlignment w:val="auto"/>
        <w:outlineLvl w:val="0"/>
        <w:rPr>
          <w:rFonts w:hint="eastAsia" w:ascii="宋体" w:hAnsi="宋体" w:eastAsia="仿宋_GB2312" w:cs="仿宋_GB2312"/>
          <w:sz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/>
        <w:jc w:val="both"/>
        <w:textAlignment w:val="auto"/>
        <w:rPr>
          <w:rFonts w:hint="eastAsia"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"/>
          <w:color w:val="000000"/>
          <w:sz w:val="32"/>
        </w:rPr>
      </w:pPr>
      <w:r>
        <w:rPr>
          <w:rFonts w:hint="eastAsia" w:ascii="宋体" w:hAnsi="宋体" w:eastAsia="楷体"/>
          <w:color w:val="000000"/>
          <w:sz w:val="32"/>
        </w:rPr>
        <w:t>（一）项目概况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r>
        <w:rPr>
          <w:rFonts w:hint="eastAsia" w:ascii="宋体" w:hAnsi="宋体" w:eastAsia="仿宋_GB2312"/>
          <w:b w:val="0"/>
          <w:bCs w:val="0"/>
          <w:color w:val="000000"/>
          <w:sz w:val="32"/>
        </w:rPr>
        <w:t>1.主要内容。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2024年专项资金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支持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创业孵化基地建设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中小企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业公共服务及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市场开拓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企业经营管理人员培训及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“专精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特新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中小企业奖励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4个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r>
        <w:rPr>
          <w:rFonts w:hint="eastAsia" w:ascii="宋体" w:hAnsi="宋体" w:eastAsia="仿宋_GB2312"/>
          <w:b w:val="0"/>
          <w:bCs w:val="0"/>
          <w:color w:val="000000"/>
          <w:sz w:val="32"/>
        </w:rPr>
        <w:t>2.资金投入和使用情况。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2024年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专项资金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预算安排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9000</w:t>
      </w:r>
      <w:r>
        <w:rPr>
          <w:rFonts w:hint="default" w:ascii="宋体" w:hAnsi="宋体" w:eastAsia="仿宋_GB2312" w:cs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，截至2025年9月30日，实际到位7949万元，资金到位率88.32%，实际执行7908.13万元，预算执行率87.87%</w:t>
      </w:r>
      <w:r>
        <w:rPr>
          <w:rFonts w:hint="eastAsia" w:ascii="宋体" w:hAnsi="宋体" w:eastAsia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"/>
          <w:color w:val="000000"/>
          <w:sz w:val="32"/>
        </w:rPr>
      </w:pPr>
      <w:r>
        <w:rPr>
          <w:rFonts w:hint="eastAsia" w:ascii="宋体" w:hAnsi="宋体" w:eastAsia="楷体"/>
          <w:color w:val="000000"/>
          <w:sz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cs="仿宋_GB2312"/>
          <w:color w:val="auto"/>
          <w:sz w:val="32"/>
          <w:szCs w:val="32"/>
          <w:highlight w:val="none"/>
          <w:lang w:val="en-US" w:eastAsia="zh-CN"/>
        </w:rPr>
        <w:t>年度，新</w:t>
      </w:r>
      <w:r>
        <w:rPr>
          <w:rFonts w:hint="eastAsia" w:ascii="宋体" w:hAnsi="宋体" w:cs="仿宋_GB2312"/>
          <w:color w:val="auto"/>
          <w:sz w:val="32"/>
          <w:szCs w:val="32"/>
        </w:rPr>
        <w:t>培育15个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省级</w:t>
      </w:r>
      <w:r>
        <w:rPr>
          <w:rFonts w:hint="eastAsia" w:ascii="宋体" w:hAnsi="宋体" w:cs="仿宋_GB2312"/>
          <w:color w:val="auto"/>
          <w:sz w:val="32"/>
          <w:szCs w:val="32"/>
        </w:rPr>
        <w:t>创业孵化基地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color w:val="auto"/>
          <w:sz w:val="32"/>
          <w:szCs w:val="32"/>
        </w:rPr>
        <w:t>全省孵化基地带动就业15万人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cs="仿宋_GB2312"/>
          <w:color w:val="auto"/>
          <w:sz w:val="32"/>
          <w:szCs w:val="32"/>
        </w:rPr>
        <w:t>参与中小企业公共服务项目活动1000人以上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cs="仿宋_GB2312"/>
          <w:color w:val="auto"/>
          <w:sz w:val="32"/>
          <w:szCs w:val="32"/>
        </w:rPr>
        <w:t>组织中小企业参加各类展会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color w:val="auto"/>
          <w:sz w:val="32"/>
          <w:szCs w:val="32"/>
        </w:rPr>
        <w:t>帮助企业开拓市场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开展14期培训，</w:t>
      </w:r>
      <w:r>
        <w:rPr>
          <w:rFonts w:hint="eastAsia" w:ascii="宋体" w:hAnsi="宋体" w:cs="仿宋_GB2312"/>
          <w:color w:val="auto"/>
          <w:sz w:val="32"/>
          <w:szCs w:val="32"/>
        </w:rPr>
        <w:t>培训企业管理人才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cs="仿宋_GB2312"/>
          <w:color w:val="auto"/>
          <w:sz w:val="32"/>
          <w:szCs w:val="32"/>
        </w:rPr>
        <w:t>00人以上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截至2024年底，累计</w:t>
      </w:r>
      <w:r>
        <w:rPr>
          <w:rFonts w:hint="eastAsia" w:ascii="宋体" w:hAnsi="宋体" w:cs="仿宋_GB2312"/>
          <w:color w:val="auto"/>
          <w:sz w:val="32"/>
          <w:szCs w:val="32"/>
        </w:rPr>
        <w:t>培育省级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cs="仿宋_GB2312"/>
          <w:color w:val="auto"/>
          <w:sz w:val="32"/>
          <w:szCs w:val="32"/>
        </w:rPr>
        <w:t>专精特新</w:t>
      </w:r>
      <w:r>
        <w:rPr>
          <w:rFonts w:hint="eastAsia" w:ascii="宋体" w:hAnsi="宋体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cs="仿宋_GB2312"/>
          <w:color w:val="auto"/>
          <w:sz w:val="32"/>
          <w:szCs w:val="32"/>
        </w:rPr>
        <w:t>中小企业1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cs="仿宋_GB2312"/>
          <w:color w:val="auto"/>
          <w:sz w:val="32"/>
          <w:szCs w:val="32"/>
        </w:rPr>
        <w:t>00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户</w:t>
      </w:r>
      <w:r>
        <w:rPr>
          <w:rFonts w:hint="eastAsia" w:ascii="宋体" w:hAnsi="宋体" w:eastAsia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二、绩效评价覆盖范围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r>
        <w:rPr>
          <w:rFonts w:hint="eastAsia" w:ascii="宋体" w:hAnsi="宋体" w:eastAsia="仿宋_GB2312"/>
          <w:color w:val="000000"/>
          <w:sz w:val="32"/>
        </w:rPr>
        <w:t>本次评价覆盖2024年专项资金的全部项目，涉及43个市县。其中，现场评价覆盖13个市县，资金占比76.96%。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黑体"/>
          <w:sz w:val="32"/>
        </w:rPr>
      </w:pPr>
      <w:r>
        <w:rPr>
          <w:rFonts w:hint="eastAsia" w:ascii="宋体" w:hAnsi="宋体" w:eastAsia="黑体"/>
          <w:sz w:val="32"/>
        </w:rPr>
        <w:t>三、综合评价情况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"/>
          <w:color w:val="000000"/>
          <w:sz w:val="32"/>
        </w:rPr>
      </w:pPr>
      <w:r>
        <w:rPr>
          <w:rFonts w:hint="eastAsia" w:ascii="宋体" w:hAnsi="宋体" w:eastAsia="楷体"/>
          <w:color w:val="000000"/>
          <w:sz w:val="32"/>
        </w:rPr>
        <w:t>（一）评价得分及等次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_GB2312"/>
          <w:sz w:val="32"/>
        </w:rPr>
      </w:pPr>
      <w:r>
        <w:rPr>
          <w:rFonts w:hint="eastAsia" w:ascii="宋体" w:hAnsi="宋体" w:eastAsia="仿宋_GB2312"/>
          <w:color w:val="000000"/>
          <w:sz w:val="32"/>
        </w:rPr>
        <w:t>该项目绩效评价得分为81.87分，评价等级为“良”。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"/>
          <w:color w:val="000000"/>
          <w:sz w:val="32"/>
        </w:rPr>
      </w:pPr>
      <w:r>
        <w:rPr>
          <w:rFonts w:hint="eastAsia" w:ascii="宋体" w:hAnsi="宋体" w:eastAsia="楷体"/>
          <w:color w:val="000000"/>
          <w:sz w:val="32"/>
        </w:rPr>
        <w:t>（二）项目工作成效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r>
        <w:rPr>
          <w:rFonts w:hint="eastAsia" w:ascii="宋体" w:hAnsi="宋体" w:eastAsia="仿宋_GB2312"/>
          <w:color w:val="000000"/>
          <w:sz w:val="32"/>
        </w:rPr>
        <w:t>创业孵化基地在孵企业达9612户；13个项目入围第九届“创客中国”全国赛，其中4项完成转化，带动企业增资扩股4800万元，超额5倍完成目标；通过系列展博会达成意向成交额2亿</w:t>
      </w:r>
      <w:r>
        <w:rPr>
          <w:rFonts w:hint="eastAsia" w:ascii="宋体" w:hAnsi="宋体"/>
          <w:color w:val="000000"/>
          <w:sz w:val="32"/>
          <w:lang w:eastAsia="zh-CN"/>
        </w:rPr>
        <w:t>；</w:t>
      </w:r>
      <w:r>
        <w:rPr>
          <w:rFonts w:hint="eastAsia" w:ascii="宋体" w:hAnsi="宋体" w:eastAsia="仿宋_GB2312"/>
          <w:color w:val="000000"/>
          <w:sz w:val="32"/>
        </w:rPr>
        <w:t>“专精特新”企业研发投入占比保持5.07%，税收总额同比增长2.33%；经营管理人才累计培训超1000人。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楷体"/>
          <w:color w:val="000000"/>
          <w:sz w:val="32"/>
        </w:rPr>
      </w:pPr>
      <w:r>
        <w:rPr>
          <w:rFonts w:hint="eastAsia" w:ascii="宋体" w:hAnsi="宋体" w:eastAsia="楷体"/>
          <w:color w:val="000000"/>
          <w:sz w:val="32"/>
        </w:rPr>
        <w:t>（三）存在的问题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/>
          <w:b/>
          <w:bCs/>
          <w:color w:val="000000"/>
          <w:sz w:val="32"/>
        </w:rPr>
        <w:t>1.</w:t>
      </w:r>
      <w:r>
        <w:rPr>
          <w:rFonts w:hint="eastAsia" w:ascii="宋体" w:hAnsi="宋体"/>
          <w:b/>
          <w:bCs/>
          <w:color w:val="000000"/>
          <w:sz w:val="32"/>
          <w:lang w:eastAsia="zh-CN"/>
        </w:rPr>
        <w:t>“</w:t>
      </w:r>
      <w:r>
        <w:rPr>
          <w:rFonts w:hint="eastAsia" w:ascii="宋体" w:hAnsi="宋体" w:eastAsia="仿宋_GB2312"/>
          <w:b/>
          <w:bCs/>
          <w:color w:val="000000"/>
          <w:sz w:val="32"/>
        </w:rPr>
        <w:t>专精特新”认定</w:t>
      </w:r>
      <w:r>
        <w:rPr>
          <w:rFonts w:hint="eastAsia" w:ascii="宋体" w:hAnsi="宋体"/>
          <w:b/>
          <w:bCs/>
          <w:color w:val="000000"/>
          <w:sz w:val="32"/>
          <w:lang w:eastAsia="zh-CN"/>
        </w:rPr>
        <w:t>标准较低，认定企业质量不高</w:t>
      </w:r>
      <w:r>
        <w:rPr>
          <w:rFonts w:hint="eastAsia" w:ascii="宋体" w:hAnsi="宋体" w:eastAsia="仿宋_GB2312"/>
          <w:b/>
          <w:bCs/>
          <w:color w:val="000000"/>
          <w:sz w:val="32"/>
        </w:rPr>
        <w:t>。</w:t>
      </w:r>
      <w:r>
        <w:rPr>
          <w:rFonts w:hint="eastAsia" w:ascii="宋体" w:hAnsi="宋体" w:cs="仿宋_GB2312"/>
          <w:color w:val="auto"/>
          <w:kern w:val="0"/>
          <w:sz w:val="32"/>
          <w:szCs w:val="32"/>
          <w:lang w:val="en-US" w:eastAsia="zh-CN" w:bidi="ar"/>
        </w:rPr>
        <w:t>截至</w:t>
      </w:r>
      <w:r>
        <w:rPr>
          <w:rFonts w:hint="eastAsia" w:ascii="宋体" w:hAnsi="宋体" w:eastAsia="仿宋_GB2312"/>
          <w:color w:val="auto"/>
          <w:sz w:val="32"/>
          <w:szCs w:val="32"/>
        </w:rPr>
        <w:t>2024年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底，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全省累计</w:t>
      </w:r>
      <w:r>
        <w:rPr>
          <w:rFonts w:hint="eastAsia" w:ascii="宋体" w:hAnsi="宋体" w:eastAsia="仿宋_GB2312"/>
          <w:color w:val="auto"/>
          <w:sz w:val="32"/>
          <w:szCs w:val="32"/>
        </w:rPr>
        <w:t>认定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的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专精特新”企业中，</w:t>
      </w:r>
      <w:r>
        <w:rPr>
          <w:rFonts w:hint="eastAsia" w:ascii="宋体" w:hAnsi="宋体"/>
          <w:sz w:val="32"/>
          <w:szCs w:val="32"/>
          <w:lang w:val="en-US" w:eastAsia="zh-CN"/>
        </w:rPr>
        <w:t>工业</w:t>
      </w:r>
      <w:r>
        <w:rPr>
          <w:rFonts w:hint="eastAsia" w:ascii="宋体" w:hAnsi="宋体" w:cs="仿宋_GB2312"/>
          <w:color w:val="auto"/>
          <w:kern w:val="0"/>
          <w:sz w:val="32"/>
          <w:szCs w:val="32"/>
          <w:lang w:val="en-US" w:eastAsia="zh-CN" w:bidi="ar"/>
        </w:rPr>
        <w:t>“六基”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领域</w:t>
      </w:r>
      <w:r>
        <w:rPr>
          <w:rFonts w:hint="eastAsia" w:ascii="宋体" w:hAnsi="宋体" w:cs="仿宋_GB2312"/>
          <w:color w:val="auto"/>
          <w:kern w:val="0"/>
          <w:sz w:val="32"/>
          <w:szCs w:val="32"/>
          <w:lang w:val="en-US" w:eastAsia="zh-CN" w:bidi="ar"/>
        </w:rPr>
        <w:t>的企业数量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占比</w:t>
      </w:r>
      <w:r>
        <w:rPr>
          <w:rFonts w:hint="eastAsia" w:ascii="宋体" w:hAnsi="宋体" w:cs="仿宋_GB2312"/>
          <w:color w:val="auto"/>
          <w:kern w:val="0"/>
          <w:sz w:val="32"/>
          <w:szCs w:val="32"/>
          <w:lang w:val="en-US" w:eastAsia="zh-CN" w:bidi="ar"/>
        </w:rPr>
        <w:t>32.38%，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其他类占比67.62%，其他类企业部分为低技术、低附加值企业，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lang w:val="en-US" w:eastAsia="zh-CN"/>
        </w:rPr>
        <w:t>偏离政策初衷，</w:t>
      </w:r>
      <w:r>
        <w:rPr>
          <w:rFonts w:hint="eastAsia" w:ascii="宋体" w:hAnsi="宋体" w:eastAsia="仿宋_GB2312"/>
          <w:color w:val="auto"/>
          <w:sz w:val="32"/>
          <w:szCs w:val="32"/>
        </w:rPr>
        <w:t>政策资源向非重点领域倾斜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/>
          <w:color w:val="auto"/>
          <w:sz w:val="32"/>
          <w:szCs w:val="32"/>
        </w:rPr>
        <w:t>政策红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利被稀释为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撒胡椒面</w:t>
      </w: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式的低效分配</w:t>
      </w:r>
      <w:r>
        <w:rPr>
          <w:rFonts w:hint="eastAsia" w:ascii="宋体" w:hAnsi="宋体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如，部分企业通过“特色化包装”进入申报范围并认定成功。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仿宋_GB2312" w:cs="Times New Roman"/>
          <w:color w:val="000000"/>
          <w:sz w:val="32"/>
          <w:lang w:eastAsia="zh-CN"/>
        </w:rPr>
      </w:pPr>
      <w:r>
        <w:rPr>
          <w:rFonts w:hint="eastAsia" w:ascii="宋体" w:hAnsi="宋体" w:eastAsia="仿宋_GB2312"/>
          <w:b/>
          <w:bCs/>
          <w:color w:val="000000"/>
          <w:sz w:val="32"/>
        </w:rPr>
        <w:t>2.</w:t>
      </w:r>
      <w:r>
        <w:rPr>
          <w:rFonts w:hint="eastAsia" w:ascii="宋体" w:hAnsi="宋体"/>
          <w:b/>
          <w:bCs/>
          <w:color w:val="000000"/>
          <w:sz w:val="32"/>
          <w:lang w:eastAsia="zh-CN"/>
        </w:rPr>
        <w:t>制度联动性、监管精细度不足，</w:t>
      </w:r>
      <w:r>
        <w:rPr>
          <w:rFonts w:hint="eastAsia" w:ascii="宋体" w:hAnsi="宋体" w:eastAsia="仿宋_GB2312"/>
          <w:b/>
          <w:bCs/>
          <w:color w:val="000000"/>
          <w:sz w:val="32"/>
        </w:rPr>
        <w:t>资金到位率偏低。</w:t>
      </w:r>
      <w:r>
        <w:rPr>
          <w:rFonts w:hint="eastAsia" w:ascii="宋体" w:hAnsi="宋体" w:eastAsia="仿宋_GB2312" w:cs="Times New Roman"/>
          <w:b/>
          <w:bCs/>
          <w:color w:val="000000"/>
          <w:sz w:val="32"/>
        </w:rPr>
        <w:t>一是</w:t>
      </w:r>
      <w:r>
        <w:rPr>
          <w:rFonts w:hint="eastAsia" w:ascii="宋体" w:hAnsi="宋体" w:cs="Times New Roman"/>
          <w:b w:val="0"/>
          <w:bCs w:val="0"/>
          <w:color w:val="auto"/>
          <w:sz w:val="32"/>
          <w:szCs w:val="32"/>
          <w:lang w:val="en-US" w:eastAsia="zh-CN"/>
        </w:rPr>
        <w:t>各地</w:t>
      </w:r>
      <w:r>
        <w:rPr>
          <w:rFonts w:hint="eastAsia" w:ascii="宋体" w:hAnsi="宋体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金融机构对“专精特新”企业信贷支持力度有限，政策执行效果受影响</w:t>
      </w:r>
      <w:r>
        <w:rPr>
          <w:rFonts w:hint="eastAsia" w:ascii="宋体" w:hAnsi="宋体" w:cs="Times New Roman"/>
          <w:color w:val="000000"/>
          <w:sz w:val="32"/>
          <w:lang w:eastAsia="zh-CN"/>
        </w:rPr>
        <w:t>。</w:t>
      </w:r>
      <w:r>
        <w:rPr>
          <w:rFonts w:hint="eastAsia" w:ascii="宋体" w:hAnsi="宋体" w:eastAsia="仿宋_GB2312" w:cs="Times New Roman"/>
          <w:b/>
          <w:bCs/>
          <w:color w:val="000000"/>
          <w:sz w:val="32"/>
        </w:rPr>
        <w:t>二是</w:t>
      </w:r>
      <w:r>
        <w:rPr>
          <w:rFonts w:hint="eastAsia" w:ascii="宋体" w:hAnsi="宋体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跟踪监管精细度不足。对已受到行政处罚的企业在现行管理办法中没有明确处理方式，政策约束性不足</w:t>
      </w:r>
      <w:r>
        <w:rPr>
          <w:rFonts w:hint="eastAsia" w:ascii="宋体" w:hAnsi="宋体" w:cs="Times New Roman"/>
          <w:color w:val="000000"/>
          <w:sz w:val="32"/>
          <w:lang w:eastAsia="zh-CN"/>
        </w:rPr>
        <w:t>。</w:t>
      </w:r>
      <w:r>
        <w:rPr>
          <w:rFonts w:hint="eastAsia" w:ascii="宋体" w:hAnsi="宋体" w:eastAsia="仿宋_GB2312" w:cs="Times New Roman"/>
          <w:b/>
          <w:bCs/>
          <w:color w:val="000000"/>
          <w:sz w:val="32"/>
        </w:rPr>
        <w:t>三是</w:t>
      </w:r>
      <w:r>
        <w:rPr>
          <w:rFonts w:hint="eastAsia" w:ascii="宋体" w:hAnsi="宋体" w:eastAsia="仿宋_GB2312" w:cs="Times New Roman"/>
          <w:color w:val="000000"/>
          <w:sz w:val="32"/>
        </w:rPr>
        <w:t>截至2025年9月</w:t>
      </w:r>
      <w:r>
        <w:rPr>
          <w:rFonts w:hint="eastAsia" w:ascii="宋体" w:hAnsi="宋体" w:cs="Times New Roman"/>
          <w:color w:val="000000"/>
          <w:sz w:val="32"/>
          <w:lang w:val="en-US" w:eastAsia="zh-CN"/>
        </w:rPr>
        <w:t>30日</w:t>
      </w:r>
      <w:r>
        <w:rPr>
          <w:rFonts w:hint="eastAsia" w:ascii="宋体" w:hAnsi="宋体" w:eastAsia="仿宋_GB2312" w:cs="Times New Roman"/>
          <w:color w:val="000000"/>
          <w:sz w:val="32"/>
        </w:rPr>
        <w:t>，18个市县1051万元未拨付，占预算</w:t>
      </w:r>
      <w:r>
        <w:rPr>
          <w:rFonts w:hint="eastAsia" w:ascii="宋体" w:hAnsi="宋体" w:cs="Times New Roman"/>
          <w:color w:val="000000"/>
          <w:sz w:val="32"/>
          <w:lang w:eastAsia="zh-CN"/>
        </w:rPr>
        <w:t>安排</w:t>
      </w:r>
      <w:r>
        <w:rPr>
          <w:rFonts w:hint="eastAsia" w:ascii="宋体" w:hAnsi="宋体" w:eastAsia="仿宋_GB2312" w:cs="Times New Roman"/>
          <w:color w:val="000000"/>
          <w:sz w:val="32"/>
        </w:rPr>
        <w:t>总额11.68%</w:t>
      </w:r>
      <w:r>
        <w:rPr>
          <w:rFonts w:hint="eastAsia" w:ascii="宋体" w:hAnsi="宋体" w:cs="Times New Roman"/>
          <w:color w:val="000000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r>
        <w:rPr>
          <w:rFonts w:hint="eastAsia" w:ascii="宋体" w:hAnsi="宋体" w:eastAsia="仿宋_GB2312" w:cs="Times New Roman"/>
          <w:b/>
          <w:bCs/>
          <w:color w:val="000000"/>
          <w:sz w:val="32"/>
          <w:lang w:val="en-US" w:eastAsia="zh-CN"/>
        </w:rPr>
        <w:t>3.部分项目效果不理想</w:t>
      </w:r>
      <w:r>
        <w:rPr>
          <w:rFonts w:hint="eastAsia" w:ascii="宋体" w:hAnsi="宋体" w:cs="Times New Roman"/>
          <w:b/>
          <w:bCs/>
          <w:color w:val="000000"/>
          <w:sz w:val="32"/>
          <w:lang w:val="en-US" w:eastAsia="zh-CN"/>
        </w:rPr>
        <w:t>。</w:t>
      </w:r>
      <w:r>
        <w:rPr>
          <w:rFonts w:hint="eastAsia" w:ascii="宋体" w:hAnsi="宋体" w:cs="仿宋_GB2312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企业经营管理人才培训实践课程质量不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高。存在</w:t>
      </w:r>
      <w:r>
        <w:rPr>
          <w:rFonts w:hint="eastAsia" w:ascii="宋体" w:hAnsi="宋体" w:cs="仿宋"/>
          <w:color w:val="auto"/>
          <w:sz w:val="32"/>
          <w:szCs w:val="32"/>
          <w:lang w:val="en-US" w:eastAsia="zh-CN"/>
        </w:rPr>
        <w:t>未按要求开展行业实践课程、以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观看视频学习的方式代替</w:t>
      </w:r>
      <w:r>
        <w:rPr>
          <w:rFonts w:hint="eastAsia" w:ascii="宋体" w:hAnsi="宋体" w:cs="仿宋"/>
          <w:color w:val="auto"/>
          <w:sz w:val="32"/>
          <w:szCs w:val="32"/>
          <w:lang w:val="en-US" w:eastAsia="zh-CN"/>
        </w:rPr>
        <w:t>实践课程等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情况。</w:t>
      </w:r>
      <w:r>
        <w:rPr>
          <w:rFonts w:hint="eastAsia" w:ascii="宋体" w:hAnsi="宋体"/>
          <w:b/>
          <w:bCs/>
          <w:color w:val="000000"/>
          <w:sz w:val="32"/>
          <w:lang w:val="en-US" w:eastAsia="zh-CN"/>
        </w:rPr>
        <w:t>二是</w:t>
      </w:r>
      <w:r>
        <w:rPr>
          <w:rFonts w:hint="eastAsia" w:ascii="宋体" w:hAnsi="宋体"/>
          <w:b w:val="0"/>
          <w:bCs w:val="0"/>
          <w:color w:val="000000"/>
          <w:sz w:val="32"/>
          <w:lang w:val="en-US" w:eastAsia="zh-CN"/>
        </w:rPr>
        <w:t>截至2024年底</w:t>
      </w:r>
      <w:r>
        <w:rPr>
          <w:rFonts w:hint="eastAsia" w:ascii="宋体" w:hAnsi="宋体" w:eastAsia="仿宋_GB2312"/>
          <w:color w:val="000000"/>
          <w:sz w:val="32"/>
        </w:rPr>
        <w:t>省级孵化基地</w:t>
      </w:r>
      <w:r>
        <w:rPr>
          <w:rFonts w:hint="eastAsia" w:ascii="宋体" w:hAnsi="宋体"/>
          <w:color w:val="000000"/>
          <w:sz w:val="32"/>
          <w:lang w:eastAsia="zh-CN"/>
        </w:rPr>
        <w:t>逐年削减（</w:t>
      </w:r>
      <w:r>
        <w:rPr>
          <w:rFonts w:hint="eastAsia" w:ascii="宋体" w:hAnsi="宋体" w:eastAsia="仿宋_GB2312"/>
          <w:color w:val="000000"/>
          <w:sz w:val="32"/>
        </w:rPr>
        <w:t>撤销率</w:t>
      </w:r>
      <w:r>
        <w:rPr>
          <w:rFonts w:hint="eastAsia" w:ascii="宋体" w:hAnsi="宋体"/>
          <w:color w:val="000000"/>
          <w:sz w:val="32"/>
          <w:lang w:eastAsia="zh-CN"/>
        </w:rPr>
        <w:t>为</w:t>
      </w:r>
      <w:r>
        <w:rPr>
          <w:rFonts w:hint="eastAsia" w:ascii="宋体" w:hAnsi="宋体" w:eastAsia="仿宋_GB2312"/>
          <w:color w:val="000000"/>
          <w:sz w:val="32"/>
        </w:rPr>
        <w:t>12.54%</w:t>
      </w:r>
      <w:r>
        <w:rPr>
          <w:rFonts w:hint="eastAsia" w:ascii="宋体" w:hAnsi="宋体"/>
          <w:color w:val="000000"/>
          <w:sz w:val="32"/>
          <w:lang w:eastAsia="zh-CN"/>
        </w:rPr>
        <w:t>），</w:t>
      </w:r>
      <w:r>
        <w:rPr>
          <w:rFonts w:hint="eastAsia" w:ascii="宋体" w:hAnsi="宋体" w:eastAsia="仿宋_GB2312"/>
          <w:color w:val="000000"/>
          <w:sz w:val="32"/>
        </w:rPr>
        <w:t>基地过度依赖财政补贴，自身缺乏持续运营与孵化能力，奖补资金的政策引导效果被显著弱化。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宋体" w:hAnsi="宋体" w:eastAsia="楷体"/>
          <w:color w:val="000000"/>
          <w:sz w:val="32"/>
          <w:lang w:val="en-US" w:eastAsia="zh-CN"/>
        </w:rPr>
      </w:pPr>
      <w:r>
        <w:rPr>
          <w:rFonts w:hint="eastAsia" w:ascii="宋体" w:hAnsi="宋体" w:eastAsia="楷体"/>
          <w:color w:val="000000"/>
          <w:sz w:val="32"/>
        </w:rPr>
        <w:t>（</w:t>
      </w:r>
      <w:r>
        <w:rPr>
          <w:rFonts w:hint="eastAsia" w:ascii="宋体" w:hAnsi="宋体" w:eastAsia="楷体"/>
          <w:color w:val="000000"/>
          <w:sz w:val="32"/>
          <w:lang w:val="en-US" w:eastAsia="zh-CN"/>
        </w:rPr>
        <w:t>四</w:t>
      </w:r>
      <w:r>
        <w:rPr>
          <w:rFonts w:hint="eastAsia" w:ascii="宋体" w:hAnsi="宋体" w:eastAsia="楷体"/>
          <w:color w:val="000000"/>
          <w:sz w:val="32"/>
        </w:rPr>
        <w:t>）</w:t>
      </w:r>
      <w:r>
        <w:rPr>
          <w:rFonts w:hint="eastAsia" w:ascii="宋体" w:hAnsi="宋体" w:eastAsia="楷体"/>
          <w:color w:val="000000"/>
          <w:sz w:val="32"/>
          <w:lang w:val="en-US" w:eastAsia="zh-CN"/>
        </w:rPr>
        <w:t>有关建议</w:t>
      </w:r>
      <w:bookmarkStart w:id="0" w:name="_Toc1962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1.优化“专精特新”认定和资金奖补机制</w:t>
      </w:r>
      <w:bookmarkEnd w:id="0"/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优化“专精特新”企业认定标准，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低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技术含量、低附加值等非工业企业实施限制性申报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，对</w:t>
      </w:r>
      <w:r>
        <w:rPr>
          <w:rFonts w:hint="eastAsia" w:ascii="宋体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省重点产业链、工业“六基”及战略性新兴产业、未来产业领域重点支持。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优化奖补资金下达方式，对奖补资金进行分批下达。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32521"/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2.强化制度执行与资金监管</w:t>
      </w:r>
      <w:bookmarkEnd w:id="1"/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建立企业动态管理机制，对已认定企业发现不符合条件的情形，取消资格并追回资金。</w:t>
      </w:r>
      <w:r>
        <w:rPr>
          <w:rFonts w:hint="eastAsia" w:ascii="宋体" w:hAnsi="宋体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宋体" w:hAnsi="宋体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建立健全政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银企联动机制，主管部门与金融机构加强信息共享，精准对接企业名单，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在信贷方面给予有效支持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1"/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2" w:name="_Toc29187"/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3.强化资源协同与创新，推动产业培训与基地升级</w:t>
      </w:r>
      <w:bookmarkEnd w:id="2"/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。一是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针对培训项目，主管部门应发挥自身职能作用，有效对接培训实践资源，推动实践基地与培训课程精准匹配。在培训机构的遴选</w:t>
      </w:r>
      <w:r>
        <w:rPr>
          <w:rFonts w:hint="eastAsia" w:ascii="宋体" w:hAnsi="宋体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中，重点关注培训机构对接实地教学资源能力和独自承担实践课程能力。</w:t>
      </w:r>
      <w:r>
        <w:rPr>
          <w:rFonts w:hint="eastAsia" w:ascii="宋体" w:hAnsi="宋体" w:eastAsia="仿宋_GB2312" w:cs="仿宋_GB2312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建立孵化基地梯度培育机制，对已认定的省级孵化基地实施动态考核机制，并根据考核综合排名分档</w:t>
      </w:r>
      <w:r>
        <w:rPr>
          <w:rFonts w:hint="eastAsia" w:ascii="宋体" w:hAnsi="宋体" w:cs="仿宋_GB2312"/>
          <w:b w:val="0"/>
          <w:bCs w:val="0"/>
          <w:color w:val="auto"/>
          <w:sz w:val="32"/>
          <w:szCs w:val="32"/>
          <w:lang w:val="en-US" w:eastAsia="zh-CN"/>
        </w:rPr>
        <w:t>予以资金支持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。在孵化基地认定工作中，集中资源培育优质孵化基地。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/>
          <w:color w:val="000000"/>
          <w:sz w:val="32"/>
        </w:rPr>
      </w:pPr>
      <w:bookmarkStart w:id="3" w:name="_GoBack"/>
      <w:bookmarkEnd w:id="3"/>
    </w:p>
    <w:sectPr>
      <w:footerReference r:id="rId3" w:type="default"/>
      <w:pgSz w:w="11906" w:h="16838"/>
      <w:pgMar w:top="2041" w:right="1701" w:bottom="1871" w:left="1701" w:header="851" w:footer="992" w:gutter="0"/>
      <w:pgNumType w:fmt="decimal"/>
      <w:cols w:space="0" w:num="1"/>
      <w:rtlGutter w:val="0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PSEMBED16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17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PSEMBED3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4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WPSEMBED27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509C"/>
    <w:rsid w:val="01EF572E"/>
    <w:rsid w:val="045E5BB2"/>
    <w:rsid w:val="089874B3"/>
    <w:rsid w:val="097835E6"/>
    <w:rsid w:val="0BC60C29"/>
    <w:rsid w:val="0F0C198E"/>
    <w:rsid w:val="117064A6"/>
    <w:rsid w:val="138F33EA"/>
    <w:rsid w:val="151B2B28"/>
    <w:rsid w:val="15F414E3"/>
    <w:rsid w:val="18D2392C"/>
    <w:rsid w:val="1BBC4835"/>
    <w:rsid w:val="1F3B6D00"/>
    <w:rsid w:val="1F627176"/>
    <w:rsid w:val="20737D17"/>
    <w:rsid w:val="24510F5B"/>
    <w:rsid w:val="251E08E6"/>
    <w:rsid w:val="298D75BA"/>
    <w:rsid w:val="2F08378E"/>
    <w:rsid w:val="2F210D65"/>
    <w:rsid w:val="30915FB8"/>
    <w:rsid w:val="32BC29A6"/>
    <w:rsid w:val="332E0502"/>
    <w:rsid w:val="375D7BAA"/>
    <w:rsid w:val="385D2189"/>
    <w:rsid w:val="39721679"/>
    <w:rsid w:val="3B5201AE"/>
    <w:rsid w:val="3DC22A59"/>
    <w:rsid w:val="431E012B"/>
    <w:rsid w:val="45CE40AC"/>
    <w:rsid w:val="4A30177C"/>
    <w:rsid w:val="4A810B16"/>
    <w:rsid w:val="4B2074C8"/>
    <w:rsid w:val="4CDC6C79"/>
    <w:rsid w:val="4F4E7EAA"/>
    <w:rsid w:val="50EA3852"/>
    <w:rsid w:val="50F67121"/>
    <w:rsid w:val="54305DDE"/>
    <w:rsid w:val="56BB65AD"/>
    <w:rsid w:val="57FFF99E"/>
    <w:rsid w:val="592714F9"/>
    <w:rsid w:val="5C46053C"/>
    <w:rsid w:val="5DC5269F"/>
    <w:rsid w:val="5F88718B"/>
    <w:rsid w:val="5FF704C5"/>
    <w:rsid w:val="61225E0C"/>
    <w:rsid w:val="61804119"/>
    <w:rsid w:val="622D55F9"/>
    <w:rsid w:val="62B91502"/>
    <w:rsid w:val="62CA5353"/>
    <w:rsid w:val="63E3546E"/>
    <w:rsid w:val="63EF509C"/>
    <w:rsid w:val="64C75CF6"/>
    <w:rsid w:val="65141294"/>
    <w:rsid w:val="68F72706"/>
    <w:rsid w:val="6B94634D"/>
    <w:rsid w:val="730204AC"/>
    <w:rsid w:val="76165993"/>
    <w:rsid w:val="79FF0640"/>
    <w:rsid w:val="7A0E3893"/>
    <w:rsid w:val="7B6F2AB9"/>
    <w:rsid w:val="7B9413C7"/>
    <w:rsid w:val="7E0C5029"/>
    <w:rsid w:val="977FD91B"/>
    <w:rsid w:val="B9C383B7"/>
    <w:rsid w:val="BF7FB248"/>
    <w:rsid w:val="F77FE94C"/>
    <w:rsid w:val="FB4F98C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8949517f-e3df-43ec-bf47-4f72c8362776</errorID>
      <errorWord>”</errorWord>
      <group>L1_Punc</group>
      <groupName>标点问题</groupName>
      <ability>L2_Punc</ability>
      <abilityName>标点符号检查</abilityName>
      <candidateList/>
      <explain/>
      <paraID>774B98C4</paraID>
      <start>7</start>
      <end>8</end>
      <status>ignored</status>
      <modifiedWord/>
      <trackRevisions>false</trackRevisions>
    </reviewItem>
    <reviewItem>
      <errorID>f1f8c8f6-92fd-410c-b48c-9934ca92d722</errorID>
      <errorWord>分配问题</errorWord>
      <group>L1_Grammar</group>
      <groupName>语法问题</groupName>
      <ability>L2_Collocation</ability>
      <abilityName>搭配不当</abilityName>
      <candidateList>
        <item>分配</item>
      </candidateList>
      <explain>句子中可能存在主谓、动宾、定语中心语、状语中心语、补语中心语、关联词搭配不当等问题。</explain>
      <paraID>6B989B8F</paraID>
      <start>237</start>
      <end>241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3d8a66-9e72-4176-962d-d30971f438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1907</Words>
  <Characters>2231</Characters>
  <Lines>0</Lines>
  <Paragraphs>0</Paragraphs>
  <ScaleCrop>false</ScaleCrop>
  <LinksUpToDate>false</LinksUpToDate>
  <CharactersWithSpaces>2231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2025-11-07T04:38:00Z</dcterms:created>
  <dc:creator>武敬轩</dc:creator>
  <cp:lastModifiedBy>lenovo</cp:lastModifiedBy>
  <cp:lastPrinted>2026-01-08T08:11:57Z</cp:lastPrinted>
  <dcterms:modified xsi:type="dcterms:W3CDTF">2026-01-08T08:17:32Z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C3CC6086F3CC48509934D1E8902EBA84_13</vt:lpwstr>
  </property>
  <property fmtid="{D5CDD505-2E9C-101B-9397-08002B2CF9AE}" pid="4" name="KSOTemplateDocerSaveRecord">
    <vt:lpwstr>eyJoZGlkIjoiNTQyNWFjZjY5OTIxMDlhMTc3ZDBkOWM2NDAzYWYwMmYiLCJ1c2VySWQiOiIyNjg3Nzc5ODcifQ==</vt:lpwstr>
  </property>
</Properties>
</file>