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640" w:lineRule="exact"/>
        <w:jc w:val="both"/>
        <w:textAlignment w:val="center"/>
        <w:rPr>
          <w:rFonts w:hint="eastAsia" w:ascii="黑体" w:hAnsi="黑体" w:eastAsia="黑体" w:cs="黑体"/>
          <w:sz w:val="32"/>
          <w:szCs w:val="32"/>
          <w:lang w:eastAsia="zh-CN"/>
        </w:rPr>
      </w:pPr>
      <w:bookmarkStart w:id="0" w:name="_Toc19543"/>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after="0" w:line="640" w:lineRule="exact"/>
        <w:jc w:val="center"/>
        <w:textAlignment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lang w:eastAsia="zh-CN"/>
        </w:rPr>
        <w:t>2024年度商品粮大省奖励资金</w:t>
      </w:r>
    </w:p>
    <w:p>
      <w:pPr>
        <w:spacing w:after="0" w:line="640" w:lineRule="exact"/>
        <w:jc w:val="center"/>
        <w:textAlignment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lang w:eastAsia="zh-CN"/>
        </w:rPr>
        <w:t>（非省级农业保险保费补贴资金部分）</w:t>
      </w:r>
    </w:p>
    <w:p>
      <w:pPr>
        <w:spacing w:after="0" w:line="640" w:lineRule="exact"/>
        <w:jc w:val="center"/>
        <w:textAlignment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rPr>
        <w:t>绩效评价</w:t>
      </w:r>
      <w:r>
        <w:rPr>
          <w:rFonts w:hint="eastAsia" w:ascii="宋体" w:hAnsi="宋体" w:eastAsia="方正小标宋简体" w:cs="方正小标宋简体"/>
          <w:sz w:val="44"/>
          <w:szCs w:val="44"/>
          <w:lang w:eastAsia="zh-CN"/>
        </w:rPr>
        <w:t>报告</w:t>
      </w:r>
    </w:p>
    <w:p>
      <w:pPr>
        <w:pStyle w:val="2"/>
        <w:rPr>
          <w:rFonts w:hint="eastAsia"/>
          <w:lang w:eastAsia="zh-CN"/>
        </w:rPr>
      </w:pPr>
    </w:p>
    <w:bookmarkEnd w:id="0"/>
    <w:p>
      <w:pPr>
        <w:pStyle w:val="3"/>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center"/>
        <w:rPr>
          <w:rFonts w:hint="eastAsia" w:ascii="宋体" w:hAnsi="宋体" w:eastAsia="黑体" w:cs="黑体"/>
          <w:b w:val="0"/>
          <w:bCs/>
          <w:sz w:val="32"/>
          <w:szCs w:val="32"/>
        </w:rPr>
      </w:pPr>
      <w:bookmarkStart w:id="1" w:name="_Toc213675435"/>
      <w:r>
        <w:rPr>
          <w:rFonts w:hint="eastAsia" w:ascii="宋体" w:hAnsi="宋体" w:eastAsia="黑体" w:cs="黑体"/>
          <w:b w:val="0"/>
          <w:bCs/>
          <w:sz w:val="32"/>
          <w:szCs w:val="32"/>
        </w:rPr>
        <w:t>一、基本情况</w:t>
      </w:r>
      <w:bookmarkEnd w:id="1"/>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ascii="宋体" w:hAnsi="宋体" w:eastAsia="楷体" w:cs="楷体"/>
          <w:sz w:val="32"/>
          <w:szCs w:val="32"/>
        </w:rPr>
      </w:pPr>
      <w:bookmarkStart w:id="2" w:name="_Toc213675436"/>
      <w:r>
        <w:rPr>
          <w:rFonts w:ascii="宋体" w:hAnsi="宋体" w:eastAsia="楷体" w:cs="楷体"/>
          <w:sz w:val="32"/>
          <w:szCs w:val="32"/>
        </w:rPr>
        <w:t>（一）项目概况</w:t>
      </w:r>
      <w:bookmarkEnd w:id="2"/>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hint="eastAsia" w:ascii="宋体" w:hAnsi="宋体" w:eastAsia="黑体"/>
          <w:sz w:val="32"/>
        </w:rPr>
        <w:t>1</w:t>
      </w:r>
      <w:r>
        <w:rPr>
          <w:rFonts w:hint="eastAsia" w:ascii="宋体" w:hAnsi="宋体" w:eastAsia="仿宋_GB2312"/>
          <w:sz w:val="32"/>
        </w:rPr>
        <w:t>.主要内容。奖励资金用于产粮大县奖励、粮食仓储设施维修改造和机械设备更新、新型农业经营主体粮食仓储设施、吉林大米和鲜食玉米品牌建设及省级化肥商业储备5个项目。</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color w:val="000000"/>
          <w:sz w:val="32"/>
        </w:rPr>
      </w:pPr>
      <w:r>
        <w:rPr>
          <w:rFonts w:hint="eastAsia" w:ascii="宋体" w:hAnsi="宋体" w:eastAsia="仿宋_GB2312"/>
          <w:sz w:val="32"/>
        </w:rPr>
        <w:t>2.资金投入和使用情况。</w:t>
      </w:r>
      <w:r>
        <w:rPr>
          <w:rFonts w:hint="eastAsia" w:ascii="宋体" w:hAnsi="宋体" w:eastAsia="仿宋_GB2312"/>
          <w:color w:val="000000"/>
          <w:sz w:val="32"/>
        </w:rPr>
        <w:t>2024年度，奖励资金预算安排</w:t>
      </w:r>
      <w:r>
        <w:rPr>
          <w:rFonts w:ascii="宋体" w:hAnsi="宋体" w:eastAsia="仿宋_GB2312"/>
          <w:sz w:val="32"/>
          <w:szCs w:val="32"/>
          <w:lang w:bidi="ar"/>
        </w:rPr>
        <w:t>5.83亿</w:t>
      </w:r>
      <w:r>
        <w:rPr>
          <w:rFonts w:hint="eastAsia" w:ascii="宋体" w:hAnsi="宋体" w:eastAsia="仿宋_GB2312"/>
          <w:color w:val="000000"/>
          <w:sz w:val="32"/>
        </w:rPr>
        <w:t>元，</w:t>
      </w:r>
      <w:r>
        <w:rPr>
          <w:rFonts w:hint="eastAsia" w:ascii="宋体" w:hAnsi="宋体" w:eastAsia="仿宋_GB2312"/>
          <w:sz w:val="32"/>
          <w:szCs w:val="32"/>
          <w:lang w:bidi="ar"/>
        </w:rPr>
        <w:t>截至2025年9月30日，</w:t>
      </w:r>
      <w:r>
        <w:rPr>
          <w:rFonts w:hint="eastAsia" w:ascii="宋体" w:hAnsi="宋体" w:eastAsia="仿宋_GB2312"/>
          <w:color w:val="000000"/>
          <w:sz w:val="32"/>
        </w:rPr>
        <w:t>资金实际到位2.87亿元，资金到位率为49.27%。实际执行资金2.58亿元，预算执行率为89.66%。</w:t>
      </w:r>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ascii="宋体" w:hAnsi="宋体" w:eastAsia="楷体" w:cs="楷体"/>
          <w:sz w:val="32"/>
          <w:szCs w:val="32"/>
        </w:rPr>
      </w:pPr>
      <w:bookmarkStart w:id="3" w:name="_Toc213675437"/>
      <w:r>
        <w:rPr>
          <w:rFonts w:ascii="宋体" w:hAnsi="宋体" w:eastAsia="楷体" w:cs="楷体"/>
          <w:sz w:val="32"/>
          <w:szCs w:val="32"/>
        </w:rPr>
        <w:t>（二）项目绩效目标</w:t>
      </w:r>
      <w:bookmarkEnd w:id="3"/>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hint="eastAsia" w:ascii="宋体" w:hAnsi="宋体" w:eastAsia="仿宋_GB2312"/>
          <w:sz w:val="32"/>
        </w:rPr>
      </w:pPr>
      <w:r>
        <w:rPr>
          <w:rFonts w:hint="eastAsia" w:ascii="宋体" w:hAnsi="宋体" w:eastAsia="仿宋_GB2312"/>
          <w:sz w:val="32"/>
        </w:rPr>
        <w:t>通过建设仓储设施、更新设备、危仓老库维修改造等，提升粮食收储加工能力与存储安全；通过开展品牌营销、搭建</w:t>
      </w:r>
      <w:r>
        <w:rPr>
          <w:rFonts w:hint="eastAsia" w:ascii="宋体" w:hAnsi="宋体" w:eastAsia="仿宋_GB2312"/>
          <w:color w:val="000000"/>
          <w:sz w:val="32"/>
          <w:szCs w:val="32"/>
          <w:lang w:bidi="ar"/>
        </w:rPr>
        <w:t>“吉田认购”</w:t>
      </w:r>
      <w:r>
        <w:rPr>
          <w:rFonts w:hint="eastAsia" w:ascii="宋体" w:hAnsi="宋体" w:eastAsia="仿宋_GB2312"/>
          <w:sz w:val="32"/>
        </w:rPr>
        <w:t>平台，</w:t>
      </w:r>
      <w:r>
        <w:rPr>
          <w:rFonts w:hint="eastAsia" w:ascii="宋体" w:hAnsi="宋体" w:eastAsia="仿宋_GB2312"/>
          <w:color w:val="000000"/>
          <w:sz w:val="32"/>
          <w:szCs w:val="32"/>
          <w:lang w:bidi="ar"/>
        </w:rPr>
        <w:t>提高品牌的知名度</w:t>
      </w:r>
      <w:r>
        <w:rPr>
          <w:rFonts w:hint="eastAsia" w:ascii="宋体" w:hAnsi="宋体" w:eastAsia="仿宋_GB2312"/>
          <w:sz w:val="32"/>
        </w:rPr>
        <w:t>；通过补助化肥承储企业，稳定春耕化肥供应与价格。</w:t>
      </w:r>
      <w:bookmarkStart w:id="4" w:name="_Toc213675441"/>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ascii="宋体" w:hAnsi="宋体" w:eastAsia="楷体" w:cs="楷体"/>
          <w:sz w:val="32"/>
          <w:szCs w:val="32"/>
        </w:rPr>
      </w:pPr>
      <w:r>
        <w:rPr>
          <w:rFonts w:ascii="宋体" w:hAnsi="宋体" w:eastAsia="楷体" w:cs="楷体"/>
          <w:sz w:val="32"/>
          <w:szCs w:val="32"/>
        </w:rPr>
        <w:t>（</w:t>
      </w:r>
      <w:r>
        <w:rPr>
          <w:rFonts w:hint="eastAsia" w:ascii="宋体" w:hAnsi="宋体" w:eastAsia="楷体" w:cs="楷体"/>
          <w:sz w:val="32"/>
          <w:szCs w:val="32"/>
          <w:lang w:eastAsia="zh-CN"/>
        </w:rPr>
        <w:t>三</w:t>
      </w:r>
      <w:r>
        <w:rPr>
          <w:rFonts w:ascii="宋体" w:hAnsi="宋体" w:eastAsia="楷体" w:cs="楷体"/>
          <w:sz w:val="32"/>
          <w:szCs w:val="32"/>
        </w:rPr>
        <w:t>）项目工作成效</w:t>
      </w:r>
      <w:bookmarkEnd w:id="4"/>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hint="eastAsia" w:ascii="宋体" w:hAnsi="宋体" w:eastAsia="仿宋_GB2312"/>
          <w:sz w:val="32"/>
        </w:rPr>
        <w:t>粮食仓储设施建设工作完成80.95%；车间及实验室建设完成33.33%；仓储设施维修改造完成86.60%；烘干塔的建设完成87.18%；机器设备购置完成87.47%。培育了33户“吉田认购”企业，3个区域品牌成功跻身全国地理标志品牌百强榜。完成了化肥存储任务，保障我省春耕期间化肥供应和价格基本稳定。</w:t>
      </w:r>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hint="eastAsia" w:ascii="黑体" w:hAnsi="黑体" w:eastAsia="黑体" w:cs="黑体"/>
          <w:sz w:val="32"/>
          <w:szCs w:val="32"/>
        </w:rPr>
      </w:pPr>
      <w:bookmarkStart w:id="5" w:name="_Toc213675442"/>
      <w:r>
        <w:rPr>
          <w:rFonts w:hint="eastAsia" w:ascii="黑体" w:hAnsi="黑体" w:eastAsia="黑体" w:cs="黑体"/>
          <w:sz w:val="32"/>
          <w:szCs w:val="32"/>
          <w:lang w:eastAsia="zh-CN"/>
        </w:rPr>
        <w:t>二、</w:t>
      </w:r>
      <w:r>
        <w:rPr>
          <w:rFonts w:hint="eastAsia" w:ascii="黑体" w:hAnsi="黑体" w:eastAsia="黑体" w:cs="黑体"/>
          <w:sz w:val="32"/>
          <w:szCs w:val="32"/>
        </w:rPr>
        <w:t>存在的问题</w:t>
      </w:r>
      <w:bookmarkEnd w:id="5"/>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ascii="宋体" w:hAnsi="宋体" w:eastAsia="仿宋_GB2312"/>
          <w:b/>
          <w:bCs/>
          <w:sz w:val="32"/>
        </w:rPr>
        <w:t>1.市县资金到位率低，影响政策实施效果</w:t>
      </w:r>
      <w:r>
        <w:rPr>
          <w:rFonts w:hint="eastAsia" w:ascii="宋体" w:hAnsi="宋体" w:eastAsia="仿宋_GB2312"/>
          <w:b/>
          <w:bCs/>
          <w:sz w:val="32"/>
        </w:rPr>
        <w:t>。</w:t>
      </w:r>
      <w:r>
        <w:rPr>
          <w:rFonts w:hint="eastAsia" w:ascii="宋体" w:hAnsi="宋体" w:eastAsia="仿宋_GB2312"/>
          <w:sz w:val="32"/>
        </w:rPr>
        <w:t>2024年省商品粮大省奖励资金安排共计58314万元，实际到位资金28729万元，资金到位率49.27%，未到位资金29585万元。其中，产粮大县奖励项目未到位资金28493万元；新型农业经营主体粮食仓储设施项目未到位资金1092万元。</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ascii="宋体" w:hAnsi="宋体" w:eastAsia="仿宋_GB2312"/>
          <w:b/>
          <w:bCs/>
          <w:sz w:val="32"/>
        </w:rPr>
        <w:t>2.市县管理规范性不足，主体责任未落实</w:t>
      </w:r>
      <w:r>
        <w:rPr>
          <w:rFonts w:hint="eastAsia" w:ascii="宋体" w:hAnsi="宋体" w:eastAsia="仿宋_GB2312"/>
          <w:b/>
          <w:bCs/>
          <w:sz w:val="32"/>
        </w:rPr>
        <w:t>。一是</w:t>
      </w:r>
      <w:r>
        <w:rPr>
          <w:rFonts w:hint="eastAsia" w:ascii="宋体" w:hAnsi="宋体" w:eastAsia="仿宋_GB2312"/>
          <w:sz w:val="32"/>
        </w:rPr>
        <w:t>制度办法不健全。抽查的15个市县中，有4个未按要求制定地方管理办法。</w:t>
      </w:r>
      <w:r>
        <w:rPr>
          <w:rFonts w:hint="eastAsia" w:ascii="宋体" w:hAnsi="宋体" w:eastAsia="仿宋_GB2312"/>
          <w:b/>
          <w:bCs/>
          <w:sz w:val="32"/>
        </w:rPr>
        <w:t>二是</w:t>
      </w:r>
      <w:r>
        <w:rPr>
          <w:rFonts w:hint="eastAsia" w:ascii="宋体" w:hAnsi="宋体" w:eastAsia="仿宋_GB2312"/>
          <w:sz w:val="32"/>
        </w:rPr>
        <w:t>立项审核把关不严。磐石、珲春、辉南等16个市县在产粮大县奖励资金项目上审核不力，导致部分项目无法实施，大量资金闲置，涉及资金9891万元。</w:t>
      </w:r>
      <w:r>
        <w:rPr>
          <w:rFonts w:hint="eastAsia" w:ascii="宋体" w:hAnsi="宋体" w:eastAsia="仿宋_GB2312"/>
          <w:b/>
          <w:bCs/>
          <w:sz w:val="32"/>
        </w:rPr>
        <w:t>三是</w:t>
      </w:r>
      <w:r>
        <w:rPr>
          <w:rFonts w:hint="eastAsia" w:ascii="宋体" w:hAnsi="宋体" w:eastAsia="仿宋_GB2312"/>
          <w:sz w:val="32"/>
        </w:rPr>
        <w:t>项目监管不到位。截至2025年9月30日，有40个项目工期滞后未能按时完工。</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ascii="宋体" w:hAnsi="宋体" w:eastAsia="仿宋_GB2312"/>
          <w:b/>
          <w:bCs/>
          <w:sz w:val="32"/>
        </w:rPr>
        <w:t>3.全过程预算绩效管理未有效落实</w:t>
      </w:r>
      <w:r>
        <w:rPr>
          <w:rFonts w:hint="eastAsia" w:ascii="宋体" w:hAnsi="宋体" w:eastAsia="仿宋_GB2312"/>
          <w:b/>
          <w:bCs/>
          <w:sz w:val="32"/>
        </w:rPr>
        <w:t>。一是</w:t>
      </w:r>
      <w:r>
        <w:rPr>
          <w:rFonts w:hint="eastAsia" w:ascii="宋体" w:hAnsi="宋体" w:eastAsia="仿宋_GB2312"/>
          <w:sz w:val="32"/>
        </w:rPr>
        <w:t>预算绩效管理制度不完善。省级层面绩效目标未细化量化，导致市县缺乏依据，普遍存在目标设定笼统、标准不一问题，造成管理虚化、结果应用不足。</w:t>
      </w:r>
      <w:r>
        <w:rPr>
          <w:rFonts w:hint="eastAsia" w:ascii="宋体" w:hAnsi="宋体" w:eastAsia="仿宋_GB2312"/>
          <w:b/>
          <w:bCs/>
          <w:sz w:val="32"/>
        </w:rPr>
        <w:t>二是</w:t>
      </w:r>
      <w:r>
        <w:rPr>
          <w:rFonts w:hint="eastAsia" w:ascii="宋体" w:hAnsi="宋体" w:eastAsia="仿宋_GB2312"/>
          <w:sz w:val="32"/>
        </w:rPr>
        <w:t>绩效监控与自评执行不实。绩效监控未有效落实，自评结果失真，部分项目及多数市县自评数据与实际情况严重不符，且存在项目未开展自评的情况。</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ascii="宋体" w:hAnsi="宋体" w:eastAsia="仿宋_GB2312"/>
          <w:b/>
          <w:bCs/>
          <w:sz w:val="32"/>
        </w:rPr>
        <w:t>4.资金使用存在“撒胡椒面”现象，直接带动农户效果不佳</w:t>
      </w:r>
      <w:r>
        <w:rPr>
          <w:rFonts w:hint="eastAsia" w:ascii="宋体" w:hAnsi="宋体" w:eastAsia="仿宋_GB2312"/>
          <w:b/>
          <w:bCs/>
          <w:sz w:val="32"/>
        </w:rPr>
        <w:t>。一是</w:t>
      </w:r>
      <w:r>
        <w:rPr>
          <w:rFonts w:hint="eastAsia" w:ascii="宋体" w:hAnsi="宋体" w:eastAsia="仿宋_GB2312"/>
          <w:sz w:val="32"/>
        </w:rPr>
        <w:t>资金使用分散化，难以形成规模效应。产粮大县奖励项目支持的补助资金不足50万元的企业有31个，占比22.42%；51-100万元的企业有31个，占比22.42%；101-200万元的企业有42个，占比30.43%；200万元以上的企业有34个，占比24.64%。资金支持众多小型、分散、薄弱的企业，难以对当地粮食产业起到带动效果。</w:t>
      </w:r>
      <w:r>
        <w:rPr>
          <w:rFonts w:hint="eastAsia" w:ascii="宋体" w:hAnsi="宋体" w:eastAsia="仿宋_GB2312"/>
          <w:b/>
          <w:bCs/>
          <w:sz w:val="32"/>
        </w:rPr>
        <w:t>二是</w:t>
      </w:r>
      <w:r>
        <w:rPr>
          <w:rFonts w:hint="eastAsia" w:ascii="宋体" w:hAnsi="宋体" w:eastAsia="仿宋_GB2312"/>
          <w:b w:val="0"/>
          <w:bCs w:val="0"/>
          <w:sz w:val="32"/>
          <w:szCs w:val="32"/>
        </w:rPr>
        <w:t>资金投入无法有效聚焦政策核心目标</w:t>
      </w:r>
      <w:r>
        <w:rPr>
          <w:rFonts w:hint="eastAsia" w:ascii="宋体" w:hAnsi="宋体" w:eastAsia="仿宋_GB2312"/>
          <w:b w:val="0"/>
          <w:bCs w:val="0"/>
          <w:sz w:val="32"/>
        </w:rPr>
        <w:t>。省</w:t>
      </w:r>
      <w:r>
        <w:rPr>
          <w:rFonts w:hint="eastAsia" w:ascii="宋体" w:hAnsi="宋体" w:eastAsia="仿宋_GB2312"/>
          <w:sz w:val="32"/>
        </w:rPr>
        <w:t>级层面缺乏统筹，导致</w:t>
      </w:r>
      <w:r>
        <w:rPr>
          <w:rFonts w:hint="eastAsia" w:ascii="宋体" w:hAnsi="宋体" w:eastAsia="仿宋_GB2312"/>
          <w:sz w:val="32"/>
          <w:lang w:eastAsia="zh-CN"/>
        </w:rPr>
        <w:t>部分</w:t>
      </w:r>
      <w:r>
        <w:rPr>
          <w:rFonts w:hint="eastAsia" w:ascii="宋体" w:hAnsi="宋体" w:eastAsia="仿宋_GB2312"/>
          <w:sz w:val="32"/>
        </w:rPr>
        <w:t>资金支持的项目与提升收储能力、保障粮食安全等核心目标关联不强。如支持采购小型设备的资金投入11024万元，占比为18.90%，平均单价低，难以在降低损耗、带动农户等方面产生突出成效，削弱了资金整体效益。</w:t>
      </w:r>
    </w:p>
    <w:p>
      <w:pPr>
        <w:pStyle w:val="4"/>
        <w:pageBreakBefore w:val="0"/>
        <w:widowControl w:val="0"/>
        <w:kinsoku/>
        <w:wordWrap/>
        <w:overflowPunct/>
        <w:topLinePunct w:val="0"/>
        <w:autoSpaceDE/>
        <w:autoSpaceDN/>
        <w:bidi w:val="0"/>
        <w:spacing w:after="0" w:line="560" w:lineRule="exact"/>
        <w:ind w:left="0" w:leftChars="0" w:right="0" w:rightChars="0" w:firstLine="640" w:firstLineChars="200"/>
        <w:textAlignment w:val="center"/>
        <w:rPr>
          <w:rFonts w:hint="eastAsia" w:ascii="黑体" w:hAnsi="黑体" w:eastAsia="黑体" w:cs="黑体"/>
          <w:sz w:val="32"/>
          <w:szCs w:val="32"/>
        </w:rPr>
      </w:pPr>
      <w:bookmarkStart w:id="6" w:name="_Toc213675443"/>
      <w:r>
        <w:rPr>
          <w:rFonts w:hint="eastAsia" w:ascii="黑体" w:hAnsi="黑体" w:eastAsia="黑体" w:cs="黑体"/>
          <w:sz w:val="32"/>
          <w:szCs w:val="32"/>
          <w:lang w:eastAsia="zh-CN"/>
        </w:rPr>
        <w:t>三、</w:t>
      </w:r>
      <w:r>
        <w:rPr>
          <w:rFonts w:hint="eastAsia" w:ascii="黑体" w:hAnsi="黑体" w:eastAsia="黑体" w:cs="黑体"/>
          <w:sz w:val="32"/>
          <w:szCs w:val="32"/>
        </w:rPr>
        <w:t>有关建议</w:t>
      </w:r>
      <w:bookmarkEnd w:id="6"/>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ascii="宋体" w:hAnsi="宋体" w:eastAsia="仿宋_GB2312"/>
          <w:b/>
          <w:bCs/>
          <w:sz w:val="32"/>
        </w:rPr>
        <w:t>1.建立健全市县财政资金支付考核机制，全面提升资金使用效益</w:t>
      </w:r>
      <w:r>
        <w:rPr>
          <w:rFonts w:hint="eastAsia" w:ascii="宋体" w:hAnsi="宋体" w:eastAsia="仿宋_GB2312"/>
          <w:b/>
          <w:bCs/>
          <w:sz w:val="32"/>
        </w:rPr>
        <w:t>。</w:t>
      </w:r>
      <w:r>
        <w:rPr>
          <w:rFonts w:hint="eastAsia" w:ascii="宋体" w:hAnsi="宋体" w:eastAsia="仿宋_GB2312"/>
          <w:sz w:val="32"/>
        </w:rPr>
        <w:t>建立监控与督办机制，对支付进度实行月调度并反馈结果，并将支付进度与绩效硬挂钩，对执行不力的市县启动问责，纠治不作为等问题。</w:t>
      </w:r>
      <w:bookmarkStart w:id="7" w:name="_GoBack"/>
      <w:bookmarkEnd w:id="7"/>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hint="eastAsia" w:ascii="宋体" w:hAnsi="宋体" w:eastAsia="仿宋_GB2312"/>
          <w:b/>
          <w:bCs/>
          <w:sz w:val="32"/>
        </w:rPr>
        <w:t>2.</w:t>
      </w:r>
      <w:r>
        <w:rPr>
          <w:rFonts w:ascii="宋体" w:hAnsi="宋体" w:eastAsia="仿宋_GB2312"/>
          <w:b/>
          <w:bCs/>
          <w:sz w:val="32"/>
        </w:rPr>
        <w:t>健全制度体系，落实市县主体责任</w:t>
      </w:r>
      <w:r>
        <w:rPr>
          <w:rFonts w:hint="eastAsia" w:ascii="宋体" w:hAnsi="宋体" w:eastAsia="仿宋_GB2312"/>
          <w:b/>
          <w:bCs/>
          <w:sz w:val="32"/>
        </w:rPr>
        <w:t>。一是</w:t>
      </w:r>
      <w:r>
        <w:rPr>
          <w:rFonts w:hint="eastAsia" w:ascii="宋体" w:hAnsi="宋体" w:eastAsia="仿宋_GB2312"/>
          <w:sz w:val="32"/>
        </w:rPr>
        <w:t>省级主管部门应督促相关市县加快管理制度建设，确保要求落实。</w:t>
      </w:r>
      <w:r>
        <w:rPr>
          <w:rFonts w:hint="eastAsia" w:ascii="宋体" w:hAnsi="宋体" w:eastAsia="仿宋_GB2312"/>
          <w:b/>
          <w:bCs/>
          <w:sz w:val="32"/>
        </w:rPr>
        <w:t>二是</w:t>
      </w:r>
      <w:r>
        <w:rPr>
          <w:rFonts w:hint="eastAsia" w:ascii="宋体" w:hAnsi="宋体" w:eastAsia="仿宋_GB2312"/>
          <w:sz w:val="32"/>
        </w:rPr>
        <w:t>市县主管部门应规范立项审核，保障项目有效实施。</w:t>
      </w:r>
      <w:r>
        <w:rPr>
          <w:rFonts w:hint="eastAsia" w:ascii="宋体" w:hAnsi="宋体" w:eastAsia="仿宋_GB2312"/>
          <w:b/>
          <w:bCs/>
          <w:sz w:val="32"/>
        </w:rPr>
        <w:t>三是</w:t>
      </w:r>
      <w:r>
        <w:rPr>
          <w:rFonts w:hint="eastAsia" w:ascii="宋体" w:hAnsi="宋体" w:eastAsia="仿宋_GB2312"/>
          <w:sz w:val="32"/>
        </w:rPr>
        <w:t>市县主管部门需履行全过程监管职责，加强从方案填报到验收各环节的监督，并建立预警机制，对风险及时研判与干预。</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ascii="宋体" w:hAnsi="宋体" w:eastAsia="仿宋_GB2312"/>
          <w:sz w:val="32"/>
        </w:rPr>
      </w:pPr>
      <w:r>
        <w:rPr>
          <w:rFonts w:hint="eastAsia" w:ascii="宋体" w:hAnsi="宋体" w:eastAsia="仿宋_GB2312"/>
          <w:b/>
          <w:bCs/>
          <w:sz w:val="32"/>
        </w:rPr>
        <w:t>3.</w:t>
      </w:r>
      <w:r>
        <w:rPr>
          <w:rFonts w:ascii="宋体" w:hAnsi="宋体" w:eastAsia="仿宋_GB2312"/>
          <w:b/>
          <w:bCs/>
          <w:sz w:val="32"/>
        </w:rPr>
        <w:t>强化项目全过程绩效管理与监督</w:t>
      </w:r>
      <w:r>
        <w:rPr>
          <w:rFonts w:hint="eastAsia" w:ascii="宋体" w:hAnsi="宋体" w:eastAsia="仿宋_GB2312"/>
          <w:b/>
          <w:bCs/>
          <w:sz w:val="32"/>
        </w:rPr>
        <w:t>。一是</w:t>
      </w:r>
      <w:r>
        <w:rPr>
          <w:rFonts w:hint="eastAsia" w:ascii="宋体" w:hAnsi="宋体" w:eastAsia="仿宋_GB2312"/>
          <w:sz w:val="32"/>
        </w:rPr>
        <w:t>科学制定绩效目标。省级层面需规范目标框架，细化量化整体目标；市县层面应指导资金单位制定清晰可衡量的具体目标。</w:t>
      </w:r>
      <w:r>
        <w:rPr>
          <w:rFonts w:hint="eastAsia" w:ascii="宋体" w:hAnsi="宋体" w:eastAsia="仿宋_GB2312"/>
          <w:b/>
          <w:bCs/>
          <w:sz w:val="32"/>
        </w:rPr>
        <w:t>二是</w:t>
      </w:r>
      <w:r>
        <w:rPr>
          <w:rFonts w:hint="eastAsia" w:ascii="宋体" w:hAnsi="宋体" w:eastAsia="仿宋_GB2312"/>
          <w:sz w:val="32"/>
        </w:rPr>
        <w:t>严格执行绩效监控。市县主管部门须将绩效监控作为资金拨付与管理的必要环节常态化开展。</w:t>
      </w:r>
      <w:r>
        <w:rPr>
          <w:rFonts w:hint="eastAsia" w:ascii="宋体" w:hAnsi="宋体" w:eastAsia="仿宋_GB2312"/>
          <w:b/>
          <w:bCs/>
          <w:sz w:val="32"/>
        </w:rPr>
        <w:t>三是</w:t>
      </w:r>
      <w:r>
        <w:rPr>
          <w:rFonts w:hint="eastAsia" w:ascii="宋体" w:hAnsi="宋体" w:eastAsia="仿宋_GB2312"/>
          <w:sz w:val="32"/>
        </w:rPr>
        <w:t>扎实组织绩效自评。项目结束后，市县主管部门需组织开展自评，并对结果真实性严格审核，对虚假填报严肃追责。</w:t>
      </w:r>
    </w:p>
    <w:p>
      <w:pPr>
        <w:pageBreakBefore w:val="0"/>
        <w:widowControl w:val="0"/>
        <w:kinsoku/>
        <w:wordWrap/>
        <w:overflowPunct/>
        <w:topLinePunct w:val="0"/>
        <w:autoSpaceDE/>
        <w:autoSpaceDN/>
        <w:bidi w:val="0"/>
        <w:adjustRightInd w:val="0"/>
        <w:snapToGrid w:val="0"/>
        <w:spacing w:after="0" w:line="560" w:lineRule="exact"/>
        <w:ind w:left="0" w:leftChars="0" w:right="0" w:rightChars="0" w:firstLine="640"/>
        <w:textAlignment w:val="center"/>
        <w:rPr>
          <w:rFonts w:hint="eastAsia"/>
        </w:rPr>
      </w:pPr>
      <w:r>
        <w:rPr>
          <w:rFonts w:hint="eastAsia" w:ascii="宋体" w:hAnsi="宋体" w:eastAsia="仿宋_GB2312"/>
          <w:b/>
          <w:bCs/>
          <w:sz w:val="32"/>
        </w:rPr>
        <w:t>4.</w:t>
      </w:r>
      <w:r>
        <w:rPr>
          <w:rFonts w:ascii="宋体" w:hAnsi="宋体" w:eastAsia="仿宋_GB2312"/>
          <w:b/>
          <w:bCs/>
          <w:sz w:val="32"/>
        </w:rPr>
        <w:t>优化资金分配方式，集中财力解决聚焦政策核心目标</w:t>
      </w:r>
      <w:r>
        <w:rPr>
          <w:rFonts w:hint="eastAsia" w:ascii="宋体" w:hAnsi="宋体" w:eastAsia="仿宋_GB2312"/>
          <w:b/>
          <w:bCs/>
          <w:sz w:val="32"/>
        </w:rPr>
        <w:t>。一是</w:t>
      </w:r>
      <w:r>
        <w:rPr>
          <w:rFonts w:hint="eastAsia" w:ascii="宋体" w:hAnsi="宋体" w:eastAsia="仿宋_GB2312"/>
          <w:sz w:val="32"/>
        </w:rPr>
        <w:t>全面实行项目法分配，强化省级战略统筹。建立省级项目储备库，经市县筛选推荐成熟项目入库，作为申报和资金安排的基本依据。</w:t>
      </w:r>
      <w:r>
        <w:rPr>
          <w:rFonts w:hint="eastAsia" w:ascii="宋体" w:hAnsi="宋体" w:eastAsia="仿宋_GB2312"/>
          <w:b/>
          <w:bCs/>
          <w:sz w:val="32"/>
        </w:rPr>
        <w:t>二是</w:t>
      </w:r>
      <w:r>
        <w:rPr>
          <w:rFonts w:hint="eastAsia" w:ascii="宋体" w:hAnsi="宋体" w:eastAsia="仿宋_GB2312"/>
          <w:sz w:val="32"/>
        </w:rPr>
        <w:t>精准聚焦核心环节，突出资金支持重点。资金应集中投向粮仓建设、烘干设备购置等能直接提升粮食产后处理能力、降低损耗的关键领域。</w:t>
      </w:r>
    </w:p>
    <w:sectPr>
      <w:footerReference r:id="rId3" w:type="default"/>
      <w:pgSz w:w="11906" w:h="16838"/>
      <w:pgMar w:top="2041" w:right="1701" w:bottom="1871" w:left="1701" w:header="850" w:footer="1587" w:gutter="0"/>
      <w:pgNumType w:start="1"/>
      <w:cols w:space="0"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Bold">
    <w:altName w:val="黑体"/>
    <w:panose1 w:val="020B08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6">
    <w:altName w:val="宋体"/>
    <w:panose1 w:val="02010609030101010101"/>
    <w:charset w:val="86"/>
    <w:family w:val="auto"/>
    <w:pitch w:val="default"/>
    <w:sig w:usb0="00000000" w:usb1="00000000" w:usb2="00000000" w:usb3="00000000" w:csb0="00040000" w:csb1="00000000"/>
  </w:font>
  <w:font w:name="WPSEMBED17">
    <w:altName w:val="宋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WPSEMBED3">
    <w:altName w:val="宋体"/>
    <w:panose1 w:val="02010609030101010101"/>
    <w:charset w:val="86"/>
    <w:family w:val="auto"/>
    <w:pitch w:val="default"/>
    <w:sig w:usb0="00000000" w:usb1="00000000" w:usb2="00000000" w:usb3="00000000" w:csb0="00040000" w:csb1="00000000"/>
  </w:font>
  <w:font w:name="WPSEMBED4">
    <w:altName w:val="宋体"/>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2312">
    <w:altName w:val="仿宋"/>
    <w:panose1 w:val="02000000000000000000"/>
    <w:charset w:val="86"/>
    <w:family w:val="auto"/>
    <w:pitch w:val="default"/>
    <w:sig w:usb0="00000000" w:usb1="00000000" w:usb2="00000000" w:usb3="00000000" w:csb0="00000000" w:csb1="00000000"/>
  </w:font>
  <w:font w:name="WPSEMBED27">
    <w:altName w:val="宋体"/>
    <w:panose1 w:val="02010609030101010101"/>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JkYzBjN2E3ZDA0YjBlNjIyMWIyOTZkNDhkNDcifQ=="/>
  </w:docVars>
  <w:rsids>
    <w:rsidRoot w:val="00172A27"/>
    <w:rsid w:val="000263CE"/>
    <w:rsid w:val="00087B1D"/>
    <w:rsid w:val="00091244"/>
    <w:rsid w:val="000912B1"/>
    <w:rsid w:val="000A328A"/>
    <w:rsid w:val="000B635E"/>
    <w:rsid w:val="000D0273"/>
    <w:rsid w:val="00151262"/>
    <w:rsid w:val="0016262D"/>
    <w:rsid w:val="00163087"/>
    <w:rsid w:val="00172A27"/>
    <w:rsid w:val="002051D8"/>
    <w:rsid w:val="00220259"/>
    <w:rsid w:val="00221032"/>
    <w:rsid w:val="00263E92"/>
    <w:rsid w:val="0027635E"/>
    <w:rsid w:val="002A2F84"/>
    <w:rsid w:val="002A418E"/>
    <w:rsid w:val="002A594D"/>
    <w:rsid w:val="002C059F"/>
    <w:rsid w:val="002C0DC8"/>
    <w:rsid w:val="002D5452"/>
    <w:rsid w:val="0031343A"/>
    <w:rsid w:val="00341810"/>
    <w:rsid w:val="00361774"/>
    <w:rsid w:val="00391B36"/>
    <w:rsid w:val="003A4828"/>
    <w:rsid w:val="00441BA2"/>
    <w:rsid w:val="00452C54"/>
    <w:rsid w:val="004662BC"/>
    <w:rsid w:val="00482E85"/>
    <w:rsid w:val="004F6605"/>
    <w:rsid w:val="0053490F"/>
    <w:rsid w:val="005B29AC"/>
    <w:rsid w:val="005C2DA1"/>
    <w:rsid w:val="005D553D"/>
    <w:rsid w:val="0060400C"/>
    <w:rsid w:val="006130FD"/>
    <w:rsid w:val="00641C39"/>
    <w:rsid w:val="00677304"/>
    <w:rsid w:val="006B5C13"/>
    <w:rsid w:val="006C71B0"/>
    <w:rsid w:val="00777A47"/>
    <w:rsid w:val="007B0839"/>
    <w:rsid w:val="00800A80"/>
    <w:rsid w:val="008204A7"/>
    <w:rsid w:val="009A4F86"/>
    <w:rsid w:val="009D0C6F"/>
    <w:rsid w:val="009D1464"/>
    <w:rsid w:val="00B06638"/>
    <w:rsid w:val="00B11B75"/>
    <w:rsid w:val="00B517D8"/>
    <w:rsid w:val="00BB16EF"/>
    <w:rsid w:val="00BE2CA5"/>
    <w:rsid w:val="00C2021F"/>
    <w:rsid w:val="00C361EC"/>
    <w:rsid w:val="00CB6688"/>
    <w:rsid w:val="00D040E8"/>
    <w:rsid w:val="00D16987"/>
    <w:rsid w:val="00D20AD3"/>
    <w:rsid w:val="00D85661"/>
    <w:rsid w:val="00D87A6D"/>
    <w:rsid w:val="00DA3365"/>
    <w:rsid w:val="00DF1016"/>
    <w:rsid w:val="00E01F3C"/>
    <w:rsid w:val="00EA5422"/>
    <w:rsid w:val="00EB004B"/>
    <w:rsid w:val="00EE449C"/>
    <w:rsid w:val="00F035F5"/>
    <w:rsid w:val="00F155B3"/>
    <w:rsid w:val="00F3757C"/>
    <w:rsid w:val="00F44E3D"/>
    <w:rsid w:val="00F71111"/>
    <w:rsid w:val="00F804F7"/>
    <w:rsid w:val="00FA3F37"/>
    <w:rsid w:val="00FA62DC"/>
    <w:rsid w:val="00FF718C"/>
    <w:rsid w:val="02EE68DC"/>
    <w:rsid w:val="04050CD8"/>
    <w:rsid w:val="09BC6F62"/>
    <w:rsid w:val="0ACD73CA"/>
    <w:rsid w:val="0B7A0E83"/>
    <w:rsid w:val="0BAC2E3E"/>
    <w:rsid w:val="0DD82CCB"/>
    <w:rsid w:val="0EAC34F1"/>
    <w:rsid w:val="10A9036A"/>
    <w:rsid w:val="10BC2E5D"/>
    <w:rsid w:val="10D63A86"/>
    <w:rsid w:val="12360048"/>
    <w:rsid w:val="12A051A2"/>
    <w:rsid w:val="16322F3E"/>
    <w:rsid w:val="16ED2360"/>
    <w:rsid w:val="17624D0D"/>
    <w:rsid w:val="186B0427"/>
    <w:rsid w:val="18864E8A"/>
    <w:rsid w:val="19803C7C"/>
    <w:rsid w:val="19AA4652"/>
    <w:rsid w:val="1A965847"/>
    <w:rsid w:val="1FEF4154"/>
    <w:rsid w:val="22773079"/>
    <w:rsid w:val="234C4337"/>
    <w:rsid w:val="24D06184"/>
    <w:rsid w:val="26E4591B"/>
    <w:rsid w:val="29727D30"/>
    <w:rsid w:val="2A8E79BE"/>
    <w:rsid w:val="2E6B2CA4"/>
    <w:rsid w:val="2FA73DC0"/>
    <w:rsid w:val="2FBC69E5"/>
    <w:rsid w:val="309E7352"/>
    <w:rsid w:val="30E913C7"/>
    <w:rsid w:val="320F0E39"/>
    <w:rsid w:val="335C6645"/>
    <w:rsid w:val="3E276660"/>
    <w:rsid w:val="43416092"/>
    <w:rsid w:val="434478EB"/>
    <w:rsid w:val="4463057B"/>
    <w:rsid w:val="44EF2CE6"/>
    <w:rsid w:val="46ED23CE"/>
    <w:rsid w:val="48886540"/>
    <w:rsid w:val="49D1471A"/>
    <w:rsid w:val="4E7F39A6"/>
    <w:rsid w:val="4EA37F01"/>
    <w:rsid w:val="549D2762"/>
    <w:rsid w:val="55A02966"/>
    <w:rsid w:val="579E4151"/>
    <w:rsid w:val="598E1C42"/>
    <w:rsid w:val="5A3F4B6B"/>
    <w:rsid w:val="5BF750A4"/>
    <w:rsid w:val="5C2703C9"/>
    <w:rsid w:val="5D240524"/>
    <w:rsid w:val="5EFF3DBD"/>
    <w:rsid w:val="5F2F11D7"/>
    <w:rsid w:val="632B322F"/>
    <w:rsid w:val="66120D39"/>
    <w:rsid w:val="662B2D1E"/>
    <w:rsid w:val="67872951"/>
    <w:rsid w:val="69DC0918"/>
    <w:rsid w:val="6CD04A00"/>
    <w:rsid w:val="6E4613CA"/>
    <w:rsid w:val="6F2238A9"/>
    <w:rsid w:val="79891FC1"/>
    <w:rsid w:val="7B9C0560"/>
    <w:rsid w:val="7F9B54F0"/>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adjustRightInd w:val="0"/>
      <w:jc w:val="left"/>
      <w:outlineLvl w:val="1"/>
    </w:pPr>
    <w:rPr>
      <w:rFonts w:hint="eastAsia" w:ascii="Times New Roman" w:hAnsi="Times New Roman" w:eastAsia="Times New Roman"/>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Normal Indent"/>
    <w:basedOn w:val="1"/>
    <w:next w:val="1"/>
    <w:unhideWhenUsed/>
    <w:qFormat/>
    <w:uiPriority w:val="0"/>
    <w:pPr>
      <w:ind w:firstLine="420"/>
    </w:pPr>
  </w:style>
  <w:style w:type="paragraph" w:styleId="6">
    <w:name w:val="Body Text"/>
    <w:basedOn w:val="1"/>
    <w:link w:val="17"/>
    <w:qFormat/>
    <w:uiPriority w:val="0"/>
    <w:pPr>
      <w:widowControl/>
      <w:kinsoku w:val="0"/>
      <w:autoSpaceDE w:val="0"/>
      <w:autoSpaceDN w:val="0"/>
      <w:adjustRightInd w:val="0"/>
      <w:snapToGrid w:val="0"/>
      <w:spacing w:after="0"/>
      <w:jc w:val="left"/>
    </w:pPr>
    <w:rPr>
      <w:rFonts w:ascii="Arial" w:hAnsi="Arial" w:eastAsia="Arial"/>
      <w:color w:val="000000"/>
      <w:kern w:val="0"/>
      <w:szCs w:val="21"/>
    </w:r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0"/>
    <w:pPr>
      <w:tabs>
        <w:tab w:val="center" w:pos="4153"/>
        <w:tab w:val="right" w:pos="8306"/>
      </w:tabs>
      <w:snapToGrid w:val="0"/>
    </w:pPr>
    <w:rPr>
      <w:sz w:val="18"/>
    </w:rPr>
  </w:style>
  <w:style w:type="paragraph" w:styleId="9">
    <w:name w:val="toc 2"/>
    <w:basedOn w:val="1"/>
    <w:next w:val="1"/>
    <w:qFormat/>
    <w:uiPriority w:val="39"/>
    <w:pPr>
      <w:ind w:left="420" w:leftChars="200"/>
    </w:pPr>
  </w:style>
  <w:style w:type="paragraph" w:styleId="10">
    <w:name w:val="Normal (Web)"/>
    <w:basedOn w:val="1"/>
    <w:unhideWhenUsed/>
    <w:qFormat/>
    <w:uiPriority w:val="0"/>
    <w:pPr>
      <w:widowControl/>
      <w:spacing w:beforeAutospacing="1" w:afterAutospacing="1"/>
      <w:jc w:val="left"/>
    </w:pPr>
    <w:rPr>
      <w:rFonts w:ascii="宋体" w:hAnsi="宋体"/>
      <w:kern w:val="0"/>
      <w:sz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customStyle="1" w:styleId="14">
    <w:name w:val="闻政正文"/>
    <w:basedOn w:val="1"/>
    <w:unhideWhenUsed/>
    <w:qFormat/>
    <w:uiPriority w:val="0"/>
    <w:pPr>
      <w:spacing w:line="500" w:lineRule="exact"/>
      <w:ind w:firstLine="560" w:firstLineChars="200"/>
    </w:pPr>
    <w:rPr>
      <w:rFonts w:hint="eastAsia" w:ascii="Times New Roman" w:hAnsi="Times New Roman" w:eastAsia="Times New Roman"/>
      <w:kern w:val="0"/>
      <w:sz w:val="28"/>
    </w:rPr>
  </w:style>
  <w:style w:type="paragraph" w:customStyle="1" w:styleId="15">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16">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17">
    <w:name w:val="正文文本 字符"/>
    <w:basedOn w:val="11"/>
    <w:link w:val="6"/>
    <w:qFormat/>
    <w:uiPriority w:val="0"/>
    <w:rPr>
      <w:rFonts w:hint="default" w:ascii="Arial" w:hAnsi="Arial" w:eastAsia="Arial" w:cs="Arial"/>
      <w:snapToGrid/>
      <w:color w:val="000000"/>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B8D46-A2ED-43F3-ACC4-404BC008F038}">
  <ds:schemaRefs/>
</ds:datastoreItem>
</file>

<file path=docProps/app.xml><?xml version="1.0" encoding="utf-8"?>
<Properties xmlns="http://schemas.openxmlformats.org/officeDocument/2006/extended-properties" xmlns:vt="http://schemas.openxmlformats.org/officeDocument/2006/docPropsVTypes">
  <Template>Normal</Template>
  <Pages>6</Pages>
  <Words>477</Words>
  <Characters>2722</Characters>
  <Lines>22</Lines>
  <Paragraphs>6</Paragraphs>
  <ScaleCrop>false</ScaleCrop>
  <LinksUpToDate>false</LinksUpToDate>
  <CharactersWithSpaces>3193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2025-03-11T05:20:00Z</dcterms:created>
  <dc:creator>Administrator</dc:creator>
  <cp:lastModifiedBy>lenovo</cp:lastModifiedBy>
  <cp:lastPrinted>2026-01-08T08:10:00Z</cp:lastPrinted>
  <dcterms:modified xsi:type="dcterms:W3CDTF">2026-01-09T01:11:59Z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AFFE199416EA42D2A5C95F6C38CB6E36</vt:lpwstr>
  </property>
</Properties>
</file>