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吉林省罚没财物管理办法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eastAsia" w:ascii="黑体" w:hAnsi="黑体" w:eastAsia="黑体" w:cs="黑体"/>
          <w:color w:val="auto"/>
          <w:sz w:val="30"/>
          <w:szCs w:val="30"/>
          <w:highlight w:val="none"/>
        </w:rPr>
        <w:t xml:space="preserve">第一条 </w:t>
      </w:r>
      <w:r>
        <w:rPr>
          <w:rFonts w:hint="default" w:ascii="仿宋" w:hAnsi="仿宋" w:eastAsia="仿宋"/>
          <w:color w:val="auto"/>
          <w:sz w:val="30"/>
          <w:szCs w:val="30"/>
          <w:highlight w:val="none"/>
        </w:rPr>
        <w:t>为规范和加强罚没财物管理，防止国家财产损失，保护自然人、法人和非法人组织的合法权益，根据《中华人民共和国预算法》、《中华人民共和国行政处罚法》，以及财政部《罚没财物管理办法》（财税〔2020〕54号）等法律、行政法规及相关规定，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第二条 </w:t>
      </w:r>
      <w:r>
        <w:rPr>
          <w:rFonts w:hint="default" w:ascii="仿宋" w:hAnsi="仿宋" w:eastAsia="仿宋"/>
          <w:color w:val="auto"/>
          <w:sz w:val="30"/>
          <w:szCs w:val="30"/>
          <w:highlight w:val="none"/>
        </w:rPr>
        <w:t>本办法适用于本省行政区域内罚没财物的移交、保管、处置，以及罚没收入上缴和预算管理等活动。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法律、行政法规对罚没财物管理另有规定的，从其规定。涉及国家秘密、商业秘密、个人隐私的罚没财物</w:t>
      </w:r>
      <w:r>
        <w:rPr>
          <w:rFonts w:hint="eastAsia" w:ascii="仿宋" w:hAnsi="仿宋" w:eastAsia="仿宋"/>
          <w:color w:val="auto"/>
          <w:sz w:val="30"/>
          <w:szCs w:val="30"/>
          <w:highlight w:val="none"/>
          <w:lang w:eastAsia="zh-CN"/>
        </w:rPr>
        <w:t>，</w:t>
      </w:r>
      <w:r>
        <w:rPr>
          <w:rFonts w:hint="default" w:ascii="仿宋" w:hAnsi="仿宋" w:eastAsia="仿宋"/>
          <w:color w:val="auto"/>
          <w:sz w:val="30"/>
          <w:szCs w:val="30"/>
          <w:highlight w:val="none"/>
        </w:rPr>
        <w:t>应当</w:t>
      </w:r>
      <w:r>
        <w:rPr>
          <w:rFonts w:hint="eastAsia" w:ascii="仿宋" w:hAnsi="仿宋" w:eastAsia="仿宋"/>
          <w:color w:val="auto"/>
          <w:sz w:val="30"/>
          <w:szCs w:val="30"/>
          <w:highlight w:val="none"/>
          <w:lang w:eastAsia="zh-CN"/>
        </w:rPr>
        <w:t>按</w:t>
      </w:r>
      <w:r>
        <w:rPr>
          <w:rFonts w:hint="default" w:ascii="仿宋" w:hAnsi="仿宋" w:eastAsia="仿宋"/>
          <w:color w:val="auto"/>
          <w:sz w:val="30"/>
          <w:szCs w:val="30"/>
          <w:highlight w:val="none"/>
        </w:rPr>
        <w:t>保密相关规定执行。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第三条 </w:t>
      </w:r>
      <w:r>
        <w:rPr>
          <w:rFonts w:hint="default" w:ascii="仿宋" w:hAnsi="仿宋" w:eastAsia="仿宋"/>
          <w:color w:val="auto"/>
          <w:sz w:val="30"/>
          <w:szCs w:val="30"/>
          <w:highlight w:val="none"/>
        </w:rPr>
        <w:t>本办法所称罚没财物，是指执法机关依法对自然人、法人和非法人组织作出行政处罚决定，没收、追缴决定或者依据法院生效裁定、判决所取得的罚款、罚金、违法所得、非法财物，以及没收的保证金、个人财产等，包括现金、有价票证、有价证券、动产、不动产和其他财产权利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本办法所称执法机关，是指各级行政机关、监察机关、审判机关、检察机关，以及法律法规授权的具有管理公共事务职能的事业单位和组织。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本办法所称罚没收入是指罚款、罚金等现金收入，罚没财物处置收入及其孳息。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第四条 </w:t>
      </w:r>
      <w:r>
        <w:rPr>
          <w:rFonts w:hint="default" w:ascii="仿宋" w:hAnsi="仿宋" w:eastAsia="仿宋"/>
          <w:color w:val="auto"/>
          <w:sz w:val="30"/>
          <w:szCs w:val="30"/>
          <w:highlight w:val="none"/>
        </w:rPr>
        <w:t>罚没财物管理工作遵循规范接收、分类保管、依法处置、及时缴库的全流程管控原则，实行罚款决定与罚款收缴相分离，财物收缴与保管、处置岗位相分离，罚没收入与经费保障相分离。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第五条 </w:t>
      </w:r>
      <w:r>
        <w:rPr>
          <w:rFonts w:hint="default" w:ascii="仿宋" w:hAnsi="仿宋" w:eastAsia="仿宋"/>
          <w:color w:val="auto"/>
          <w:sz w:val="30"/>
          <w:szCs w:val="30"/>
          <w:highlight w:val="none"/>
        </w:rPr>
        <w:t>各级财政部门主管本行政区域内罚没财物的管理工作</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省财政厅负责制定全省罚没财物管理制度，指导、监督各地区、各部门的罚没财物管理工作</w:t>
      </w:r>
      <w:r>
        <w:rPr>
          <w:rFonts w:hint="eastAsia" w:ascii="仿宋" w:hAnsi="仿宋" w:eastAsia="仿宋"/>
          <w:color w:val="auto"/>
          <w:sz w:val="30"/>
          <w:szCs w:val="30"/>
          <w:highlight w:val="none"/>
        </w:rPr>
        <w:t>。</w:t>
      </w:r>
      <w:r>
        <w:rPr>
          <w:rFonts w:hint="default" w:ascii="仿宋" w:hAnsi="仿宋" w:eastAsia="仿宋"/>
          <w:color w:val="auto"/>
          <w:sz w:val="30"/>
          <w:szCs w:val="30"/>
          <w:highlight w:val="none"/>
        </w:rPr>
        <w:t>省级有关执法机关可根据本办法，负责制定本系统罚没财物管理具体实施办法，指导本系统罚没财物管理工作。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市县财政部门负责制定当地罚没财物管理制度，并指导、监督本行政区域内各有关单位的罚没财物管理工作。市县执法机关、</w:t>
      </w:r>
      <w:r>
        <w:rPr>
          <w:rFonts w:hint="eastAsia" w:ascii="仿宋" w:hAnsi="仿宋" w:eastAsia="仿宋"/>
          <w:color w:val="auto"/>
          <w:sz w:val="30"/>
          <w:szCs w:val="30"/>
          <w:highlight w:val="none"/>
          <w:lang w:eastAsia="zh-CN"/>
        </w:rPr>
        <w:t>各级</w:t>
      </w:r>
      <w:r>
        <w:rPr>
          <w:rFonts w:hint="default" w:ascii="仿宋" w:hAnsi="仿宋" w:eastAsia="仿宋"/>
          <w:color w:val="auto"/>
          <w:sz w:val="30"/>
          <w:szCs w:val="30"/>
          <w:highlight w:val="none"/>
        </w:rPr>
        <w:t>公物仓等单位负责制定本单位罚没财物管理操作规范，在本单位职责范围内履行罚没财物管理主体责任。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w:t>
      </w:r>
      <w:r>
        <w:rPr>
          <w:rFonts w:hint="eastAsia" w:ascii="黑体" w:hAnsi="黑体" w:eastAsia="黑体" w:cs="黑体"/>
          <w:color w:val="auto"/>
          <w:sz w:val="30"/>
          <w:szCs w:val="30"/>
          <w:highlight w:val="none"/>
          <w:lang w:eastAsia="zh-CN"/>
        </w:rPr>
        <w:t>六</w:t>
      </w:r>
      <w:r>
        <w:rPr>
          <w:rFonts w:hint="default" w:ascii="黑体" w:hAnsi="黑体" w:eastAsia="黑体" w:cs="黑体"/>
          <w:color w:val="auto"/>
          <w:sz w:val="30"/>
          <w:szCs w:val="30"/>
          <w:highlight w:val="none"/>
        </w:rPr>
        <w:t xml:space="preserve">条 </w:t>
      </w:r>
      <w:r>
        <w:rPr>
          <w:rFonts w:hint="default" w:ascii="仿宋" w:hAnsi="仿宋" w:eastAsia="仿宋"/>
          <w:color w:val="auto"/>
          <w:sz w:val="30"/>
          <w:szCs w:val="30"/>
          <w:highlight w:val="none"/>
        </w:rPr>
        <w:t>执法机关出具的没收、追缴决定或法院生效裁定、判决中应明确罚没财物的缴库级次。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t>第二章 移交与保管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第七条 </w:t>
      </w:r>
      <w:r>
        <w:rPr>
          <w:rFonts w:hint="default" w:ascii="仿宋" w:hAnsi="仿宋" w:eastAsia="仿宋"/>
          <w:color w:val="auto"/>
          <w:sz w:val="30"/>
          <w:szCs w:val="30"/>
          <w:highlight w:val="none"/>
        </w:rPr>
        <w:t>本省对罚没财物实行集中统一管理</w:t>
      </w:r>
      <w:r>
        <w:rPr>
          <w:rFonts w:hint="eastAsia" w:ascii="仿宋" w:hAnsi="仿宋" w:eastAsia="仿宋"/>
          <w:color w:val="auto"/>
          <w:sz w:val="30"/>
          <w:szCs w:val="30"/>
          <w:highlight w:val="none"/>
          <w:lang w:eastAsia="zh-CN"/>
        </w:rPr>
        <w:t>，</w:t>
      </w:r>
      <w:r>
        <w:rPr>
          <w:rFonts w:hint="default" w:ascii="仿宋" w:hAnsi="仿宋" w:eastAsia="仿宋"/>
          <w:color w:val="auto"/>
          <w:sz w:val="30"/>
          <w:szCs w:val="30"/>
          <w:highlight w:val="none"/>
        </w:rPr>
        <w:t>县级以上人民政府应设立本级公物仓。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第八条 </w:t>
      </w:r>
      <w:r>
        <w:rPr>
          <w:rFonts w:hint="default" w:ascii="仿宋" w:hAnsi="仿宋" w:eastAsia="仿宋"/>
          <w:color w:val="auto"/>
          <w:sz w:val="30"/>
          <w:szCs w:val="30"/>
          <w:highlight w:val="none"/>
        </w:rPr>
        <w:t>公物仓的设置应遵循安全、高效、便捷和节约的原则，优先利用现有公物仓、执法机关罚没物品保管仓库，或通过购买服务等方式选择社会仓库作为罚没物品集中保管场所。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第九条</w:t>
      </w:r>
      <w:r>
        <w:rPr>
          <w:rFonts w:hint="eastAsia" w:ascii="黑体" w:hAnsi="黑体" w:eastAsia="黑体" w:cs="黑体"/>
          <w:color w:val="auto"/>
          <w:sz w:val="30"/>
          <w:szCs w:val="30"/>
          <w:highlight w:val="none"/>
          <w:lang w:val="en-US" w:eastAsia="zh-CN"/>
        </w:rPr>
        <w:t xml:space="preserve"> </w:t>
      </w:r>
      <w:r>
        <w:rPr>
          <w:rFonts w:hint="default" w:ascii="仿宋" w:hAnsi="仿宋" w:eastAsia="仿宋"/>
          <w:color w:val="auto"/>
          <w:sz w:val="30"/>
          <w:szCs w:val="30"/>
          <w:highlight w:val="none"/>
        </w:rPr>
        <w:t>公物仓应具备防火、防水、防腐、防疫、防盗等基础安全条件，并安装视频监控、防盗报警等安全设备。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lang w:eastAsia="zh-CN"/>
        </w:rPr>
      </w:pPr>
      <w:r>
        <w:rPr>
          <w:rFonts w:hint="default" w:ascii="黑体" w:hAnsi="黑体" w:eastAsia="黑体" w:cs="黑体"/>
          <w:color w:val="auto"/>
          <w:sz w:val="30"/>
          <w:szCs w:val="30"/>
          <w:highlight w:val="none"/>
        </w:rPr>
        <w:t xml:space="preserve">第十条 </w:t>
      </w:r>
      <w:r>
        <w:rPr>
          <w:rFonts w:hint="default" w:ascii="仿宋" w:hAnsi="仿宋" w:eastAsia="仿宋"/>
          <w:color w:val="auto"/>
          <w:sz w:val="30"/>
          <w:szCs w:val="30"/>
          <w:highlight w:val="none"/>
        </w:rPr>
        <w:t>执法机关应当将通过行政处罚决定、没收、追缴决定或法院生效裁定、判决取得的罚没财物，自没收之日起5个工作日内，</w:t>
      </w:r>
      <w:r>
        <w:rPr>
          <w:rFonts w:hint="eastAsia" w:ascii="仿宋" w:hAnsi="仿宋" w:eastAsia="仿宋"/>
          <w:color w:val="auto"/>
          <w:sz w:val="30"/>
          <w:szCs w:val="30"/>
          <w:highlight w:val="none"/>
          <w:lang w:eastAsia="zh-CN"/>
        </w:rPr>
        <w:t>在</w:t>
      </w:r>
      <w:r>
        <w:rPr>
          <w:rFonts w:hint="default" w:ascii="仿宋" w:hAnsi="仿宋" w:eastAsia="仿宋"/>
          <w:color w:val="auto"/>
          <w:sz w:val="30"/>
          <w:szCs w:val="30"/>
          <w:highlight w:val="none"/>
        </w:rPr>
        <w:t>吉林省罚没财物信息管理系统申报罚没财物信息</w:t>
      </w:r>
      <w:r>
        <w:rPr>
          <w:rFonts w:hint="eastAsia" w:ascii="仿宋" w:hAnsi="仿宋" w:eastAsia="仿宋"/>
          <w:color w:val="auto"/>
          <w:sz w:val="30"/>
          <w:szCs w:val="30"/>
          <w:highlight w:val="none"/>
          <w:lang w:eastAsia="zh-CN"/>
        </w:rPr>
        <w:t>，上缴同级财政部门，其中：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eastAsia" w:ascii="仿宋" w:hAnsi="仿宋" w:eastAsia="仿宋"/>
          <w:color w:val="auto"/>
          <w:sz w:val="30"/>
          <w:szCs w:val="30"/>
          <w:highlight w:val="none"/>
          <w:lang w:val="en-US" w:eastAsia="zh-CN"/>
        </w:rPr>
        <w:t>（一）</w:t>
      </w:r>
      <w:r>
        <w:rPr>
          <w:rFonts w:hint="default" w:ascii="仿宋" w:hAnsi="仿宋" w:eastAsia="仿宋"/>
          <w:color w:val="auto"/>
          <w:sz w:val="30"/>
          <w:szCs w:val="30"/>
          <w:highlight w:val="none"/>
        </w:rPr>
        <w:t>对属于国家规定可自由流通、买卖的</w:t>
      </w:r>
      <w:r>
        <w:rPr>
          <w:rFonts w:hint="eastAsia" w:ascii="仿宋" w:hAnsi="仿宋" w:eastAsia="仿宋"/>
          <w:color w:val="auto"/>
          <w:sz w:val="30"/>
          <w:szCs w:val="30"/>
          <w:highlight w:val="none"/>
          <w:lang w:eastAsia="zh-CN"/>
        </w:rPr>
        <w:t>罚没</w:t>
      </w:r>
      <w:r>
        <w:rPr>
          <w:rFonts w:hint="default" w:ascii="仿宋" w:hAnsi="仿宋" w:eastAsia="仿宋"/>
          <w:color w:val="auto"/>
          <w:sz w:val="30"/>
          <w:szCs w:val="30"/>
          <w:highlight w:val="none"/>
        </w:rPr>
        <w:t>物品，执法机关应在</w:t>
      </w:r>
      <w:r>
        <w:rPr>
          <w:rFonts w:hint="eastAsia" w:ascii="仿宋" w:hAnsi="仿宋" w:eastAsia="仿宋"/>
          <w:color w:val="auto"/>
          <w:sz w:val="30"/>
          <w:szCs w:val="30"/>
          <w:highlight w:val="none"/>
          <w:lang w:eastAsia="zh-CN"/>
        </w:rPr>
        <w:t>取得</w:t>
      </w:r>
      <w:r>
        <w:rPr>
          <w:rFonts w:hint="default" w:ascii="仿宋" w:hAnsi="仿宋" w:eastAsia="仿宋"/>
          <w:color w:val="auto"/>
          <w:sz w:val="30"/>
          <w:szCs w:val="30"/>
          <w:highlight w:val="none"/>
        </w:rPr>
        <w:t>之日起</w:t>
      </w:r>
      <w:r>
        <w:rPr>
          <w:rFonts w:hint="eastAsia" w:ascii="仿宋" w:hAnsi="仿宋" w:eastAsia="仿宋"/>
          <w:color w:val="auto"/>
          <w:sz w:val="30"/>
          <w:szCs w:val="30"/>
          <w:highlight w:val="none"/>
          <w:lang w:val="en-US" w:eastAsia="zh-CN"/>
        </w:rPr>
        <w:t>30</w:t>
      </w:r>
      <w:r>
        <w:rPr>
          <w:rFonts w:hint="default" w:ascii="仿宋" w:hAnsi="仿宋" w:eastAsia="仿宋"/>
          <w:color w:val="auto"/>
          <w:sz w:val="30"/>
          <w:szCs w:val="30"/>
          <w:highlight w:val="none"/>
        </w:rPr>
        <w:t>个工作日内将罚没物品及其必要证明文件移送至公物仓，财政部门依据吉林省罚没财物信息管理系统登记情况予以接收。</w:t>
      </w:r>
      <w:r>
        <w:rPr>
          <w:rFonts w:hint="eastAsia" w:ascii="仿宋" w:hAnsi="仿宋" w:eastAsia="仿宋"/>
          <w:color w:val="auto"/>
          <w:sz w:val="30"/>
          <w:szCs w:val="30"/>
          <w:highlight w:val="none"/>
          <w:lang w:eastAsia="zh-CN"/>
        </w:rPr>
        <w:t>罚没物品接收后，原则上三个月内进入处置程序。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eastAsia" w:ascii="仿宋" w:hAnsi="仿宋" w:eastAsia="仿宋"/>
          <w:color w:val="auto"/>
          <w:sz w:val="30"/>
          <w:szCs w:val="30"/>
          <w:highlight w:val="none"/>
          <w:lang w:eastAsia="zh-CN"/>
        </w:rPr>
        <w:t>（二）</w:t>
      </w:r>
      <w:r>
        <w:rPr>
          <w:rFonts w:hint="default" w:ascii="仿宋" w:hAnsi="仿宋" w:eastAsia="仿宋"/>
          <w:color w:val="auto"/>
          <w:sz w:val="30"/>
          <w:szCs w:val="30"/>
          <w:highlight w:val="none"/>
        </w:rPr>
        <w:t>对其他罚没物品，执法机关应及时与同级财政部门沟通协商，确定移交保管方案。其中，属于国家规定的专卖商品或按规定限制流通的罚没物品，优先利用执法机关罚没物品保管仓库进行保管。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rPr>
      </w:pPr>
      <w:r>
        <w:rPr>
          <w:rFonts w:hint="default" w:ascii="黑体" w:hAnsi="黑体" w:eastAsia="黑体" w:cs="黑体"/>
          <w:color w:val="auto"/>
          <w:sz w:val="30"/>
          <w:szCs w:val="30"/>
          <w:highlight w:val="none"/>
        </w:rPr>
        <w:t>第十</w:t>
      </w:r>
      <w:r>
        <w:rPr>
          <w:rFonts w:hint="eastAsia" w:ascii="黑体" w:hAnsi="黑体" w:eastAsia="黑体" w:cs="黑体"/>
          <w:color w:val="auto"/>
          <w:sz w:val="30"/>
          <w:szCs w:val="30"/>
          <w:highlight w:val="none"/>
          <w:lang w:eastAsia="zh-CN"/>
        </w:rPr>
        <w:t>一</w:t>
      </w:r>
      <w:r>
        <w:rPr>
          <w:rFonts w:hint="default" w:ascii="黑体" w:hAnsi="黑体" w:eastAsia="黑体" w:cs="黑体"/>
          <w:color w:val="auto"/>
          <w:sz w:val="30"/>
          <w:szCs w:val="30"/>
          <w:highlight w:val="none"/>
        </w:rPr>
        <w:t>条</w:t>
      </w:r>
      <w:r>
        <w:rPr>
          <w:rFonts w:hint="default" w:ascii="仿宋_GB2312" w:hAnsi="仿宋_GB2312" w:eastAsia="仿宋_GB2312" w:cs="仿宋_GB2312"/>
          <w:color w:val="auto"/>
          <w:sz w:val="30"/>
          <w:szCs w:val="30"/>
          <w:highlight w:val="none"/>
        </w:rPr>
        <w:t xml:space="preserve"> </w:t>
      </w:r>
      <w:r>
        <w:rPr>
          <w:rFonts w:hint="eastAsia" w:ascii="仿宋" w:hAnsi="仿宋" w:eastAsia="仿宋"/>
          <w:color w:val="auto"/>
          <w:sz w:val="30"/>
          <w:szCs w:val="30"/>
          <w:highlight w:val="none"/>
        </w:rPr>
        <w:t>罚没物品有以下情形，原则上应当就地保管处置，保管处置费用由本级政府部门预算予以安排。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（一）罚没物品经转移可能影响其性能、毁损、灭失的</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（二）有毒、有害、易燃、易爆等特殊物品或需要低温冷藏保存的物品</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（三）运输罚没物品成本较高的</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（四）不动产等罚没物品不在本地的</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（五）捕捞水产品仍然存活、适宜放归的，应放归适宜生存的水域</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（六）其他需要就地保管处置的情形</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有毒、有害、易燃、易爆的危险品，不适宜就地保管处置的，可委托具备条件的危化品专用仓库进行封存管理。</w:t>
      </w:r>
    </w:p>
    <w:p>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第十</w:t>
      </w:r>
      <w:r>
        <w:rPr>
          <w:rFonts w:hint="eastAsia" w:ascii="黑体" w:hAnsi="黑体" w:eastAsia="黑体" w:cs="黑体"/>
          <w:color w:val="auto"/>
          <w:sz w:val="30"/>
          <w:szCs w:val="30"/>
          <w:highlight w:val="none"/>
          <w:lang w:eastAsia="zh-CN"/>
        </w:rPr>
        <w:t>二</w:t>
      </w:r>
      <w:r>
        <w:rPr>
          <w:rFonts w:hint="default" w:ascii="黑体" w:hAnsi="黑体" w:eastAsia="黑体" w:cs="黑体"/>
          <w:color w:val="auto"/>
          <w:sz w:val="30"/>
          <w:szCs w:val="30"/>
          <w:highlight w:val="none"/>
        </w:rPr>
        <w:t xml:space="preserve">条 </w:t>
      </w:r>
      <w:r>
        <w:rPr>
          <w:rFonts w:hint="default" w:ascii="仿宋" w:hAnsi="仿宋" w:eastAsia="仿宋"/>
          <w:color w:val="auto"/>
          <w:sz w:val="30"/>
          <w:szCs w:val="30"/>
          <w:highlight w:val="none"/>
        </w:rPr>
        <w:t>各级财政部门、执法机关</w:t>
      </w:r>
      <w:r>
        <w:rPr>
          <w:rFonts w:hint="eastAsia" w:ascii="仿宋" w:hAnsi="仿宋" w:eastAsia="仿宋"/>
          <w:color w:val="auto"/>
          <w:sz w:val="30"/>
          <w:szCs w:val="30"/>
          <w:highlight w:val="none"/>
          <w:lang w:eastAsia="zh-CN"/>
        </w:rPr>
        <w:t>、公物仓</w:t>
      </w:r>
      <w:r>
        <w:rPr>
          <w:rFonts w:hint="default" w:ascii="仿宋" w:hAnsi="仿宋" w:eastAsia="仿宋"/>
          <w:color w:val="auto"/>
          <w:sz w:val="30"/>
          <w:szCs w:val="30"/>
          <w:highlight w:val="none"/>
        </w:rPr>
        <w:t>应建立健全罚没物品保管制度，规范业务流程和单据管理。具体包括：</w:t>
      </w:r>
    </w:p>
    <w:p>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outlineLvl w:val="9"/>
        <w:rPr>
          <w:rFonts w:hint="default" w:ascii="仿宋" w:hAnsi="仿宋" w:eastAsia="仿宋"/>
          <w:color w:val="auto"/>
          <w:sz w:val="30"/>
          <w:szCs w:val="30"/>
          <w:highlight w:val="none"/>
        </w:rPr>
      </w:pPr>
      <w:r>
        <w:rPr>
          <w:rFonts w:hint="eastAsia" w:ascii="楷体" w:hAnsi="楷体" w:eastAsia="楷体" w:cs="楷体"/>
          <w:color w:val="auto"/>
          <w:sz w:val="30"/>
          <w:szCs w:val="30"/>
          <w:highlight w:val="none"/>
        </w:rPr>
        <w:t>（一）建立台账管理制度。</w:t>
      </w:r>
      <w:r>
        <w:rPr>
          <w:rFonts w:hint="default" w:ascii="仿宋" w:hAnsi="仿宋" w:eastAsia="仿宋"/>
          <w:color w:val="auto"/>
          <w:sz w:val="30"/>
          <w:szCs w:val="30"/>
          <w:highlight w:val="none"/>
        </w:rPr>
        <w:t>执法机关现有罚没物品管理信息系统，应当与财政部门的吉林省罚没财物信息管理系统对接，实现互联互通和信息共享，避免信息重复录入。罚没物品按便捷高效原则“一物一码”原则登记，清楚、准确、全面反映物品的主要属性和特点，完整记录接收入库、保管、处置全过程。</w:t>
      </w:r>
    </w:p>
    <w:p>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outlineLvl w:val="9"/>
        <w:rPr>
          <w:rFonts w:hint="default" w:ascii="仿宋" w:hAnsi="仿宋" w:eastAsia="仿宋"/>
          <w:color w:val="auto"/>
          <w:sz w:val="30"/>
          <w:szCs w:val="30"/>
          <w:highlight w:val="none"/>
        </w:rPr>
      </w:pPr>
      <w:r>
        <w:rPr>
          <w:rFonts w:hint="eastAsia" w:ascii="楷体" w:hAnsi="楷体" w:eastAsia="楷体" w:cs="楷体"/>
          <w:color w:val="auto"/>
          <w:sz w:val="30"/>
          <w:szCs w:val="30"/>
          <w:highlight w:val="none"/>
        </w:rPr>
        <w:t>（二）建立分类保管制度。</w:t>
      </w:r>
      <w:r>
        <w:rPr>
          <w:rFonts w:hint="default" w:ascii="仿宋" w:hAnsi="仿宋" w:eastAsia="仿宋"/>
          <w:color w:val="auto"/>
          <w:sz w:val="30"/>
          <w:szCs w:val="30"/>
          <w:highlight w:val="none"/>
        </w:rPr>
        <w:t>对不同种类的罚没物品，应当分类保管。不断完善提升公物仓储存保管功能，达到满足物品保管温度、湿度、安全等条件要求。对文物、文化艺术品、贵金属、珠宝等贵重罚没物品，应当做到移交、入库、保管、出库全程录音录像，并做好密封保护工作。</w:t>
      </w:r>
    </w:p>
    <w:p>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outlineLvl w:val="9"/>
        <w:rPr>
          <w:rFonts w:hint="default" w:ascii="仿宋" w:hAnsi="仿宋" w:eastAsia="仿宋"/>
          <w:color w:val="auto"/>
          <w:sz w:val="30"/>
          <w:szCs w:val="30"/>
          <w:highlight w:val="none"/>
        </w:rPr>
      </w:pPr>
      <w:r>
        <w:rPr>
          <w:rFonts w:hint="eastAsia" w:ascii="楷体" w:hAnsi="楷体" w:eastAsia="楷体" w:cs="楷体"/>
          <w:color w:val="auto"/>
          <w:sz w:val="30"/>
          <w:szCs w:val="30"/>
          <w:highlight w:val="none"/>
        </w:rPr>
        <w:t>（三）建立安全保卫制度。</w:t>
      </w:r>
      <w:r>
        <w:rPr>
          <w:rFonts w:hint="default" w:ascii="仿宋" w:hAnsi="仿宋" w:eastAsia="仿宋"/>
          <w:color w:val="auto"/>
          <w:sz w:val="30"/>
          <w:szCs w:val="30"/>
          <w:highlight w:val="none"/>
        </w:rPr>
        <w:t>制定日常安全保卫制度和突发事件应急预案，完善应急响应机制，设立专门安全保卫机构，配备安保人员和设施，定期组织培训和演练，落实岗位责任，确保罚没物品妥善保管。</w:t>
      </w:r>
    </w:p>
    <w:p>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楷体" w:hAnsi="楷体" w:eastAsia="楷体" w:cs="楷体"/>
          <w:color w:val="auto"/>
          <w:sz w:val="30"/>
          <w:szCs w:val="30"/>
          <w:highlight w:val="none"/>
        </w:rPr>
        <w:t>（四）建立清查盘存制度。</w:t>
      </w:r>
      <w:r>
        <w:rPr>
          <w:rFonts w:hint="default" w:ascii="仿宋" w:hAnsi="仿宋" w:eastAsia="仿宋"/>
          <w:color w:val="auto"/>
          <w:sz w:val="30"/>
          <w:szCs w:val="30"/>
          <w:highlight w:val="none"/>
        </w:rPr>
        <w:t>每个会计年度，各级财政部门应与执法机关及相应主管部门统一核对罚没物品管理情况，对年度罚没物品进行盘查，做到账账相符、账实相符。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lang w:eastAsia="zh-CN"/>
        </w:rPr>
      </w:pPr>
      <w:r>
        <w:rPr>
          <w:rFonts w:hint="default" w:ascii="黑体" w:hAnsi="黑体" w:eastAsia="黑体" w:cs="黑体"/>
          <w:color w:val="auto"/>
          <w:sz w:val="30"/>
          <w:szCs w:val="30"/>
          <w:highlight w:val="none"/>
        </w:rPr>
        <w:t>第十</w:t>
      </w:r>
      <w:r>
        <w:rPr>
          <w:rFonts w:hint="eastAsia" w:ascii="黑体" w:hAnsi="黑体" w:eastAsia="黑体" w:cs="黑体"/>
          <w:color w:val="auto"/>
          <w:sz w:val="30"/>
          <w:szCs w:val="30"/>
          <w:highlight w:val="none"/>
          <w:lang w:eastAsia="zh-CN"/>
        </w:rPr>
        <w:t>三</w:t>
      </w:r>
      <w:r>
        <w:rPr>
          <w:rFonts w:hint="default" w:ascii="黑体" w:hAnsi="黑体" w:eastAsia="黑体" w:cs="黑体"/>
          <w:color w:val="auto"/>
          <w:sz w:val="30"/>
          <w:szCs w:val="30"/>
          <w:highlight w:val="none"/>
        </w:rPr>
        <w:t xml:space="preserve">条 </w:t>
      </w:r>
      <w:r>
        <w:rPr>
          <w:rFonts w:hint="default" w:ascii="仿宋" w:hAnsi="仿宋" w:eastAsia="仿宋"/>
          <w:color w:val="auto"/>
          <w:sz w:val="30"/>
          <w:szCs w:val="30"/>
          <w:highlight w:val="none"/>
          <w:lang w:eastAsia="zh-CN"/>
        </w:rPr>
        <w:t>公物仓凭执法机关或财政部门批准的文件或单证办理出库手续，并在登记的出库清单上列明，由经办人与提货人共同签名确认，确保出库清单与批准文件、出库罚没物品一致。公物仓无正当理由不得妨碍符合出库规定和手续的罚没物品出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t xml:space="preserve">第三章 </w:t>
      </w:r>
      <w:r>
        <w:rPr>
          <w:rFonts w:hint="eastAsia" w:ascii="黑体" w:hAnsi="黑体" w:eastAsia="黑体" w:cs="黑体"/>
          <w:b w:val="0"/>
          <w:bCs w:val="0"/>
          <w:color w:val="auto"/>
          <w:sz w:val="30"/>
          <w:szCs w:val="30"/>
          <w:highlight w:val="none"/>
          <w:lang w:eastAsia="zh-CN"/>
        </w:rPr>
        <w:t>罚没财物</w:t>
      </w:r>
      <w:r>
        <w:rPr>
          <w:rFonts w:hint="eastAsia" w:ascii="黑体" w:hAnsi="黑体" w:eastAsia="黑体" w:cs="黑体"/>
          <w:b w:val="0"/>
          <w:bCs w:val="0"/>
          <w:color w:val="auto"/>
          <w:sz w:val="30"/>
          <w:szCs w:val="30"/>
          <w:highlight w:val="none"/>
        </w:rPr>
        <w:t>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第十</w:t>
      </w:r>
      <w:r>
        <w:rPr>
          <w:rFonts w:hint="eastAsia" w:ascii="黑体" w:hAnsi="黑体" w:eastAsia="黑体" w:cs="黑体"/>
          <w:color w:val="auto"/>
          <w:sz w:val="30"/>
          <w:szCs w:val="30"/>
          <w:highlight w:val="none"/>
          <w:lang w:eastAsia="zh-CN"/>
        </w:rPr>
        <w:t>四</w:t>
      </w:r>
      <w:r>
        <w:rPr>
          <w:rFonts w:hint="default" w:ascii="黑体" w:hAnsi="黑体" w:eastAsia="黑体" w:cs="黑体"/>
          <w:color w:val="auto"/>
          <w:sz w:val="30"/>
          <w:szCs w:val="30"/>
          <w:highlight w:val="none"/>
        </w:rPr>
        <w:t xml:space="preserve">条 </w:t>
      </w:r>
      <w:r>
        <w:rPr>
          <w:rFonts w:hint="default" w:ascii="仿宋" w:hAnsi="仿宋" w:eastAsia="仿宋"/>
          <w:color w:val="auto"/>
          <w:sz w:val="30"/>
          <w:szCs w:val="30"/>
          <w:highlight w:val="none"/>
        </w:rPr>
        <w:t>罚没财物处置应遵循公开、公平、公正原则，依法分类、定期处置，提高处置效率，降低仓储成本和处置成本，实现处置价值最大化。各级财政部门、执法机关应当按照本办法的规定处置罚没财物</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第十</w:t>
      </w:r>
      <w:r>
        <w:rPr>
          <w:rFonts w:hint="eastAsia" w:ascii="黑体" w:hAnsi="黑体" w:eastAsia="黑体" w:cs="黑体"/>
          <w:color w:val="auto"/>
          <w:sz w:val="30"/>
          <w:szCs w:val="30"/>
          <w:highlight w:val="none"/>
          <w:lang w:eastAsia="zh-CN"/>
        </w:rPr>
        <w:t>五</w:t>
      </w:r>
      <w:r>
        <w:rPr>
          <w:rFonts w:hint="default" w:ascii="黑体" w:hAnsi="黑体" w:eastAsia="黑体" w:cs="黑体"/>
          <w:color w:val="auto"/>
          <w:sz w:val="30"/>
          <w:szCs w:val="30"/>
          <w:highlight w:val="none"/>
        </w:rPr>
        <w:t xml:space="preserve">条 </w:t>
      </w:r>
      <w:r>
        <w:rPr>
          <w:rFonts w:hint="default" w:ascii="仿宋" w:hAnsi="仿宋" w:eastAsia="仿宋"/>
          <w:color w:val="auto"/>
          <w:sz w:val="30"/>
          <w:szCs w:val="30"/>
          <w:highlight w:val="none"/>
        </w:rPr>
        <w:t>除法律法规另有规定外，容易损毁、灭失、变质、保管困难或者保管费用过高、季节性商品等不宜长期保存的物品，长期不使用容易导致机械性能下降、价值贬损的车辆、船艇、电子产品等物品，以及市场价波动较大的债券、股票、基金份额等金融财产和有效期即将届满的汇票、本票、支票等，在确定为罚没物品前，经权利人同意或者申请，并经执法机关负责人批准，可以依法先行处置；权利人不明确的，可以依法公告，公告期满后仍没有权利人同意或者申请的，可以依法先行处置。先行处置所得款项按照涉案现金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第十</w:t>
      </w:r>
      <w:r>
        <w:rPr>
          <w:rFonts w:hint="eastAsia" w:ascii="黑体" w:hAnsi="黑体" w:eastAsia="黑体" w:cs="黑体"/>
          <w:color w:val="auto"/>
          <w:sz w:val="30"/>
          <w:szCs w:val="30"/>
          <w:highlight w:val="none"/>
          <w:lang w:eastAsia="zh-CN"/>
        </w:rPr>
        <w:t>六</w:t>
      </w:r>
      <w:r>
        <w:rPr>
          <w:rFonts w:hint="default" w:ascii="黑体" w:hAnsi="黑体" w:eastAsia="黑体" w:cs="黑体"/>
          <w:color w:val="auto"/>
          <w:sz w:val="30"/>
          <w:szCs w:val="30"/>
          <w:highlight w:val="none"/>
        </w:rPr>
        <w:t xml:space="preserve">条 </w:t>
      </w:r>
      <w:r>
        <w:rPr>
          <w:rFonts w:hint="eastAsia" w:ascii="仿宋" w:hAnsi="仿宋" w:eastAsia="仿宋"/>
          <w:color w:val="auto"/>
          <w:sz w:val="30"/>
          <w:szCs w:val="30"/>
          <w:highlight w:val="none"/>
          <w:lang w:eastAsia="zh-CN"/>
        </w:rPr>
        <w:t>对</w:t>
      </w:r>
      <w:r>
        <w:rPr>
          <w:rFonts w:hint="default" w:ascii="仿宋" w:hAnsi="仿宋" w:eastAsia="仿宋"/>
          <w:color w:val="auto"/>
          <w:sz w:val="30"/>
          <w:szCs w:val="30"/>
          <w:highlight w:val="none"/>
        </w:rPr>
        <w:t>需要进行鉴定的</w:t>
      </w:r>
      <w:r>
        <w:rPr>
          <w:rFonts w:hint="eastAsia" w:ascii="仿宋" w:hAnsi="仿宋" w:eastAsia="仿宋"/>
          <w:color w:val="auto"/>
          <w:sz w:val="30"/>
          <w:szCs w:val="30"/>
          <w:highlight w:val="none"/>
          <w:lang w:eastAsia="zh-CN"/>
        </w:rPr>
        <w:t>罚没物品</w:t>
      </w:r>
      <w:r>
        <w:rPr>
          <w:rFonts w:hint="default" w:ascii="仿宋" w:hAnsi="仿宋" w:eastAsia="仿宋"/>
          <w:color w:val="auto"/>
          <w:sz w:val="30"/>
          <w:szCs w:val="30"/>
          <w:highlight w:val="none"/>
        </w:rPr>
        <w:t>，应</w:t>
      </w:r>
      <w:r>
        <w:rPr>
          <w:rFonts w:hint="eastAsia" w:ascii="仿宋" w:hAnsi="仿宋" w:eastAsia="仿宋"/>
          <w:color w:val="auto"/>
          <w:sz w:val="30"/>
          <w:szCs w:val="30"/>
          <w:highlight w:val="none"/>
          <w:lang w:eastAsia="zh-CN"/>
        </w:rPr>
        <w:t>由处置单位</w:t>
      </w:r>
      <w:r>
        <w:rPr>
          <w:rFonts w:hint="eastAsia" w:ascii="仿宋" w:hAnsi="仿宋" w:eastAsia="仿宋"/>
          <w:color w:val="auto"/>
          <w:sz w:val="30"/>
          <w:szCs w:val="30"/>
          <w:highlight w:val="none"/>
        </w:rPr>
        <w:t>委托具有资质的检测鉴定机构进行检测鉴定</w:t>
      </w:r>
      <w:r>
        <w:rPr>
          <w:rFonts w:hint="default" w:ascii="仿宋" w:hAnsi="仿宋" w:eastAsia="仿宋"/>
          <w:color w:val="auto"/>
          <w:sz w:val="30"/>
          <w:szCs w:val="30"/>
          <w:highlight w:val="none"/>
        </w:rPr>
        <w:t>，并出具检测鉴定报告，其结果由检测鉴定机构负责；存在破损、污秽等情形的，在有利于加快处置的情况下，且清理、修复费用低于变卖收入的，可以进行适当清理、修复。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第十七条 </w:t>
      </w:r>
      <w:r>
        <w:rPr>
          <w:rFonts w:hint="default" w:ascii="仿宋" w:hAnsi="仿宋" w:eastAsia="仿宋"/>
          <w:color w:val="auto"/>
          <w:sz w:val="30"/>
          <w:szCs w:val="30"/>
          <w:highlight w:val="none"/>
        </w:rPr>
        <w:t>依法取得的罚没物品</w:t>
      </w:r>
      <w:r>
        <w:rPr>
          <w:rFonts w:hint="eastAsia" w:ascii="仿宋" w:hAnsi="仿宋" w:eastAsia="仿宋"/>
          <w:color w:val="auto"/>
          <w:sz w:val="30"/>
          <w:szCs w:val="30"/>
          <w:highlight w:val="none"/>
          <w:lang w:eastAsia="zh-CN"/>
        </w:rPr>
        <w:t>，</w:t>
      </w:r>
      <w:r>
        <w:rPr>
          <w:rFonts w:hint="default" w:ascii="仿宋" w:hAnsi="仿宋" w:eastAsia="仿宋"/>
          <w:color w:val="auto"/>
          <w:sz w:val="30"/>
          <w:szCs w:val="30"/>
          <w:highlight w:val="none"/>
        </w:rPr>
        <w:t>除法律、行政法规禁止买卖的物品或者财产权利须按国家规定另行处置外，应当按照国家规定组织公开拍卖。公开拍卖应当符合下列要求：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（一）根据罚没物品的拍卖数量和规模，科学合理确定分包大小，可以采取现场拍卖方式，鼓励有条件的部门和地区通过互联网或公共资源交易平台进行公开拍卖。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（二）公开拍卖应当委托具有相应拍卖资格的拍卖人进行，拍卖人可以通过摇珠等方式从具备资格条件的范围中选定，必要时可以选择多个拍卖人进行联合拍卖。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（三）罚没物品属于国家有强制安全标准或者涉及人民生命财产安全的，应当委托符合有关规定资格条件的检验检疫机构进行检验检测，不符合安全、卫生、质量或者动植物检疫标准的，不得进行公开拍卖。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（四）公开拍卖应当确定拍卖标的保留价，保留价一般参照价格认定机构或者符合资格条件的资产评估机构作出的评估价确定，也可以参照市场价或者通过互联网询价确定。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（五）公开拍卖发生流拍情形的，再次拍卖的保留价不得低于前次拍卖保留价的80%。发生3次（含）以上流拍情形的，可继续拍卖或者转为其他处置方式。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第十八条 </w:t>
      </w:r>
      <w:r>
        <w:rPr>
          <w:rFonts w:hint="default" w:ascii="仿宋" w:hAnsi="仿宋" w:eastAsia="仿宋"/>
          <w:color w:val="auto"/>
          <w:sz w:val="30"/>
          <w:szCs w:val="30"/>
          <w:highlight w:val="none"/>
        </w:rPr>
        <w:t>属于国家规定的专卖商品或按规定限制流通的罚没物品，如烟草专卖品等，应交由归口管理单位统一收购，或变卖给按规定可接受该物品的单位。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执法机关</w:t>
      </w:r>
      <w:r>
        <w:rPr>
          <w:rFonts w:hint="eastAsia" w:ascii="仿宋" w:hAnsi="仿宋" w:eastAsia="仿宋"/>
          <w:color w:val="auto"/>
          <w:sz w:val="30"/>
          <w:szCs w:val="30"/>
          <w:highlight w:val="none"/>
          <w:lang w:eastAsia="zh-CN"/>
        </w:rPr>
        <w:t>或财政部门</w:t>
      </w:r>
      <w:r>
        <w:rPr>
          <w:rFonts w:hint="default" w:ascii="仿宋" w:hAnsi="仿宋" w:eastAsia="仿宋"/>
          <w:color w:val="auto"/>
          <w:sz w:val="30"/>
          <w:szCs w:val="30"/>
          <w:highlight w:val="none"/>
        </w:rPr>
        <w:t>应与专营企业平等协商，在确保不干扰正常市场秩序的情况下，双方约定统一收购价格，成交价不得低于市场价或成本价的70%；物品有包装破损、出厂时间较长等情况的，可酌情降低收购价格，但不得低于市场价或成本价的50%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第十九条 </w:t>
      </w:r>
      <w:r>
        <w:rPr>
          <w:rFonts w:hint="default" w:ascii="仿宋" w:hAnsi="仿宋" w:eastAsia="仿宋"/>
          <w:color w:val="auto"/>
          <w:sz w:val="30"/>
          <w:szCs w:val="30"/>
          <w:highlight w:val="none"/>
        </w:rPr>
        <w:t>下列罚没物品，应当移交相关主管部门处置：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一）依法没收的文物，应当移交国家或者省级文物行政管理部门，由其指定的国有博物馆、图书馆等文物收藏单位收藏或者按国家有关规定处置。经国家或者省级文物行政管理部门授权，市、县的文物行政管理部门或者有关国有博物馆、图书馆等文物收藏单位可以具体承办文物接收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经文物行政部门审核确认可上市流通的一般文物，报经国家文物局批准，根据归口经营、统一管理的原则投入流通领域。该类文物由国家文物局或指定省级文物行政管理部门依法委托具有文物拍卖经营资格的拍卖</w:t>
      </w:r>
      <w:r>
        <w:rPr>
          <w:rFonts w:hint="eastAsia" w:ascii="仿宋" w:hAnsi="仿宋" w:eastAsia="仿宋"/>
          <w:color w:val="auto"/>
          <w:sz w:val="30"/>
          <w:szCs w:val="30"/>
          <w:highlight w:val="none"/>
          <w:lang w:eastAsia="zh-CN"/>
        </w:rPr>
        <w:t>机构</w:t>
      </w:r>
      <w:r>
        <w:rPr>
          <w:rFonts w:hint="default" w:ascii="仿宋" w:hAnsi="仿宋" w:eastAsia="仿宋"/>
          <w:color w:val="auto"/>
          <w:sz w:val="30"/>
          <w:szCs w:val="30"/>
          <w:highlight w:val="none"/>
        </w:rPr>
        <w:t>进行公开拍卖，所得收入全部缴入省国库。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（二）武器、弹药、管制刀具、毒品、毒具、赌具、禁止流通的易燃易爆危险品等，应当移交同级公安部门或者其他有关部门处置，或者经公安部门、其他有关部门同意，由有关执法机关依法处置。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（三）依法没收的野生动植物及其制品，应当交由野生动植物保护主管部门、海洋执法部门或者有关保护区域管理机构按规定处置，或者经有关主管部门同意，交由相关科研机构用于科学研究。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经国家有关部门审核批准，可进入市场流通的野生动植物及其制品，应由省级有关部门按规定面向具有相关经营资质的单位进行公开拍卖，所得收入按规定缴入国库。法律法规禁止进入市场流通或经国家有关部门审核批准不得进入市场流通的，应交由相关科研机构用于科学研究或博物馆、展览馆收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（四）依法没收的非挂牌收兑的外币或其他无法处理的外币，相关银行不予收兑存储的，原则上应移交当地人民银行管理处置。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依法没收的各类假币，由执法机关解缴当地人民银行处理。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（五）其他应当移交相关主管部门处置的罚没物品。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第二十条 </w:t>
      </w:r>
      <w:r>
        <w:rPr>
          <w:rFonts w:hint="default" w:ascii="仿宋" w:hAnsi="仿宋" w:eastAsia="仿宋"/>
          <w:color w:val="auto"/>
          <w:sz w:val="30"/>
          <w:szCs w:val="30"/>
          <w:highlight w:val="none"/>
        </w:rPr>
        <w:t>罚没物品难以变卖或者变卖成本大于收入，且具有经济价值或者其他价值的，执法机关</w:t>
      </w:r>
      <w:r>
        <w:rPr>
          <w:rFonts w:hint="eastAsia" w:ascii="仿宋" w:hAnsi="仿宋" w:eastAsia="仿宋"/>
          <w:color w:val="auto"/>
          <w:sz w:val="30"/>
          <w:szCs w:val="30"/>
          <w:highlight w:val="none"/>
          <w:lang w:eastAsia="zh-CN"/>
        </w:rPr>
        <w:t>与</w:t>
      </w:r>
      <w:r>
        <w:rPr>
          <w:rFonts w:hint="default" w:ascii="仿宋" w:hAnsi="仿宋" w:eastAsia="仿宋"/>
          <w:color w:val="auto"/>
          <w:sz w:val="30"/>
          <w:szCs w:val="30"/>
          <w:highlight w:val="none"/>
        </w:rPr>
        <w:t>同级财政部门</w:t>
      </w:r>
      <w:r>
        <w:rPr>
          <w:rFonts w:hint="eastAsia" w:ascii="仿宋" w:hAnsi="仿宋" w:eastAsia="仿宋"/>
          <w:color w:val="auto"/>
          <w:sz w:val="30"/>
          <w:szCs w:val="30"/>
          <w:highlight w:val="none"/>
          <w:lang w:eastAsia="zh-CN"/>
        </w:rPr>
        <w:t>协商达成一致</w:t>
      </w:r>
      <w:r>
        <w:rPr>
          <w:rFonts w:hint="default" w:ascii="仿宋" w:hAnsi="仿宋" w:eastAsia="仿宋"/>
          <w:color w:val="auto"/>
          <w:sz w:val="30"/>
          <w:szCs w:val="30"/>
          <w:highlight w:val="none"/>
        </w:rPr>
        <w:t>，可赠送有关公益单位用于公益事业；无法捐赠且能够继续使用，且符合行政事业性资产管理要求的，由执法机关提出划入行政事业性资产管理的申请，报经同级财政部门审批后，转为行政事业性资产管理。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第二十一条 </w:t>
      </w:r>
      <w:r>
        <w:rPr>
          <w:rFonts w:hint="default" w:ascii="仿宋" w:hAnsi="仿宋" w:eastAsia="仿宋"/>
          <w:color w:val="auto"/>
          <w:sz w:val="30"/>
          <w:szCs w:val="30"/>
          <w:highlight w:val="none"/>
        </w:rPr>
        <w:t>对难以变卖且无经济价值或者其他价值的物品，危害人民群众身体健康和生命安全的假冒、伪劣物品，不符合标准规定的物品，国家明令禁止生产、经营、使用的物品，超过有效期、保质期或失效的物品，虚假的产品标识、标志或包装物，淫秽、反动物品、非法出版物，有毒有害的食品、药品及其原材料，固体废物等依法应销毁的物品，</w:t>
      </w:r>
      <w:r>
        <w:rPr>
          <w:rFonts w:hint="eastAsia" w:ascii="仿宋" w:hAnsi="仿宋" w:eastAsia="仿宋"/>
          <w:color w:val="000000" w:themeColor="text1"/>
          <w:sz w:val="30"/>
          <w:szCs w:val="30"/>
          <w:highlight w:val="none"/>
          <w:lang w:eastAsia="zh-CN"/>
          <w14:textFill>
            <w14:solidFill>
              <w14:schemeClr w14:val="tx1"/>
            </w14:solidFill>
          </w14:textFill>
        </w:rPr>
        <w:t>经鉴定后</w:t>
      </w:r>
      <w:r>
        <w:rPr>
          <w:rFonts w:hint="default" w:ascii="仿宋" w:hAnsi="仿宋" w:eastAsia="仿宋"/>
          <w:color w:val="auto"/>
          <w:sz w:val="30"/>
          <w:szCs w:val="30"/>
          <w:highlight w:val="none"/>
        </w:rPr>
        <w:t>由执法机关或公物仓予以销毁。有毒、有害、易燃、易爆等特殊物品的销毁，应按国家有关规定执行。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销毁罚没物品时，须由两名以上的执法机关</w:t>
      </w:r>
      <w:r>
        <w:rPr>
          <w:rFonts w:hint="eastAsia" w:ascii="仿宋" w:hAnsi="仿宋" w:eastAsia="仿宋"/>
          <w:color w:val="auto"/>
          <w:sz w:val="30"/>
          <w:szCs w:val="30"/>
          <w:highlight w:val="none"/>
          <w:lang w:eastAsia="zh-CN"/>
        </w:rPr>
        <w:t>和</w:t>
      </w:r>
      <w:r>
        <w:rPr>
          <w:rFonts w:hint="default" w:ascii="仿宋" w:hAnsi="仿宋" w:eastAsia="仿宋"/>
          <w:color w:val="auto"/>
          <w:sz w:val="30"/>
          <w:szCs w:val="30"/>
          <w:highlight w:val="none"/>
        </w:rPr>
        <w:t>财政部门工作人员参加，邀请纪检监察机关（机构）、市场监督管理等部门派员见证。当场对销毁物品进行清点确认，采取录音录像方式全过程记录，按规定归档保存，并上传至吉林省罚没财物信息管理系统。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第二十二条 </w:t>
      </w:r>
      <w:r>
        <w:rPr>
          <w:rFonts w:hint="default" w:ascii="仿宋" w:hAnsi="仿宋" w:eastAsia="仿宋"/>
          <w:color w:val="auto"/>
          <w:sz w:val="30"/>
          <w:szCs w:val="30"/>
          <w:highlight w:val="none"/>
        </w:rPr>
        <w:t>应销毁的罚没物品经无害化或合法化处理，丧失原有功能后尚有经济价值的，可以由执法机关或公物仓作为废旧物品等变卖，通过市场竞价的方式，择优选择收购企业。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一）执法机关依法罚没的进口汽车、摩托车、船舶等，无法取得办理正规手续的，应委托具有相应拆解资质的企业进行拆解，并签订零部件回收协议，在保证罚没物品整体不流入市场的前提下，可按拆解所得零部件进行变卖，零部件变卖价格应参考市场价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二）执法机关依法罚没的种子、肥料等物品，因有效期满质量标准未达标等原因丧失原有功能，但仍具有相关营养或价值的，应作为生产原料或动物饲料。当种子、肥料等物品数量超过1000公斤，可以通过市场竞价的方式，择优选择相关生产企业回收；数量不足1000公斤，可以结合当地实际，就地就近以适当方式转商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（三）易制毒和危险化学品的变卖处置，按照《易制毒化学品管理条例》和《危险化学品安全管理条例》有关规定执行。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（四）属于鲜活、易腐烂等不易保管的物品，参照当地市场价格及时变卖。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第二十三条</w:t>
      </w:r>
      <w:r>
        <w:rPr>
          <w:rFonts w:hint="eastAsia" w:ascii="黑体" w:hAnsi="黑体" w:eastAsia="黑体" w:cs="黑体"/>
          <w:color w:val="auto"/>
          <w:sz w:val="30"/>
          <w:szCs w:val="30"/>
          <w:highlight w:val="none"/>
          <w:lang w:val="en-US" w:eastAsia="zh-CN"/>
        </w:rPr>
        <w:t xml:space="preserve"> </w:t>
      </w:r>
      <w:r>
        <w:rPr>
          <w:rFonts w:hint="default" w:ascii="仿宋" w:hAnsi="仿宋" w:eastAsia="仿宋"/>
          <w:color w:val="auto"/>
          <w:sz w:val="30"/>
          <w:szCs w:val="30"/>
          <w:highlight w:val="none"/>
        </w:rPr>
        <w:t>罚没物品依法应当退还当事人的，由执法机关、公物仓及时办理退还和出库手续，退还过程中，应核对当事人身份信息，确保财物准确退还。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经行政复议、诉讼后，已先行处置的物品，依法应当退还当事人的，由执法机关和财政部门办理相关款项退还手续。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第二十四条 </w:t>
      </w:r>
      <w:r>
        <w:rPr>
          <w:rFonts w:hint="default" w:ascii="仿宋" w:hAnsi="仿宋" w:eastAsia="仿宋"/>
          <w:color w:val="auto"/>
          <w:sz w:val="30"/>
          <w:szCs w:val="30"/>
          <w:highlight w:val="none"/>
        </w:rPr>
        <w:t>依法处理的罚没财产和财产权利，需要办理入户、过户、登记手续的，依据执法机关出具的行政处罚决定，没收、追缴决定，法院生效裁定、判决等文书进行权属变更，相关登记管理部门应当积极配合、依法办理。如需要人民法院出具罚没执行手续的，由作出强制执行决定的人民法院协助省级财政部门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其中，在变卖前进行权属变更的，变更后的承接权属主体可以是执法机关、同级财政部门或者其指定机构，但不改变罚没财物的性质，承接单位不得占用、出租、出借。变更后应当按本办法相关规定处置。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第二十五条</w:t>
      </w:r>
      <w:r>
        <w:rPr>
          <w:rFonts w:hint="default" w:ascii="仿宋" w:hAnsi="仿宋" w:eastAsia="仿宋"/>
          <w:color w:val="auto"/>
          <w:sz w:val="30"/>
          <w:szCs w:val="30"/>
          <w:highlight w:val="none"/>
        </w:rPr>
        <w:t xml:space="preserve"> 罚没物品无法直接适用本办法规定处置的，执法机关与同级财政部门商有关部门后，提出处置方案，报上级财政部门备案。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t>第四章 收入管理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第二十六条</w:t>
      </w:r>
      <w:r>
        <w:rPr>
          <w:rFonts w:hint="default" w:ascii="仿宋" w:hAnsi="仿宋" w:eastAsia="仿宋"/>
          <w:color w:val="auto"/>
          <w:sz w:val="30"/>
          <w:szCs w:val="30"/>
          <w:highlight w:val="none"/>
        </w:rPr>
        <w:t xml:space="preserve"> 罚没收入属于政府非税收入，应当按照国库集中收缴管理有关规定，全额上缴国库，纳入一般公共预算管理。执法机关罚没款项业务管理信息系统，应与财政部门的非税收入收缴统一支付平台对接，实现信息互联互通，通过吉林省非税收入管理信息系统缴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第二十七条</w:t>
      </w:r>
      <w:r>
        <w:rPr>
          <w:rFonts w:hint="default" w:ascii="仿宋" w:hAnsi="仿宋" w:eastAsia="仿宋"/>
          <w:color w:val="auto"/>
          <w:sz w:val="30"/>
          <w:szCs w:val="30"/>
          <w:highlight w:val="none"/>
        </w:rPr>
        <w:t xml:space="preserve"> 除依法可以当场收缴的罚款外，作出罚款决定的执法机关应当与收缴罚款的机构分离。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第二十八条</w:t>
      </w:r>
      <w:r>
        <w:rPr>
          <w:rFonts w:hint="default" w:ascii="仿宋" w:hAnsi="仿宋" w:eastAsia="仿宋"/>
          <w:color w:val="auto"/>
          <w:sz w:val="30"/>
          <w:szCs w:val="30"/>
          <w:highlight w:val="none"/>
        </w:rPr>
        <w:t xml:space="preserve"> 除以下情形外，罚没收入应按照执法机关的财务隶属关系缴入同级国库：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（一）海关、公安、市场监管等部门取得的缉私罚没收入全额缴入中央国库。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二）海关（除缉私外）、国家外汇管理部门、国家邮政部门、通信管理部门、气象管理部门、应急管理部所属煤矿安全监察部门、交通运输部所属海事部门省以下机构取得的罚没收入，50%缴入中央国库，50%缴入省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（三）国家烟草专卖部门取得的罚没收入按照属地原则相应缴入市县国库。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（四）应急管理部所属的消防救援部门取得的罚没收入，50%缴入中央国库，50%缴入省国库。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（五）国家市场监督管理总局所属的反垄断部门与地方反垄断部门联合办理或者委托地方查办的重大案件取得的罚没收入，全额缴入中央国库。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（六）国有企业、事业单位监察机构没收、追缴的违法所得，按照国有企业、事业单位隶属关系全额缴入同级国库。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（七）缉毒罚没收入，全额上缴省国库。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lang w:eastAsia="zh-CN"/>
        </w:rPr>
      </w:pPr>
      <w:r>
        <w:rPr>
          <w:rFonts w:hint="default" w:ascii="仿宋" w:hAnsi="仿宋" w:eastAsia="仿宋"/>
          <w:color w:val="auto"/>
          <w:sz w:val="30"/>
          <w:szCs w:val="30"/>
          <w:highlight w:val="none"/>
        </w:rPr>
        <w:t>（八）中央执法机关交办案件按照国家有关规定执行。</w:t>
      </w:r>
      <w:r>
        <w:rPr>
          <w:rFonts w:hint="eastAsia" w:ascii="仿宋" w:hAnsi="仿宋" w:eastAsia="仿宋"/>
          <w:color w:val="auto"/>
          <w:sz w:val="30"/>
          <w:szCs w:val="30"/>
          <w:highlight w:val="none"/>
          <w:lang w:eastAsia="zh-CN"/>
        </w:rPr>
        <w:t>省级执法机关交办案件的罚没财物，除依法返还、责令退赔被害人、依法销毁及需按国家有关规定执行外，对于依照法律规定应当追缴的违法所得及其他罚没财物，一律上缴省国库。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（九）中央和省级财政部门规定的其他情形。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第二十九条 </w:t>
      </w:r>
      <w:r>
        <w:rPr>
          <w:rFonts w:hint="default" w:ascii="仿宋" w:hAnsi="仿宋" w:eastAsia="仿宋"/>
          <w:color w:val="auto"/>
          <w:sz w:val="30"/>
          <w:szCs w:val="30"/>
          <w:highlight w:val="none"/>
        </w:rPr>
        <w:t>罚没物品处置收入，可以按扣除处置该罚没物品直接支出后的余额，作为罚没收入上缴；政府预算已经安排罚没物品处置专项经费的，不得扣除处置该罚没物品的直接支出。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处置罚没物品直接支出，包括检测鉴定、检验检疫、价值评估和必要的清理修复费用。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第三十条 </w:t>
      </w:r>
      <w:r>
        <w:rPr>
          <w:rFonts w:hint="default" w:ascii="仿宋" w:hAnsi="仿宋" w:eastAsia="仿宋"/>
          <w:color w:val="auto"/>
          <w:sz w:val="30"/>
          <w:szCs w:val="30"/>
          <w:highlight w:val="none"/>
        </w:rPr>
        <w:t>罚没收入的缴库，按下列规定执行：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（一）执法机关取得的罚没收入，除当场收缴的罚款和中央纪委或财政部、省财政厅另有规定外，应当在取得之日缴入财政专户或者国库</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（二）执法人员依法当场收缴罚款的，执法机关应当自收到款项之日起2个工作日内缴入财政专户或者国库</w:t>
      </w:r>
      <w:r>
        <w:rPr>
          <w:rFonts w:hint="eastAsia" w:ascii="仿宋" w:hAnsi="仿宋" w:eastAsia="仿宋"/>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（三）委托拍卖机构拍卖罚没物品取得的变价款，由委托方自收到款项之日起2个工作日内缴入财政专户或者国库。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lang w:eastAsia="zh-CN"/>
        </w:rPr>
      </w:pPr>
      <w:r>
        <w:rPr>
          <w:rFonts w:hint="default" w:ascii="黑体" w:hAnsi="黑体" w:eastAsia="黑体" w:cs="黑体"/>
          <w:color w:val="auto"/>
          <w:sz w:val="30"/>
          <w:szCs w:val="30"/>
          <w:highlight w:val="none"/>
        </w:rPr>
        <w:t xml:space="preserve">第三十一条 </w:t>
      </w:r>
      <w:r>
        <w:rPr>
          <w:rFonts w:hint="default" w:ascii="仿宋" w:hAnsi="仿宋" w:eastAsia="仿宋"/>
          <w:color w:val="auto"/>
          <w:sz w:val="30"/>
          <w:szCs w:val="30"/>
          <w:highlight w:val="none"/>
        </w:rPr>
        <w:t>政府预算收入中罚没收入预算为预测性指标，不作为收入任务指标下达。执法机关的办案经费</w:t>
      </w:r>
      <w:r>
        <w:rPr>
          <w:rFonts w:hint="eastAsia" w:ascii="仿宋" w:hAnsi="仿宋" w:eastAsia="仿宋"/>
          <w:color w:val="auto"/>
          <w:sz w:val="30"/>
          <w:szCs w:val="30"/>
          <w:highlight w:val="none"/>
          <w:lang w:eastAsia="zh-CN"/>
        </w:rPr>
        <w:t>，</w:t>
      </w:r>
      <w:r>
        <w:rPr>
          <w:rFonts w:hint="default" w:ascii="仿宋" w:hAnsi="仿宋" w:eastAsia="仿宋"/>
          <w:color w:val="auto"/>
          <w:sz w:val="30"/>
          <w:szCs w:val="30"/>
          <w:highlight w:val="none"/>
        </w:rPr>
        <w:t>按照相关规定由本级政府财政预算统筹保障</w:t>
      </w:r>
      <w:r>
        <w:rPr>
          <w:rFonts w:hint="eastAsia" w:ascii="仿宋" w:hAnsi="仿宋" w:eastAsia="仿宋"/>
          <w:color w:val="auto"/>
          <w:sz w:val="30"/>
          <w:szCs w:val="30"/>
          <w:highlight w:val="none"/>
          <w:lang w:eastAsia="zh-CN"/>
        </w:rPr>
        <w:t>。中央执法机关、省级执法机关交办案件</w:t>
      </w:r>
      <w:r>
        <w:rPr>
          <w:rFonts w:hint="eastAsia" w:ascii="仿宋" w:hAnsi="仿宋" w:eastAsia="仿宋"/>
          <w:color w:val="auto"/>
          <w:sz w:val="30"/>
          <w:szCs w:val="30"/>
          <w:highlight w:val="none"/>
          <w:lang w:val="en-US" w:eastAsia="zh-CN"/>
        </w:rPr>
        <w:t>经费</w:t>
      </w:r>
      <w:r>
        <w:rPr>
          <w:rFonts w:hint="eastAsia" w:ascii="仿宋" w:hAnsi="仿宋" w:eastAsia="仿宋"/>
          <w:color w:val="auto"/>
          <w:sz w:val="30"/>
          <w:szCs w:val="30"/>
          <w:highlight w:val="none"/>
          <w:lang w:eastAsia="zh-CN"/>
        </w:rPr>
        <w:t>按照国家有关规定执行。</w:t>
      </w:r>
      <w:r>
        <w:rPr>
          <w:rFonts w:hint="default" w:ascii="仿宋" w:hAnsi="仿宋" w:eastAsia="仿宋"/>
          <w:color w:val="auto"/>
          <w:sz w:val="30"/>
          <w:szCs w:val="30"/>
          <w:highlight w:val="none"/>
        </w:rPr>
        <w:t>执法机关经费预算安排不得与该单位任何年度上缴的罚没收入挂钩。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第三十二条 </w:t>
      </w:r>
      <w:r>
        <w:rPr>
          <w:rFonts w:hint="default" w:ascii="仿宋" w:hAnsi="仿宋" w:eastAsia="仿宋"/>
          <w:color w:val="auto"/>
          <w:sz w:val="30"/>
          <w:szCs w:val="30"/>
          <w:highlight w:val="none"/>
        </w:rPr>
        <w:t>依法退还多缴、错缴等罚没收入的，应当按照本级财政部门有关规定办理。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第三十三条 </w:t>
      </w:r>
      <w:r>
        <w:rPr>
          <w:rFonts w:hint="default" w:ascii="仿宋" w:hAnsi="仿宋" w:eastAsia="仿宋"/>
          <w:color w:val="auto"/>
          <w:sz w:val="30"/>
          <w:szCs w:val="30"/>
          <w:highlight w:val="none"/>
        </w:rPr>
        <w:t>执法机关在罚没财物管理工作中，应当按照财政部门管理规定使用相适应的财政票据，原则上应全面使用财政电子票据并严格规范管理，自觉接受财政部门的监督检查。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t>第五章 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第三十四条 </w:t>
      </w:r>
      <w:r>
        <w:rPr>
          <w:rFonts w:hint="default" w:ascii="仿宋" w:hAnsi="仿宋" w:eastAsia="仿宋"/>
          <w:color w:val="auto"/>
          <w:sz w:val="30"/>
          <w:szCs w:val="30"/>
          <w:highlight w:val="none"/>
        </w:rPr>
        <w:t>各级财政部门应当会同审计、监察、司法行政等部门建立联合监督检查机制，依法对执法机关、公物仓等罚没财物集中管理机构进行监督检查或者随机抽查。上级执法机关应当对下级执法机关罚没财物管理工作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第三十五条 </w:t>
      </w:r>
      <w:r>
        <w:rPr>
          <w:rFonts w:hint="default" w:ascii="仿宋" w:hAnsi="仿宋" w:eastAsia="仿宋"/>
          <w:color w:val="auto"/>
          <w:sz w:val="30"/>
          <w:szCs w:val="30"/>
          <w:highlight w:val="none"/>
        </w:rPr>
        <w:t>各级财政部门、执法机关、公物仓及其工作人员在罚没财物管理、处置工作中，存在违反本办法规定的行为，以及其他滥用职权、玩忽职守、徇私舞弊等违法违纪行为的，按照《中华人民共和国监察法》《财政违法行为处罚处分条例》等国家有关规定追究相应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第三十六条 </w:t>
      </w:r>
      <w:r>
        <w:rPr>
          <w:rFonts w:hint="default" w:ascii="仿宋" w:hAnsi="仿宋" w:eastAsia="仿宋"/>
          <w:color w:val="auto"/>
          <w:sz w:val="30"/>
          <w:szCs w:val="30"/>
          <w:highlight w:val="none"/>
        </w:rPr>
        <w:t>对向执法机关检举、揭发各类违法案件的人员，经查实后，按照相关规定给予奖励。奖励经费不得从案件罚没收入中列支。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第三十七条 </w:t>
      </w:r>
      <w:r>
        <w:rPr>
          <w:rFonts w:hint="default" w:ascii="仿宋" w:hAnsi="仿宋" w:eastAsia="仿宋"/>
          <w:color w:val="auto"/>
          <w:sz w:val="30"/>
          <w:szCs w:val="30"/>
          <w:highlight w:val="none"/>
        </w:rPr>
        <w:t>执法机关扣押的涉案财物，有关单位、个人向执法机关声明放弃的或者无人认领的财物；党的纪律检查机关依据党内法规收缴的违纪所得以及按规定登记上交的礼品、礼金等财物；党政机关收到的采购、人事等合同违约金；党政机关根据国家赔偿法履行赔偿义务之后向故意或者有重大过失的工作人员、受委托的组织或者个人追偿的赔偿款等，参照罚没财物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仿宋" w:hAnsi="仿宋" w:eastAsia="仿宋"/>
          <w:color w:val="auto"/>
          <w:sz w:val="30"/>
          <w:szCs w:val="30"/>
          <w:highlight w:val="none"/>
        </w:rPr>
        <w:t>执法机关扣押的款项，应当自扣押之日起2</w:t>
      </w:r>
      <w:r>
        <w:rPr>
          <w:rFonts w:hint="eastAsia" w:ascii="仿宋" w:hAnsi="仿宋" w:eastAsia="仿宋"/>
          <w:color w:val="auto"/>
          <w:sz w:val="30"/>
          <w:szCs w:val="30"/>
          <w:highlight w:val="none"/>
          <w:lang w:eastAsia="zh-CN"/>
        </w:rPr>
        <w:t>个工作</w:t>
      </w:r>
      <w:r>
        <w:rPr>
          <w:rFonts w:hint="default" w:ascii="仿宋" w:hAnsi="仿宋" w:eastAsia="仿宋"/>
          <w:color w:val="auto"/>
          <w:sz w:val="30"/>
          <w:szCs w:val="30"/>
          <w:highlight w:val="none"/>
        </w:rPr>
        <w:t>日内存入同级财政部门在银行设立的账户或财政部门代设账户，不得账外存放或挪作他用。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第三十八条 </w:t>
      </w:r>
      <w:r>
        <w:rPr>
          <w:rFonts w:hint="default" w:ascii="仿宋" w:hAnsi="仿宋" w:eastAsia="仿宋"/>
          <w:color w:val="auto"/>
          <w:sz w:val="30"/>
          <w:szCs w:val="30"/>
          <w:highlight w:val="none"/>
        </w:rPr>
        <w:t>国有企业、事业单位党的纪检机构依据党内法规收缴的违纪所得，以及按规定登记上交的礼品、礼金等财物，按照国有企业、事业单位隶属关系全额缴入地方同级国库。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仿宋" w:hAnsi="仿宋" w:eastAsia="仿宋"/>
          <w:color w:val="auto"/>
          <w:sz w:val="30"/>
          <w:szCs w:val="30"/>
          <w:highlight w:val="none"/>
        </w:rPr>
      </w:pPr>
      <w:r>
        <w:rPr>
          <w:rFonts w:hint="default" w:ascii="黑体" w:hAnsi="黑体" w:eastAsia="黑体" w:cs="黑体"/>
          <w:color w:val="auto"/>
          <w:sz w:val="30"/>
          <w:szCs w:val="30"/>
          <w:highlight w:val="none"/>
        </w:rPr>
        <w:t xml:space="preserve">第三十九条 </w:t>
      </w:r>
      <w:r>
        <w:rPr>
          <w:rFonts w:hint="default" w:ascii="仿宋" w:hAnsi="仿宋" w:eastAsia="仿宋"/>
          <w:color w:val="auto"/>
          <w:sz w:val="30"/>
          <w:szCs w:val="30"/>
          <w:highlight w:val="none"/>
        </w:rPr>
        <w:t>本办法自印发之日起施行。本办法施行前省财政厅单独或联合其他厅局共同制定的有关规定与本办法不一致的，按本办法执行。国家有新规定的，从其规定。本办法实施前已经形成的罚没财物，尚未处置的，按照本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olor w:val="auto"/>
          <w:sz w:val="30"/>
          <w:szCs w:val="30"/>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财政专用宋体-GB2312">
    <w:altName w:val="宋体"/>
    <w:panose1 w:val="00000000000000000000"/>
    <w:charset w:val="86"/>
    <w:family w:val="auto"/>
    <w:pitch w:val="default"/>
    <w:sig w:usb0="00000000" w:usb1="00000000" w:usb2="00000010" w:usb3="00000000" w:csb0="00040001" w:csb1="00000000"/>
  </w:font>
  <w:font w:name="财政专用仿宋-GB2312">
    <w:altName w:val="仿宋"/>
    <w:panose1 w:val="00000000000000000000"/>
    <w:charset w:val="86"/>
    <w:family w:val="auto"/>
    <w:pitch w:val="default"/>
    <w:sig w:usb0="00000000" w:usb1="00000000" w:usb2="00000010" w:usb3="00000000" w:csb0="00040001" w:csb1="00000000"/>
  </w:font>
  <w:font w:name="财政专用黑体-GB2312">
    <w:altName w:val="黑体"/>
    <w:panose1 w:val="020005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CESI宋体-GB2312">
    <w:altName w:val="宋体"/>
    <w:panose1 w:val="02000500000000000000"/>
    <w:charset w:val="86"/>
    <w:family w:val="auto"/>
    <w:pitch w:val="default"/>
    <w:sig w:usb0="00000000" w:usb1="00000000" w:usb2="00000010"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方正隶书_GBK">
    <w:altName w:val="宋体"/>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CESI宋体-GB2312" w:hAnsi="CESI宋体-GB2312" w:eastAsia="CESI宋体-GB2312" w:cs="CESI宋体-GB2312"/>
        <w:sz w:val="28"/>
        <w:szCs w:val="28"/>
        <w:lang w:eastAsia="zh-CN"/>
      </w:rPr>
    </w:pPr>
    <w:r>
      <w:rPr>
        <w:rFonts w:hint="eastAsia" w:ascii="CESI宋体-GB2312" w:hAnsi="CESI宋体-GB2312" w:eastAsia="CESI宋体-GB2312" w:cs="CESI宋体-GB2312"/>
        <w:sz w:val="28"/>
        <w:szCs w:val="28"/>
        <w:lang w:eastAsia="zh-CN"/>
      </w:rPr>
      <w:t>—</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lang w:eastAsia="zh-CN"/>
      </w:rPr>
      <w:t>—</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B0AA2"/>
    <w:rsid w:val="0037423B"/>
    <w:rsid w:val="01480245"/>
    <w:rsid w:val="015C597F"/>
    <w:rsid w:val="026039C8"/>
    <w:rsid w:val="033B0AE8"/>
    <w:rsid w:val="039134F1"/>
    <w:rsid w:val="040D1356"/>
    <w:rsid w:val="045E1362"/>
    <w:rsid w:val="049D5735"/>
    <w:rsid w:val="060455B3"/>
    <w:rsid w:val="069B1006"/>
    <w:rsid w:val="06AC14F3"/>
    <w:rsid w:val="06CF37A4"/>
    <w:rsid w:val="07673BC8"/>
    <w:rsid w:val="076B0AA2"/>
    <w:rsid w:val="07B20B8B"/>
    <w:rsid w:val="08675968"/>
    <w:rsid w:val="0882453B"/>
    <w:rsid w:val="08EB09D4"/>
    <w:rsid w:val="09444275"/>
    <w:rsid w:val="099D65C7"/>
    <w:rsid w:val="09E07AA4"/>
    <w:rsid w:val="0A4C0E77"/>
    <w:rsid w:val="0B361AFC"/>
    <w:rsid w:val="0B5F22EC"/>
    <w:rsid w:val="0D3764A5"/>
    <w:rsid w:val="0DFB0660"/>
    <w:rsid w:val="0E021350"/>
    <w:rsid w:val="0E510DBA"/>
    <w:rsid w:val="0E604E31"/>
    <w:rsid w:val="0FC82BFA"/>
    <w:rsid w:val="11163168"/>
    <w:rsid w:val="115869DA"/>
    <w:rsid w:val="117D0CCD"/>
    <w:rsid w:val="11B347BD"/>
    <w:rsid w:val="12BF7191"/>
    <w:rsid w:val="135C1A37"/>
    <w:rsid w:val="13EE561A"/>
    <w:rsid w:val="13F51130"/>
    <w:rsid w:val="14B645ED"/>
    <w:rsid w:val="14CB74AC"/>
    <w:rsid w:val="151016BB"/>
    <w:rsid w:val="15C26161"/>
    <w:rsid w:val="15DB6D43"/>
    <w:rsid w:val="161A6671"/>
    <w:rsid w:val="16B43286"/>
    <w:rsid w:val="16D93133"/>
    <w:rsid w:val="17BC6D74"/>
    <w:rsid w:val="17BD0ECB"/>
    <w:rsid w:val="17D7451B"/>
    <w:rsid w:val="185E4830"/>
    <w:rsid w:val="18A41883"/>
    <w:rsid w:val="1940346E"/>
    <w:rsid w:val="19535B99"/>
    <w:rsid w:val="19800D99"/>
    <w:rsid w:val="199F7A6E"/>
    <w:rsid w:val="19AC27B1"/>
    <w:rsid w:val="19E170E8"/>
    <w:rsid w:val="19EC2411"/>
    <w:rsid w:val="1A8566C6"/>
    <w:rsid w:val="1A875BCD"/>
    <w:rsid w:val="1B131414"/>
    <w:rsid w:val="1B7B6E85"/>
    <w:rsid w:val="1B8B5426"/>
    <w:rsid w:val="1BAB1058"/>
    <w:rsid w:val="1BED563A"/>
    <w:rsid w:val="1C5E5B30"/>
    <w:rsid w:val="1C7F5E1A"/>
    <w:rsid w:val="1CB43B41"/>
    <w:rsid w:val="1D2E5A56"/>
    <w:rsid w:val="1D874695"/>
    <w:rsid w:val="1DE06CC5"/>
    <w:rsid w:val="1E450CAD"/>
    <w:rsid w:val="1FAD169C"/>
    <w:rsid w:val="1FD656CD"/>
    <w:rsid w:val="20022455"/>
    <w:rsid w:val="20132641"/>
    <w:rsid w:val="209D7CC9"/>
    <w:rsid w:val="20E92AAF"/>
    <w:rsid w:val="223567E8"/>
    <w:rsid w:val="22474923"/>
    <w:rsid w:val="229E7181"/>
    <w:rsid w:val="23E017CE"/>
    <w:rsid w:val="246E2280"/>
    <w:rsid w:val="24D81D51"/>
    <w:rsid w:val="24F000C9"/>
    <w:rsid w:val="250A5432"/>
    <w:rsid w:val="2552151B"/>
    <w:rsid w:val="25801FA0"/>
    <w:rsid w:val="25856452"/>
    <w:rsid w:val="271344C5"/>
    <w:rsid w:val="275D4508"/>
    <w:rsid w:val="276D3DC4"/>
    <w:rsid w:val="27D04E46"/>
    <w:rsid w:val="27DC1CE5"/>
    <w:rsid w:val="280C379D"/>
    <w:rsid w:val="28F57691"/>
    <w:rsid w:val="2915458C"/>
    <w:rsid w:val="294A19EC"/>
    <w:rsid w:val="294D74F6"/>
    <w:rsid w:val="29537D31"/>
    <w:rsid w:val="2B9214EA"/>
    <w:rsid w:val="2BC80EBF"/>
    <w:rsid w:val="2C1B4D92"/>
    <w:rsid w:val="2C2E59C7"/>
    <w:rsid w:val="2C4060D2"/>
    <w:rsid w:val="2C9C6819"/>
    <w:rsid w:val="2CD6615D"/>
    <w:rsid w:val="2CFE327B"/>
    <w:rsid w:val="2D0F22E6"/>
    <w:rsid w:val="2D6A55ED"/>
    <w:rsid w:val="2E114AFB"/>
    <w:rsid w:val="2E3E709D"/>
    <w:rsid w:val="2E635136"/>
    <w:rsid w:val="2E7567CA"/>
    <w:rsid w:val="2F6953EC"/>
    <w:rsid w:val="2F804952"/>
    <w:rsid w:val="30A57CF0"/>
    <w:rsid w:val="313E308D"/>
    <w:rsid w:val="31BF7610"/>
    <w:rsid w:val="33622BD0"/>
    <w:rsid w:val="339352BE"/>
    <w:rsid w:val="33DA578B"/>
    <w:rsid w:val="349F5704"/>
    <w:rsid w:val="34A72321"/>
    <w:rsid w:val="34C056F4"/>
    <w:rsid w:val="34D0651E"/>
    <w:rsid w:val="34ED76F2"/>
    <w:rsid w:val="36163566"/>
    <w:rsid w:val="369D64B7"/>
    <w:rsid w:val="38043F72"/>
    <w:rsid w:val="38EF6E20"/>
    <w:rsid w:val="39A3421B"/>
    <w:rsid w:val="39DC0801"/>
    <w:rsid w:val="3A2D309E"/>
    <w:rsid w:val="3A385F63"/>
    <w:rsid w:val="3A3A4CDB"/>
    <w:rsid w:val="3A6B6DEB"/>
    <w:rsid w:val="3A9432B5"/>
    <w:rsid w:val="3C616A14"/>
    <w:rsid w:val="3C87329B"/>
    <w:rsid w:val="3C911087"/>
    <w:rsid w:val="3D520E21"/>
    <w:rsid w:val="3D65125B"/>
    <w:rsid w:val="3DEB46A2"/>
    <w:rsid w:val="3DEC35E6"/>
    <w:rsid w:val="3DEE401D"/>
    <w:rsid w:val="3F173BC3"/>
    <w:rsid w:val="3F5A0EB1"/>
    <w:rsid w:val="3FDC663F"/>
    <w:rsid w:val="40376CAA"/>
    <w:rsid w:val="404A77C3"/>
    <w:rsid w:val="405C7658"/>
    <w:rsid w:val="40603BEC"/>
    <w:rsid w:val="40F03EDB"/>
    <w:rsid w:val="418E4A6C"/>
    <w:rsid w:val="42000FBF"/>
    <w:rsid w:val="42665650"/>
    <w:rsid w:val="42F521D0"/>
    <w:rsid w:val="431117A9"/>
    <w:rsid w:val="432B43B2"/>
    <w:rsid w:val="45390263"/>
    <w:rsid w:val="465C1E2A"/>
    <w:rsid w:val="46975A20"/>
    <w:rsid w:val="46DD0E5E"/>
    <w:rsid w:val="47072AC2"/>
    <w:rsid w:val="47812020"/>
    <w:rsid w:val="47CD2CD6"/>
    <w:rsid w:val="48751FB9"/>
    <w:rsid w:val="489A196D"/>
    <w:rsid w:val="48AC00AC"/>
    <w:rsid w:val="492721C0"/>
    <w:rsid w:val="49696710"/>
    <w:rsid w:val="49A174E3"/>
    <w:rsid w:val="49BC5ABA"/>
    <w:rsid w:val="49CD48FA"/>
    <w:rsid w:val="4A127768"/>
    <w:rsid w:val="4A1F73FE"/>
    <w:rsid w:val="4A43228A"/>
    <w:rsid w:val="4A5641F4"/>
    <w:rsid w:val="4C1978FB"/>
    <w:rsid w:val="4CC45B33"/>
    <w:rsid w:val="4D284803"/>
    <w:rsid w:val="4DB6353A"/>
    <w:rsid w:val="4E8E4914"/>
    <w:rsid w:val="4F1A364B"/>
    <w:rsid w:val="4F7851D5"/>
    <w:rsid w:val="4FA51667"/>
    <w:rsid w:val="506665A1"/>
    <w:rsid w:val="51094CF5"/>
    <w:rsid w:val="512108DB"/>
    <w:rsid w:val="51A0327D"/>
    <w:rsid w:val="524B561E"/>
    <w:rsid w:val="52E65A5E"/>
    <w:rsid w:val="53C432F6"/>
    <w:rsid w:val="53F76224"/>
    <w:rsid w:val="542468E3"/>
    <w:rsid w:val="544D7A46"/>
    <w:rsid w:val="55C223CA"/>
    <w:rsid w:val="55E23CCE"/>
    <w:rsid w:val="565D5227"/>
    <w:rsid w:val="56D772EB"/>
    <w:rsid w:val="571E5BC1"/>
    <w:rsid w:val="58164308"/>
    <w:rsid w:val="58173CF5"/>
    <w:rsid w:val="58787FA8"/>
    <w:rsid w:val="59FC2707"/>
    <w:rsid w:val="5AB128E2"/>
    <w:rsid w:val="5ACD7C85"/>
    <w:rsid w:val="5BB60D31"/>
    <w:rsid w:val="5BDA0C7C"/>
    <w:rsid w:val="5CF60153"/>
    <w:rsid w:val="5D8D1047"/>
    <w:rsid w:val="5D9D6D16"/>
    <w:rsid w:val="5DDB7979"/>
    <w:rsid w:val="5F4116CE"/>
    <w:rsid w:val="60B817E2"/>
    <w:rsid w:val="60CD2184"/>
    <w:rsid w:val="61CF5044"/>
    <w:rsid w:val="63092DD8"/>
    <w:rsid w:val="649A12A2"/>
    <w:rsid w:val="661D1860"/>
    <w:rsid w:val="66A0539A"/>
    <w:rsid w:val="68567565"/>
    <w:rsid w:val="68D25AB3"/>
    <w:rsid w:val="690D711A"/>
    <w:rsid w:val="6975467B"/>
    <w:rsid w:val="6A346E9B"/>
    <w:rsid w:val="6B27408F"/>
    <w:rsid w:val="6B4143A7"/>
    <w:rsid w:val="6B996A99"/>
    <w:rsid w:val="6BBE29D6"/>
    <w:rsid w:val="6C916FC7"/>
    <w:rsid w:val="6CA37676"/>
    <w:rsid w:val="6CD059D6"/>
    <w:rsid w:val="6CDE345B"/>
    <w:rsid w:val="6D41328E"/>
    <w:rsid w:val="6E101ADF"/>
    <w:rsid w:val="70056113"/>
    <w:rsid w:val="70415FA3"/>
    <w:rsid w:val="70760FC8"/>
    <w:rsid w:val="71105BF9"/>
    <w:rsid w:val="711C36FC"/>
    <w:rsid w:val="71477BE4"/>
    <w:rsid w:val="73DC7CCA"/>
    <w:rsid w:val="7434197F"/>
    <w:rsid w:val="750F0369"/>
    <w:rsid w:val="75B56C19"/>
    <w:rsid w:val="75F804BC"/>
    <w:rsid w:val="77F94A84"/>
    <w:rsid w:val="78087FB3"/>
    <w:rsid w:val="790E6C01"/>
    <w:rsid w:val="79434046"/>
    <w:rsid w:val="7A2E1A34"/>
    <w:rsid w:val="7A447F24"/>
    <w:rsid w:val="7AEA1722"/>
    <w:rsid w:val="7BCB57B2"/>
    <w:rsid w:val="7C8F176B"/>
    <w:rsid w:val="7D020FBE"/>
    <w:rsid w:val="7DC55D98"/>
    <w:rsid w:val="7E0D6E10"/>
    <w:rsid w:val="7EC9704E"/>
    <w:rsid w:val="7F7463B3"/>
    <w:rsid w:val="7F953D9F"/>
    <w:rsid w:val="7FF3414E"/>
    <w:rsid w:val="7FF81B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经建处</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2013-01-01T00:00:00Z</dcterms:created>
  <dc:creator>刘冰</dc:creator>
  <cp:lastModifiedBy>路维君</cp:lastModifiedBy>
  <cp:lastPrinted>2025-11-20T01:23:11Z</cp:lastPrinted>
  <dcterms:modified xsi:type="dcterms:W3CDTF">2025-11-20T01:23:33Z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