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宋体" w:hAnsi="宋体" w:eastAsia="方正小标宋简体" w:cs="方正小标宋简体"/>
          <w:sz w:val="44"/>
          <w:szCs w:val="44"/>
          <w:lang w:val="en" w:eastAsia="zh-CN"/>
        </w:rPr>
      </w:pPr>
      <w:r>
        <w:rPr>
          <w:rFonts w:hint="eastAsia" w:ascii="CESI黑体-GB2312" w:hAnsi="CESI黑体-GB2312" w:eastAsia="CESI黑体-GB2312" w:cs="CESI黑体-GB2312"/>
          <w:sz w:val="32"/>
          <w:szCs w:val="32"/>
          <w:lang w:val="en"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both"/>
        <w:textAlignment w:val="auto"/>
        <w:outlineLvl w:val="9"/>
        <w:rPr>
          <w:rFonts w:hint="default" w:ascii="宋体" w:hAnsi="宋体" w:eastAsia="方正小标宋简体" w:cs="方正小标宋简体"/>
          <w:sz w:val="44"/>
          <w:szCs w:val="44"/>
          <w:lang w:val="en"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highlight w:val="none"/>
          <w:lang w:val="en-US" w:eastAsia="zh-CN"/>
        </w:rPr>
      </w:pPr>
      <w:r>
        <w:rPr>
          <w:rFonts w:hint="eastAsia" w:ascii="宋体" w:hAnsi="宋体" w:eastAsia="方正小标宋简体" w:cs="方正小标宋简体"/>
          <w:sz w:val="44"/>
          <w:szCs w:val="44"/>
          <w:highlight w:val="none"/>
          <w:lang w:val="en-US" w:eastAsia="zh-CN"/>
        </w:rPr>
        <w:t>吉林省省级再担保风险补偿资金管理办法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center"/>
        <w:textAlignment w:val="auto"/>
        <w:outlineLvl w:val="9"/>
        <w:rPr>
          <w:rFonts w:hint="eastAsia" w:ascii="CESI黑体-GB2312" w:hAnsi="CESI黑体-GB2312" w:eastAsia="CESI黑体-GB2312" w:cs="CESI黑体-GB2312"/>
          <w:sz w:val="32"/>
          <w:szCs w:val="32"/>
          <w:highlight w:val="none"/>
          <w:lang w:val="en-US" w:eastAsia="zh-CN"/>
        </w:rPr>
      </w:pPr>
      <w:r>
        <w:rPr>
          <w:rFonts w:hint="eastAsia" w:ascii="CESI黑体-GB2312" w:hAnsi="CESI黑体-GB2312" w:eastAsia="CESI黑体-GB2312" w:cs="CESI黑体-GB2312"/>
          <w:sz w:val="32"/>
          <w:szCs w:val="32"/>
          <w:highlight w:val="none"/>
          <w:lang w:val="en-US" w:eastAsia="zh-CN"/>
        </w:rPr>
        <w:t>第一章 总 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firstLine="640" w:firstLineChars="200"/>
        <w:jc w:val="both"/>
        <w:textAlignment w:val="auto"/>
        <w:outlineLvl w:val="9"/>
        <w:rPr>
          <w:rFonts w:hint="eastAsia" w:ascii="CESI仿宋-GB2312" w:hAnsi="CESI仿宋-GB2312" w:eastAsia="CESI仿宋-GB2312" w:cs="CESI仿宋-GB2312"/>
          <w:color w:val="0000FF"/>
          <w:sz w:val="32"/>
          <w:highlight w:val="none"/>
        </w:rPr>
      </w:pPr>
      <w:r>
        <w:rPr>
          <w:rFonts w:hint="eastAsia" w:ascii="CESI仿宋-GB2312" w:hAnsi="CESI仿宋-GB2312" w:eastAsia="CESI仿宋-GB2312" w:cs="CESI仿宋-GB2312"/>
          <w:b/>
          <w:bCs/>
          <w:sz w:val="32"/>
          <w:highlight w:val="none"/>
        </w:rPr>
        <w:t>第一条</w:t>
      </w:r>
      <w:r>
        <w:rPr>
          <w:rFonts w:hint="eastAsia" w:ascii="CESI仿宋-GB2312" w:hAnsi="CESI仿宋-GB2312" w:eastAsia="CESI仿宋-GB2312" w:cs="CESI仿宋-GB2312"/>
          <w:sz w:val="32"/>
          <w:highlight w:val="none"/>
        </w:rPr>
        <w:t xml:space="preserve"> </w:t>
      </w:r>
      <w:r>
        <w:rPr>
          <w:rFonts w:hint="eastAsia" w:ascii="CESI仿宋-GB2312" w:hAnsi="CESI仿宋-GB2312" w:eastAsia="CESI仿宋-GB2312" w:cs="CESI仿宋-GB2312"/>
          <w:sz w:val="32"/>
          <w:highlight w:val="none"/>
          <w:lang w:val="en-US" w:eastAsia="zh-CN"/>
        </w:rPr>
        <w:t>为贯彻落实国家及省委、省政府关于发展融资担保行业有关决策部署，</w:t>
      </w:r>
      <w:r>
        <w:rPr>
          <w:rFonts w:hint="eastAsia" w:ascii="CESI仿宋-GB2312" w:hAnsi="CESI仿宋-GB2312" w:eastAsia="CESI仿宋-GB2312" w:cs="CESI仿宋-GB2312"/>
          <w:sz w:val="32"/>
          <w:highlight w:val="none"/>
        </w:rPr>
        <w:t>进一步完善省级融资担保风险补偿机制，加快推进全省</w:t>
      </w:r>
      <w:r>
        <w:rPr>
          <w:rFonts w:hint="eastAsia" w:ascii="CESI仿宋-GB2312" w:hAnsi="CESI仿宋-GB2312" w:eastAsia="CESI仿宋-GB2312" w:cs="CESI仿宋-GB2312"/>
          <w:sz w:val="32"/>
          <w:highlight w:val="none"/>
          <w:lang w:val="en-US" w:eastAsia="zh-CN"/>
        </w:rPr>
        <w:t>再</w:t>
      </w:r>
      <w:r>
        <w:rPr>
          <w:rFonts w:hint="eastAsia" w:ascii="CESI仿宋-GB2312" w:hAnsi="CESI仿宋-GB2312" w:eastAsia="CESI仿宋-GB2312" w:cs="CESI仿宋-GB2312"/>
          <w:sz w:val="32"/>
          <w:highlight w:val="none"/>
        </w:rPr>
        <w:t>担保体系建设，支持小微企业、“三农”和创业创新等市场主体，以及符合条件的战略性新兴产业项目发展，根据</w:t>
      </w:r>
      <w:r>
        <w:rPr>
          <w:rFonts w:hint="eastAsia" w:ascii="CESI仿宋-GB2312" w:hAnsi="CESI仿宋-GB2312" w:eastAsia="CESI仿宋-GB2312" w:cs="CESI仿宋-GB2312"/>
          <w:sz w:val="32"/>
          <w:highlight w:val="none"/>
          <w:lang w:val="en-US" w:eastAsia="zh-CN"/>
        </w:rPr>
        <w:t>国家和省</w:t>
      </w:r>
      <w:r>
        <w:rPr>
          <w:rFonts w:hint="eastAsia" w:ascii="CESI仿宋-GB2312" w:hAnsi="CESI仿宋-GB2312" w:eastAsia="CESI仿宋-GB2312" w:cs="CESI仿宋-GB2312"/>
          <w:sz w:val="32"/>
          <w:highlight w:val="none"/>
        </w:rPr>
        <w:t>有关规定</w:t>
      </w:r>
      <w:r>
        <w:rPr>
          <w:rFonts w:hint="eastAsia" w:ascii="CESI仿宋-GB2312" w:hAnsi="CESI仿宋-GB2312" w:eastAsia="CESI仿宋-GB2312" w:cs="CESI仿宋-GB2312"/>
          <w:sz w:val="32"/>
          <w:highlight w:val="none"/>
          <w:lang w:eastAsia="zh-CN"/>
        </w:rPr>
        <w:t>，</w:t>
      </w:r>
      <w:r>
        <w:rPr>
          <w:rFonts w:hint="eastAsia" w:ascii="CESI仿宋-GB2312" w:hAnsi="CESI仿宋-GB2312" w:eastAsia="CESI仿宋-GB2312" w:cs="CESI仿宋-GB2312"/>
          <w:sz w:val="32"/>
          <w:highlight w:val="none"/>
        </w:rPr>
        <w:t>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b/>
          <w:bCs/>
          <w:sz w:val="32"/>
          <w:highlight w:val="none"/>
        </w:rPr>
        <w:t>第</w:t>
      </w:r>
      <w:r>
        <w:rPr>
          <w:rFonts w:hint="eastAsia" w:ascii="CESI仿宋-GB2312" w:hAnsi="CESI仿宋-GB2312" w:eastAsia="CESI仿宋-GB2312" w:cs="CESI仿宋-GB2312"/>
          <w:b/>
          <w:bCs/>
          <w:sz w:val="32"/>
          <w:highlight w:val="none"/>
          <w:lang w:val="en-US" w:eastAsia="zh-CN"/>
        </w:rPr>
        <w:t>二</w:t>
      </w:r>
      <w:r>
        <w:rPr>
          <w:rFonts w:hint="eastAsia" w:ascii="CESI仿宋-GB2312" w:hAnsi="CESI仿宋-GB2312" w:eastAsia="CESI仿宋-GB2312" w:cs="CESI仿宋-GB2312"/>
          <w:b/>
          <w:bCs/>
          <w:sz w:val="32"/>
          <w:highlight w:val="none"/>
        </w:rPr>
        <w:t>条</w:t>
      </w:r>
      <w:r>
        <w:rPr>
          <w:rFonts w:hint="eastAsia" w:ascii="CESI仿宋-GB2312" w:hAnsi="CESI仿宋-GB2312" w:eastAsia="CESI仿宋-GB2312" w:cs="CESI仿宋-GB2312"/>
          <w:sz w:val="32"/>
          <w:highlight w:val="none"/>
        </w:rPr>
        <w:t xml:space="preserve"> </w:t>
      </w:r>
      <w:r>
        <w:rPr>
          <w:rFonts w:hint="eastAsia" w:ascii="CESI仿宋-GB2312" w:hAnsi="CESI仿宋-GB2312" w:eastAsia="CESI仿宋-GB2312" w:cs="CESI仿宋-GB2312"/>
          <w:sz w:val="32"/>
          <w:highlight w:val="none"/>
          <w:lang w:val="en-US" w:eastAsia="zh-CN"/>
        </w:rPr>
        <w:t>省级再担保风险补偿资金（以下简称风险补偿金)主要用于配套国家融资担保基金，对吉林省信用融资担保投资集团有限公司（以下简称省担保集团）与合作融资担保机构开展的再担保业务发生的代偿进行补偿。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b/>
          <w:bCs/>
          <w:sz w:val="32"/>
          <w:highlight w:val="none"/>
        </w:rPr>
        <w:t>第</w:t>
      </w:r>
      <w:r>
        <w:rPr>
          <w:rFonts w:hint="eastAsia" w:ascii="CESI仿宋-GB2312" w:hAnsi="CESI仿宋-GB2312" w:eastAsia="CESI仿宋-GB2312" w:cs="CESI仿宋-GB2312"/>
          <w:b/>
          <w:bCs/>
          <w:sz w:val="32"/>
          <w:highlight w:val="none"/>
          <w:lang w:val="en-US" w:eastAsia="zh-CN"/>
        </w:rPr>
        <w:t>三</w:t>
      </w:r>
      <w:r>
        <w:rPr>
          <w:rFonts w:hint="eastAsia" w:ascii="CESI仿宋-GB2312" w:hAnsi="CESI仿宋-GB2312" w:eastAsia="CESI仿宋-GB2312" w:cs="CESI仿宋-GB2312"/>
          <w:b/>
          <w:bCs/>
          <w:sz w:val="32"/>
          <w:highlight w:val="none"/>
        </w:rPr>
        <w:t>条</w:t>
      </w:r>
      <w:r>
        <w:rPr>
          <w:rFonts w:hint="eastAsia" w:ascii="CESI仿宋-GB2312" w:hAnsi="CESI仿宋-GB2312" w:eastAsia="CESI仿宋-GB2312" w:cs="CESI仿宋-GB2312"/>
          <w:sz w:val="32"/>
          <w:highlight w:val="none"/>
        </w:rPr>
        <w:t xml:space="preserve"> </w:t>
      </w:r>
      <w:r>
        <w:rPr>
          <w:rFonts w:hint="eastAsia" w:ascii="CESI仿宋-GB2312" w:hAnsi="CESI仿宋-GB2312" w:eastAsia="CESI仿宋-GB2312" w:cs="CESI仿宋-GB2312"/>
          <w:sz w:val="32"/>
          <w:highlight w:val="none"/>
          <w:lang w:val="en-US" w:eastAsia="zh-CN"/>
        </w:rPr>
        <w:t>风险补偿金遵循“政府监管、市场运作、公平公正、诚实守信”的原则，确保其使用管理规范、安全和高效。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黑体-GB2312" w:hAnsi="CESI黑体-GB2312" w:eastAsia="CESI黑体-GB2312" w:cs="CESI黑体-GB2312"/>
          <w:b w:val="0"/>
          <w:bCs w:val="0"/>
          <w:sz w:val="32"/>
          <w:highlight w:val="none"/>
          <w:lang w:val="en-US" w:eastAsia="zh-CN"/>
        </w:rPr>
      </w:pPr>
      <w:r>
        <w:rPr>
          <w:rFonts w:hint="eastAsia" w:ascii="CESI黑体-GB2312" w:hAnsi="CESI黑体-GB2312" w:eastAsia="CESI黑体-GB2312" w:cs="CESI黑体-GB2312"/>
          <w:b w:val="0"/>
          <w:bCs w:val="0"/>
          <w:sz w:val="32"/>
          <w:highlight w:val="none"/>
          <w:lang w:val="en-US" w:eastAsia="zh-CN"/>
        </w:rPr>
        <w:t>第二章 资金来源及管理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CESI仿宋-GB2312" w:hAnsi="CESI仿宋-GB2312" w:eastAsia="CESI仿宋-GB2312" w:cs="CESI仿宋-GB2312"/>
          <w:sz w:val="32"/>
          <w:highlight w:val="none"/>
          <w:lang w:eastAsia="zh-CN"/>
        </w:rPr>
      </w:pPr>
      <w:r>
        <w:rPr>
          <w:rFonts w:hint="eastAsia" w:ascii="CESI仿宋-GB2312" w:hAnsi="CESI仿宋-GB2312" w:eastAsia="CESI仿宋-GB2312" w:cs="CESI仿宋-GB2312"/>
          <w:b/>
          <w:bCs/>
          <w:sz w:val="32"/>
          <w:highlight w:val="none"/>
          <w:lang w:eastAsia="zh-CN"/>
        </w:rPr>
        <w:t>第四条</w:t>
      </w:r>
      <w:r>
        <w:rPr>
          <w:rFonts w:hint="eastAsia" w:ascii="CESI仿宋-GB2312" w:hAnsi="CESI仿宋-GB2312" w:eastAsia="CESI仿宋-GB2312" w:cs="CESI仿宋-GB2312"/>
          <w:sz w:val="32"/>
          <w:highlight w:val="none"/>
          <w:lang w:val="en-US" w:eastAsia="zh-CN"/>
        </w:rPr>
        <w:t xml:space="preserve"> </w:t>
      </w:r>
      <w:r>
        <w:rPr>
          <w:rFonts w:hint="eastAsia" w:ascii="CESI仿宋-GB2312" w:hAnsi="CESI仿宋-GB2312" w:eastAsia="CESI仿宋-GB2312" w:cs="CESI仿宋-GB2312"/>
          <w:sz w:val="32"/>
          <w:highlight w:val="none"/>
          <w:lang w:eastAsia="zh-CN"/>
        </w:rPr>
        <w:t>风险补偿金由省级财政通过一般公共预算安排，首期</w:t>
      </w:r>
      <w:r>
        <w:rPr>
          <w:rFonts w:hint="eastAsia" w:ascii="CESI仿宋-GB2312" w:hAnsi="CESI仿宋-GB2312" w:eastAsia="CESI仿宋-GB2312" w:cs="CESI仿宋-GB2312"/>
          <w:sz w:val="32"/>
          <w:highlight w:val="none"/>
          <w:lang w:val="en-US" w:eastAsia="zh-CN"/>
        </w:rPr>
        <w:t>3000万元，以后年度</w:t>
      </w:r>
      <w:r>
        <w:rPr>
          <w:rFonts w:hint="eastAsia" w:ascii="CESI仿宋-GB2312" w:hAnsi="CESI仿宋-GB2312" w:eastAsia="CESI仿宋-GB2312" w:cs="CESI仿宋-GB2312"/>
          <w:sz w:val="32"/>
          <w:highlight w:val="none"/>
          <w:lang w:eastAsia="zh-CN"/>
        </w:rPr>
        <w:t>具体规模根据再担保业务规模、支持融资担保机构数量、代偿率以及风险补偿金结余等相关因素确定。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CESI仿宋-GB2312" w:hAnsi="CESI仿宋-GB2312" w:eastAsia="CESI仿宋-GB2312" w:cs="CESI仿宋-GB2312"/>
          <w:b/>
          <w:bCs/>
          <w:sz w:val="32"/>
          <w:highlight w:val="none"/>
          <w:lang w:val="en-US" w:eastAsia="zh-CN"/>
        </w:rPr>
      </w:pPr>
      <w:r>
        <w:rPr>
          <w:rFonts w:hint="eastAsia" w:ascii="CESI仿宋-GB2312" w:hAnsi="CESI仿宋-GB2312" w:eastAsia="CESI仿宋-GB2312" w:cs="CESI仿宋-GB2312"/>
          <w:b/>
          <w:bCs/>
          <w:sz w:val="32"/>
          <w:highlight w:val="none"/>
          <w:lang w:eastAsia="zh-CN"/>
        </w:rPr>
        <w:t>第五条</w:t>
      </w:r>
      <w:r>
        <w:rPr>
          <w:rFonts w:hint="eastAsia" w:ascii="CESI仿宋-GB2312" w:hAnsi="CESI仿宋-GB2312" w:eastAsia="CESI仿宋-GB2312" w:cs="CESI仿宋-GB2312"/>
          <w:sz w:val="32"/>
          <w:highlight w:val="none"/>
          <w:lang w:val="en-US" w:eastAsia="zh-CN"/>
        </w:rPr>
        <w:t xml:space="preserve"> 风险补偿金</w:t>
      </w:r>
      <w:r>
        <w:rPr>
          <w:rFonts w:hint="eastAsia" w:ascii="CESI仿宋-GB2312" w:hAnsi="CESI仿宋-GB2312" w:eastAsia="CESI仿宋-GB2312" w:cs="CESI仿宋-GB2312"/>
          <w:sz w:val="32"/>
          <w:highlight w:val="none"/>
          <w:lang w:eastAsia="zh-CN"/>
        </w:rPr>
        <w:t>委托</w:t>
      </w:r>
      <w:r>
        <w:rPr>
          <w:rFonts w:hint="eastAsia" w:ascii="CESI仿宋-GB2312" w:hAnsi="CESI仿宋-GB2312" w:eastAsia="CESI仿宋-GB2312" w:cs="CESI仿宋-GB2312"/>
          <w:sz w:val="32"/>
          <w:highlight w:val="none"/>
          <w:lang w:val="en-US" w:eastAsia="zh-CN"/>
        </w:rPr>
        <w:t>省担保集团管理。省担保集团设立风险补偿金专用账户，专款专用、封闭运行、单独核算，资金运用仅限于银行存款。风险补偿金的利息收益和追偿回收款自动滚入风险补偿金账户。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center"/>
        <w:textAlignment w:val="auto"/>
        <w:outlineLvl w:val="9"/>
        <w:rPr>
          <w:rFonts w:hint="eastAsia" w:ascii="CESI黑体-GB2312" w:hAnsi="CESI黑体-GB2312" w:eastAsia="CESI黑体-GB2312" w:cs="CESI黑体-GB2312"/>
          <w:b w:val="0"/>
          <w:bCs w:val="0"/>
          <w:sz w:val="32"/>
          <w:highlight w:val="none"/>
          <w:lang w:val="en-US" w:eastAsia="zh-CN"/>
        </w:rPr>
      </w:pPr>
      <w:r>
        <w:rPr>
          <w:rFonts w:hint="eastAsia" w:ascii="CESI黑体-GB2312" w:hAnsi="CESI黑体-GB2312" w:eastAsia="CESI黑体-GB2312" w:cs="CESI黑体-GB2312"/>
          <w:b w:val="0"/>
          <w:bCs w:val="0"/>
          <w:sz w:val="32"/>
          <w:highlight w:val="none"/>
          <w:lang w:val="en-US" w:eastAsia="zh-CN"/>
        </w:rPr>
        <w:t>第三章 补偿范围和标准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b/>
          <w:bCs/>
          <w:sz w:val="32"/>
          <w:highlight w:val="none"/>
        </w:rPr>
        <w:t>第</w:t>
      </w:r>
      <w:r>
        <w:rPr>
          <w:rFonts w:hint="eastAsia" w:ascii="CESI仿宋-GB2312" w:hAnsi="CESI仿宋-GB2312" w:eastAsia="CESI仿宋-GB2312" w:cs="CESI仿宋-GB2312"/>
          <w:b/>
          <w:bCs/>
          <w:sz w:val="32"/>
          <w:highlight w:val="none"/>
          <w:lang w:val="en-US" w:eastAsia="zh-CN"/>
        </w:rPr>
        <w:t>六</w:t>
      </w:r>
      <w:r>
        <w:rPr>
          <w:rFonts w:hint="eastAsia" w:ascii="CESI仿宋-GB2312" w:hAnsi="CESI仿宋-GB2312" w:eastAsia="CESI仿宋-GB2312" w:cs="CESI仿宋-GB2312"/>
          <w:b/>
          <w:bCs/>
          <w:sz w:val="32"/>
          <w:highlight w:val="none"/>
        </w:rPr>
        <w:t>条</w:t>
      </w:r>
      <w:r>
        <w:rPr>
          <w:rFonts w:hint="eastAsia" w:ascii="CESI仿宋-GB2312" w:hAnsi="CESI仿宋-GB2312" w:eastAsia="CESI仿宋-GB2312" w:cs="CESI仿宋-GB2312"/>
          <w:sz w:val="32"/>
          <w:highlight w:val="none"/>
        </w:rPr>
        <w:t xml:space="preserve"> </w:t>
      </w:r>
      <w:r>
        <w:rPr>
          <w:rFonts w:hint="eastAsia" w:ascii="CESI仿宋-GB2312" w:hAnsi="CESI仿宋-GB2312" w:eastAsia="CESI仿宋-GB2312" w:cs="CESI仿宋-GB2312"/>
          <w:sz w:val="32"/>
          <w:highlight w:val="none"/>
          <w:lang w:val="en-US" w:eastAsia="zh-CN"/>
        </w:rPr>
        <w:t>申请风险补偿金支持的融资担保机构应当同时具备以下条件：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（一）依法合规注册经营，具有独立法人资格，未被列入失信被执行名单；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（二）取得融资担保机构经营许可证，并在有效期内；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（三）注册资本不低于1亿元，经营融资担保业务1年（含）以上；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（四）有较完善的担保管理制度、内部控制制度及业务操作流程；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（五）按规定提取、管理和使用各项风险准备金；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（六）加入省再担保体系，省担保集团与其开展比例分险再担保业务；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（七）重点支持与银行业金融机构建立共同参与、合理分险的银担合作机制。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b/>
          <w:bCs/>
          <w:sz w:val="32"/>
          <w:highlight w:val="none"/>
        </w:rPr>
        <w:t>第</w:t>
      </w:r>
      <w:r>
        <w:rPr>
          <w:rFonts w:hint="eastAsia" w:ascii="CESI仿宋-GB2312" w:hAnsi="CESI仿宋-GB2312" w:eastAsia="CESI仿宋-GB2312" w:cs="CESI仿宋-GB2312"/>
          <w:b/>
          <w:bCs/>
          <w:sz w:val="32"/>
          <w:highlight w:val="none"/>
          <w:lang w:val="en-US" w:eastAsia="zh-CN"/>
        </w:rPr>
        <w:t>七</w:t>
      </w:r>
      <w:r>
        <w:rPr>
          <w:rFonts w:hint="eastAsia" w:ascii="CESI仿宋-GB2312" w:hAnsi="CESI仿宋-GB2312" w:eastAsia="CESI仿宋-GB2312" w:cs="CESI仿宋-GB2312"/>
          <w:b/>
          <w:bCs/>
          <w:sz w:val="32"/>
          <w:highlight w:val="none"/>
        </w:rPr>
        <w:t>条</w:t>
      </w:r>
      <w:r>
        <w:rPr>
          <w:rFonts w:hint="eastAsia" w:ascii="CESI仿宋-GB2312" w:hAnsi="CESI仿宋-GB2312" w:eastAsia="CESI仿宋-GB2312" w:cs="CESI仿宋-GB2312"/>
          <w:sz w:val="32"/>
          <w:highlight w:val="none"/>
        </w:rPr>
        <w:t xml:space="preserve"> </w:t>
      </w:r>
      <w:r>
        <w:rPr>
          <w:rFonts w:hint="eastAsia" w:ascii="CESI仿宋-GB2312" w:hAnsi="CESI仿宋-GB2312" w:eastAsia="CESI仿宋-GB2312" w:cs="CESI仿宋-GB2312"/>
          <w:sz w:val="32"/>
          <w:highlight w:val="none"/>
          <w:lang w:val="en-US" w:eastAsia="zh-CN"/>
        </w:rPr>
        <w:t>申请风险补偿金支持的融资担保业务应当符合以下条件：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（一）政策性融资担保业务，即担保对象为小微企业、“三农”和创业创新等市场主体，以及符合条件的战略性新兴产业项目；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（二）单户上限不超过1000万元，原则上单户1000万元及以下支小支农融资担保金额占比不低于80%，其中单户授信500万元及以下融资担保金额占比不低于50%；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（三）担保费率原则上不高于每年2%，或符合当地政府及监管部门的规定。优先选择担保费率低的融资担保业务纳入再担保合作范围；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（四）融资渠道为经国家监管部门批准、具有贷款资格的金融机构；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sz w:val="32"/>
          <w:highlight w:val="none"/>
          <w:lang w:val="en-US" w:eastAsia="zh-CN"/>
        </w:rPr>
        <w:t>（五）担保对象近两年无恶意逃废债务等重大不良信用记录。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sz w:val="32"/>
          <w:highlight w:val="none"/>
          <w:lang w:val="en-US" w:eastAsia="zh-CN"/>
        </w:rPr>
      </w:pPr>
      <w:r>
        <w:rPr>
          <w:rFonts w:hint="eastAsia" w:ascii="CESI仿宋-GB2312" w:hAnsi="CESI仿宋-GB2312" w:eastAsia="CESI仿宋-GB2312" w:cs="CESI仿宋-GB2312"/>
          <w:b/>
          <w:bCs/>
          <w:sz w:val="32"/>
          <w:highlight w:val="none"/>
        </w:rPr>
        <w:t>第</w:t>
      </w:r>
      <w:r>
        <w:rPr>
          <w:rFonts w:hint="eastAsia" w:ascii="CESI仿宋-GB2312" w:hAnsi="CESI仿宋-GB2312" w:eastAsia="CESI仿宋-GB2312" w:cs="CESI仿宋-GB2312"/>
          <w:b/>
          <w:bCs/>
          <w:sz w:val="32"/>
          <w:highlight w:val="none"/>
          <w:lang w:val="en-US" w:eastAsia="zh-CN"/>
        </w:rPr>
        <w:t>八</w:t>
      </w:r>
      <w:r>
        <w:rPr>
          <w:rFonts w:hint="eastAsia" w:ascii="CESI仿宋-GB2312" w:hAnsi="CESI仿宋-GB2312" w:eastAsia="CESI仿宋-GB2312" w:cs="CESI仿宋-GB2312"/>
          <w:b/>
          <w:bCs/>
          <w:sz w:val="32"/>
          <w:highlight w:val="none"/>
        </w:rPr>
        <w:t>条</w:t>
      </w:r>
      <w:r>
        <w:rPr>
          <w:rFonts w:hint="eastAsia" w:ascii="CESI仿宋-GB2312" w:hAnsi="CESI仿宋-GB2312" w:eastAsia="CESI仿宋-GB2312" w:cs="CESI仿宋-GB2312"/>
          <w:sz w:val="32"/>
          <w:highlight w:val="none"/>
        </w:rPr>
        <w:t xml:space="preserve"> </w:t>
      </w:r>
      <w:r>
        <w:rPr>
          <w:rFonts w:hint="eastAsia" w:ascii="CESI仿宋-GB2312" w:hAnsi="CESI仿宋-GB2312" w:eastAsia="CESI仿宋-GB2312" w:cs="CESI仿宋-GB2312"/>
          <w:sz w:val="32"/>
          <w:highlight w:val="none"/>
          <w:lang w:val="en-US" w:eastAsia="zh-CN"/>
        </w:rPr>
        <w:t>对纳入国家融资担保基金风险补偿范围的项目，风险补偿金承担40%的风险责任，并向国家融资担保基金申请风险分担。风险补偿金对省担保集团实际承担的再担保业务代偿给予60%的补偿。补偿总额以省财政厅安排的补偿资金规模为上限。对申请国家融资担保基金风险补偿的项目，由省担保集团按规定代收再担保费并定期上交国家融资担保基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jc w:val="center"/>
        <w:textAlignment w:val="auto"/>
        <w:rPr>
          <w:rFonts w:hint="eastAsia" w:ascii="宋体" w:hAnsi="宋体" w:eastAsia="黑体" w:cs="黑体"/>
          <w:sz w:val="32"/>
          <w:highlight w:val="none"/>
          <w:lang w:val="en-US" w:eastAsia="zh-CN"/>
        </w:rPr>
      </w:pPr>
      <w:r>
        <w:rPr>
          <w:rFonts w:hint="eastAsia" w:ascii="CESI黑体-GB2312" w:hAnsi="CESI黑体-GB2312" w:eastAsia="CESI黑体-GB2312" w:cs="CESI黑体-GB2312"/>
          <w:sz w:val="32"/>
          <w:highlight w:val="none"/>
          <w:lang w:val="en-US" w:eastAsia="zh-CN"/>
        </w:rPr>
        <w:t>第四章 代偿补偿程序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b/>
          <w:bCs/>
          <w:sz w:val="32"/>
          <w:highlight w:val="none"/>
        </w:rPr>
        <w:t>第</w:t>
      </w:r>
      <w:r>
        <w:rPr>
          <w:rFonts w:hint="eastAsia" w:ascii="CESI仿宋-GB2312" w:hAnsi="CESI仿宋-GB2312" w:eastAsia="CESI仿宋-GB2312" w:cs="CESI仿宋-GB2312"/>
          <w:b/>
          <w:bCs/>
          <w:sz w:val="32"/>
          <w:highlight w:val="none"/>
          <w:lang w:val="en-US" w:eastAsia="zh-CN"/>
        </w:rPr>
        <w:t>九</w:t>
      </w:r>
      <w:r>
        <w:rPr>
          <w:rFonts w:hint="eastAsia" w:ascii="CESI仿宋-GB2312" w:hAnsi="CESI仿宋-GB2312" w:eastAsia="CESI仿宋-GB2312" w:cs="CESI仿宋-GB2312"/>
          <w:b/>
          <w:bCs/>
          <w:sz w:val="32"/>
          <w:highlight w:val="none"/>
        </w:rPr>
        <w:t>条</w:t>
      </w:r>
      <w:r>
        <w:rPr>
          <w:rFonts w:hint="eastAsia" w:ascii="CESI仿宋-GB2312" w:hAnsi="CESI仿宋-GB2312" w:eastAsia="CESI仿宋-GB2312" w:cs="CESI仿宋-GB2312"/>
          <w:sz w:val="32"/>
          <w:highlight w:val="none"/>
        </w:rPr>
        <w:t xml:space="preserve"> </w:t>
      </w:r>
      <w:r>
        <w:rPr>
          <w:rFonts w:hint="eastAsia" w:ascii="CESI仿宋-GB2312" w:hAnsi="CESI仿宋-GB2312" w:eastAsia="CESI仿宋-GB2312" w:cs="CESI仿宋-GB2312"/>
          <w:sz w:val="32"/>
          <w:highlight w:val="none"/>
          <w:lang w:val="en-US" w:eastAsia="zh-CN"/>
        </w:rPr>
        <w:t>符合条件的融资担保业务发生代偿时，由融资担保机构先行向银行履行代偿责任后，按季度向省担保集团申请代偿补偿，并按规定提交申请材料。申请材料包括但不限于：风险补偿金申请表、借款人营业执照、身份证等资质证明材料，借款合同、保证合同等相关法律文件，保费收取凭证、再担保费缴纳凭证，银行等债权人代偿通知及代偿凭证，银行等债权人解除担保责任的函，贷款本息结算清单等以及省担保集团确认需要提供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highlight w:val="none"/>
          <w:lang w:val="en-US" w:eastAsia="zh-CN"/>
        </w:rPr>
      </w:pPr>
      <w:r>
        <w:rPr>
          <w:rFonts w:hint="eastAsia" w:ascii="CESI仿宋-GB2312" w:hAnsi="CESI仿宋-GB2312" w:eastAsia="CESI仿宋-GB2312" w:cs="CESI仿宋-GB2312"/>
          <w:b/>
          <w:bCs/>
          <w:sz w:val="32"/>
          <w:highlight w:val="none"/>
        </w:rPr>
        <w:t>第</w:t>
      </w:r>
      <w:r>
        <w:rPr>
          <w:rFonts w:hint="eastAsia" w:ascii="CESI仿宋-GB2312" w:hAnsi="CESI仿宋-GB2312" w:eastAsia="CESI仿宋-GB2312" w:cs="CESI仿宋-GB2312"/>
          <w:b/>
          <w:bCs/>
          <w:sz w:val="32"/>
          <w:highlight w:val="none"/>
          <w:lang w:val="en-US" w:eastAsia="zh-CN"/>
        </w:rPr>
        <w:t>十</w:t>
      </w:r>
      <w:r>
        <w:rPr>
          <w:rFonts w:hint="eastAsia" w:ascii="CESI仿宋-GB2312" w:hAnsi="CESI仿宋-GB2312" w:eastAsia="CESI仿宋-GB2312" w:cs="CESI仿宋-GB2312"/>
          <w:b/>
          <w:bCs/>
          <w:sz w:val="32"/>
          <w:highlight w:val="none"/>
        </w:rPr>
        <w:t>条</w:t>
      </w:r>
      <w:r>
        <w:rPr>
          <w:rFonts w:hint="eastAsia" w:ascii="CESI仿宋-GB2312" w:hAnsi="CESI仿宋-GB2312" w:eastAsia="CESI仿宋-GB2312" w:cs="CESI仿宋-GB2312"/>
          <w:sz w:val="32"/>
          <w:highlight w:val="none"/>
        </w:rPr>
        <w:t xml:space="preserve"> </w:t>
      </w:r>
      <w:r>
        <w:rPr>
          <w:rFonts w:hint="eastAsia" w:ascii="CESI仿宋-GB2312" w:hAnsi="CESI仿宋-GB2312" w:eastAsia="CESI仿宋-GB2312" w:cs="CESI仿宋-GB2312"/>
          <w:sz w:val="32"/>
          <w:highlight w:val="none"/>
          <w:lang w:val="en-US" w:eastAsia="zh-CN"/>
        </w:rPr>
        <w:t>省担保集团对融资担保机构的风险补偿金申请进行审核，符合国家融资担保基金条件的，由省担保集团按照约定比例（含国家融资担保基金承担部分）对融资担保机构进行代偿补偿，并按国家融资担保基金要求向其申请补偿，国家融资担保基金给予的分险补偿资金，省担保集团收到后及时缴回风险补偿金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highlight w:val="none"/>
          <w:lang w:val="en-US" w:eastAsia="zh-CN"/>
        </w:rPr>
      </w:pPr>
      <w:r>
        <w:rPr>
          <w:rFonts w:hint="eastAsia" w:ascii="CESI仿宋-GB2312" w:hAnsi="CESI仿宋-GB2312" w:eastAsia="CESI仿宋-GB2312" w:cs="CESI仿宋-GB2312"/>
          <w:b/>
          <w:bCs/>
          <w:sz w:val="32"/>
          <w:highlight w:val="none"/>
        </w:rPr>
        <w:t>第</w:t>
      </w:r>
      <w:r>
        <w:rPr>
          <w:rFonts w:hint="eastAsia" w:ascii="CESI仿宋-GB2312" w:hAnsi="CESI仿宋-GB2312" w:eastAsia="CESI仿宋-GB2312" w:cs="CESI仿宋-GB2312"/>
          <w:b/>
          <w:bCs/>
          <w:sz w:val="32"/>
          <w:highlight w:val="none"/>
          <w:lang w:val="en-US" w:eastAsia="zh-CN"/>
        </w:rPr>
        <w:t>十一</w:t>
      </w:r>
      <w:r>
        <w:rPr>
          <w:rFonts w:hint="eastAsia" w:ascii="CESI仿宋-GB2312" w:hAnsi="CESI仿宋-GB2312" w:eastAsia="CESI仿宋-GB2312" w:cs="CESI仿宋-GB2312"/>
          <w:b/>
          <w:bCs/>
          <w:sz w:val="32"/>
          <w:highlight w:val="none"/>
        </w:rPr>
        <w:t>条</w:t>
      </w:r>
      <w:r>
        <w:rPr>
          <w:rFonts w:hint="eastAsia" w:ascii="CESI仿宋-GB2312" w:hAnsi="CESI仿宋-GB2312" w:eastAsia="CESI仿宋-GB2312" w:cs="CESI仿宋-GB2312"/>
          <w:color w:val="auto"/>
          <w:sz w:val="32"/>
          <w:highlight w:val="none"/>
        </w:rPr>
        <w:t xml:space="preserve"> </w:t>
      </w:r>
      <w:r>
        <w:rPr>
          <w:rFonts w:hint="eastAsia" w:ascii="CESI仿宋-GB2312" w:hAnsi="CESI仿宋-GB2312" w:eastAsia="CESI仿宋-GB2312" w:cs="CESI仿宋-GB2312"/>
          <w:color w:val="auto"/>
          <w:sz w:val="32"/>
          <w:highlight w:val="none"/>
          <w:lang w:eastAsia="zh-CN"/>
        </w:rPr>
        <w:t>融资</w:t>
      </w:r>
      <w:r>
        <w:rPr>
          <w:rFonts w:hint="eastAsia" w:ascii="CESI仿宋-GB2312" w:hAnsi="CESI仿宋-GB2312" w:eastAsia="CESI仿宋-GB2312" w:cs="CESI仿宋-GB2312"/>
          <w:color w:val="auto"/>
          <w:sz w:val="32"/>
          <w:highlight w:val="none"/>
          <w:lang w:val="en-US" w:eastAsia="zh-CN"/>
        </w:rPr>
        <w:t>担保机构、合作银行应对发生补偿的项目实施有效追偿。依法追偿所得扣除诉讼等实现债权的费用后，应及时按各方分险比例进行分配，并将追偿所得属于风险补偿金及国家融资担保基金承担的部分，由省担保集团按合同约定比例缴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highlight w:val="none"/>
          <w:lang w:val="en-US" w:eastAsia="zh-CN"/>
        </w:rPr>
      </w:pPr>
      <w:r>
        <w:rPr>
          <w:rFonts w:hint="eastAsia" w:ascii="CESI仿宋-GB2312" w:hAnsi="CESI仿宋-GB2312" w:eastAsia="CESI仿宋-GB2312" w:cs="CESI仿宋-GB2312"/>
          <w:b/>
          <w:bCs/>
          <w:color w:val="auto"/>
          <w:sz w:val="32"/>
          <w:highlight w:val="none"/>
          <w:lang w:val="en-US" w:eastAsia="zh-CN"/>
        </w:rPr>
        <w:t>第十二条</w:t>
      </w:r>
      <w:r>
        <w:rPr>
          <w:rFonts w:hint="eastAsia" w:ascii="CESI仿宋-GB2312" w:hAnsi="CESI仿宋-GB2312" w:eastAsia="CESI仿宋-GB2312" w:cs="CESI仿宋-GB2312"/>
          <w:color w:val="auto"/>
          <w:sz w:val="32"/>
          <w:highlight w:val="none"/>
          <w:lang w:val="en-US" w:eastAsia="zh-CN"/>
        </w:rPr>
        <w:t xml:space="preserve"> 鼓励融资担保机构采取打包出售、公开拍卖、转让等市场化手段，加速代偿清收，及时充实风险补偿金。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highlight w:val="none"/>
          <w:lang w:val="en-US" w:eastAsia="zh-CN"/>
        </w:rPr>
      </w:pPr>
      <w:r>
        <w:rPr>
          <w:rFonts w:hint="eastAsia" w:ascii="CESI仿宋-GB2312" w:hAnsi="CESI仿宋-GB2312" w:eastAsia="CESI仿宋-GB2312" w:cs="CESI仿宋-GB2312"/>
          <w:b/>
          <w:bCs/>
          <w:color w:val="auto"/>
          <w:sz w:val="32"/>
          <w:highlight w:val="none"/>
        </w:rPr>
        <w:t>第</w:t>
      </w:r>
      <w:r>
        <w:rPr>
          <w:rFonts w:hint="eastAsia" w:ascii="CESI仿宋-GB2312" w:hAnsi="CESI仿宋-GB2312" w:eastAsia="CESI仿宋-GB2312" w:cs="CESI仿宋-GB2312"/>
          <w:b/>
          <w:bCs/>
          <w:color w:val="auto"/>
          <w:sz w:val="32"/>
          <w:highlight w:val="none"/>
          <w:lang w:val="en-US" w:eastAsia="zh-CN"/>
        </w:rPr>
        <w:t>十三</w:t>
      </w:r>
      <w:r>
        <w:rPr>
          <w:rFonts w:hint="eastAsia" w:ascii="CESI仿宋-GB2312" w:hAnsi="CESI仿宋-GB2312" w:eastAsia="CESI仿宋-GB2312" w:cs="CESI仿宋-GB2312"/>
          <w:b/>
          <w:bCs/>
          <w:color w:val="auto"/>
          <w:sz w:val="32"/>
          <w:highlight w:val="none"/>
        </w:rPr>
        <w:t>条</w:t>
      </w:r>
      <w:r>
        <w:rPr>
          <w:rFonts w:hint="eastAsia" w:ascii="CESI仿宋-GB2312" w:hAnsi="CESI仿宋-GB2312" w:eastAsia="CESI仿宋-GB2312" w:cs="CESI仿宋-GB2312"/>
          <w:color w:val="auto"/>
          <w:sz w:val="32"/>
          <w:highlight w:val="none"/>
        </w:rPr>
        <w:t xml:space="preserve"> </w:t>
      </w:r>
      <w:r>
        <w:rPr>
          <w:rFonts w:hint="eastAsia" w:ascii="CESI仿宋-GB2312" w:hAnsi="CESI仿宋-GB2312" w:eastAsia="CESI仿宋-GB2312" w:cs="CESI仿宋-GB2312"/>
          <w:color w:val="auto"/>
          <w:sz w:val="32"/>
          <w:highlight w:val="none"/>
          <w:lang w:val="en-US" w:eastAsia="zh-CN"/>
        </w:rPr>
        <w:t>每年3月底前,省担保集团与省财政厅结算上年度风险补偿金使用、核销等管理情况。当年未使用完的风险补偿金，实行滚存管理。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center"/>
        <w:textAlignment w:val="auto"/>
        <w:rPr>
          <w:rFonts w:hint="eastAsia" w:ascii="CESI黑体-GB2312" w:hAnsi="CESI黑体-GB2312" w:eastAsia="CESI黑体-GB2312" w:cs="CESI黑体-GB2312"/>
          <w:color w:val="auto"/>
          <w:sz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jc w:val="center"/>
        <w:textAlignment w:val="auto"/>
        <w:rPr>
          <w:rFonts w:hint="eastAsia" w:ascii="宋体" w:hAnsi="宋体" w:eastAsia="黑体" w:cs="黑体"/>
          <w:color w:val="auto"/>
          <w:sz w:val="32"/>
          <w:highlight w:val="none"/>
          <w:lang w:val="en-US" w:eastAsia="zh-CN"/>
        </w:rPr>
      </w:pPr>
      <w:r>
        <w:rPr>
          <w:rFonts w:hint="eastAsia" w:ascii="CESI黑体-GB2312" w:hAnsi="CESI黑体-GB2312" w:eastAsia="CESI黑体-GB2312" w:cs="CESI黑体-GB2312"/>
          <w:color w:val="auto"/>
          <w:sz w:val="32"/>
          <w:highlight w:val="none"/>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highlight w:val="none"/>
          <w:lang w:val="en-US" w:eastAsia="zh-CN"/>
        </w:rPr>
      </w:pPr>
      <w:r>
        <w:rPr>
          <w:rFonts w:hint="eastAsia" w:ascii="CESI仿宋-GB2312" w:hAnsi="CESI仿宋-GB2312" w:eastAsia="CESI仿宋-GB2312" w:cs="CESI仿宋-GB2312"/>
          <w:b/>
          <w:bCs/>
          <w:color w:val="auto"/>
          <w:sz w:val="32"/>
          <w:highlight w:val="none"/>
          <w:lang w:val="en-US" w:eastAsia="zh-CN"/>
        </w:rPr>
        <w:t>第十四条</w:t>
      </w:r>
      <w:r>
        <w:rPr>
          <w:rFonts w:hint="eastAsia" w:ascii="CESI仿宋-GB2312" w:hAnsi="CESI仿宋-GB2312" w:eastAsia="CESI仿宋-GB2312" w:cs="CESI仿宋-GB2312"/>
          <w:color w:val="auto"/>
          <w:sz w:val="32"/>
          <w:highlight w:val="none"/>
          <w:lang w:val="en-US" w:eastAsia="zh-CN"/>
        </w:rPr>
        <w:t xml:space="preserve"> 省担保集团会同合作银行、融资担保机构对贷款企业进行日常跟踪管理及财务风险控制。贷款企业存在弄虚作假、恶意逃避债务等情形的，合作银行将贷款企业及责任人纳入人民银行征信系统。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highlight w:val="none"/>
          <w:lang w:val="en-US" w:eastAsia="zh-CN"/>
        </w:rPr>
      </w:pPr>
      <w:r>
        <w:rPr>
          <w:rFonts w:hint="eastAsia" w:ascii="CESI仿宋-GB2312" w:hAnsi="CESI仿宋-GB2312" w:eastAsia="CESI仿宋-GB2312" w:cs="CESI仿宋-GB2312"/>
          <w:b/>
          <w:bCs/>
          <w:sz w:val="32"/>
          <w:highlight w:val="none"/>
          <w:lang w:val="en-US" w:eastAsia="zh-CN"/>
        </w:rPr>
        <w:t>第十五条</w:t>
      </w:r>
      <w:r>
        <w:rPr>
          <w:rFonts w:hint="eastAsia" w:ascii="CESI仿宋-GB2312" w:hAnsi="CESI仿宋-GB2312" w:eastAsia="CESI仿宋-GB2312" w:cs="CESI仿宋-GB2312"/>
          <w:sz w:val="32"/>
          <w:highlight w:val="none"/>
          <w:lang w:val="en-US" w:eastAsia="zh-CN"/>
        </w:rPr>
        <w:t xml:space="preserve"> 对省担保集团已经代偿补偿的担保业务，如发现代偿补偿项目不符合约定的再担保业务条件，或超出代偿范围、或存在严重不尽责等道德风险、或国家融资担保基金不予代偿补偿的，按约定由省担保集团收回代偿补偿资金，返还给风险补偿金专用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lang w:val="en-US" w:eastAsia="zh-CN"/>
        </w:rPr>
      </w:pPr>
      <w:r>
        <w:rPr>
          <w:rFonts w:hint="eastAsia" w:ascii="CESI仿宋-GB2312" w:hAnsi="CESI仿宋-GB2312" w:eastAsia="CESI仿宋-GB2312" w:cs="CESI仿宋-GB2312"/>
          <w:b/>
          <w:bCs/>
          <w:color w:val="auto"/>
          <w:sz w:val="32"/>
          <w:lang w:val="en-US" w:eastAsia="zh-CN"/>
        </w:rPr>
        <w:t>第十六条</w:t>
      </w:r>
      <w:r>
        <w:rPr>
          <w:rFonts w:hint="eastAsia" w:ascii="CESI仿宋-GB2312" w:hAnsi="CESI仿宋-GB2312" w:eastAsia="CESI仿宋-GB2312" w:cs="CESI仿宋-GB2312"/>
          <w:color w:val="auto"/>
          <w:sz w:val="32"/>
          <w:lang w:val="en-US" w:eastAsia="zh-CN"/>
        </w:rPr>
        <w:t xml:space="preserve"> 省担保集团每年度终了3个月内向省财政厅报送上一年度风险补偿金管理与使用审计报告，并专题报告上一年度运营管理情况。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lang w:val="en-US" w:eastAsia="zh-CN"/>
        </w:rPr>
      </w:pPr>
      <w:r>
        <w:rPr>
          <w:rFonts w:hint="eastAsia" w:ascii="CESI仿宋-GB2312" w:hAnsi="CESI仿宋-GB2312" w:eastAsia="CESI仿宋-GB2312" w:cs="CESI仿宋-GB2312"/>
          <w:b/>
          <w:bCs/>
          <w:color w:val="auto"/>
          <w:sz w:val="32"/>
          <w:lang w:val="en-US" w:eastAsia="zh-CN"/>
        </w:rPr>
        <w:t>第十七条</w:t>
      </w:r>
      <w:r>
        <w:rPr>
          <w:rFonts w:hint="eastAsia" w:ascii="CESI仿宋-GB2312" w:hAnsi="CESI仿宋-GB2312" w:eastAsia="CESI仿宋-GB2312" w:cs="CESI仿宋-GB2312"/>
          <w:color w:val="auto"/>
          <w:sz w:val="32"/>
          <w:lang w:val="en-US" w:eastAsia="zh-CN"/>
        </w:rPr>
        <w:t xml:space="preserve"> </w:t>
      </w:r>
      <w:r>
        <w:rPr>
          <w:rFonts w:hint="eastAsia" w:ascii="CESI仿宋-GB2312" w:hAnsi="CESI仿宋-GB2312" w:eastAsia="CESI仿宋-GB2312" w:cs="CESI仿宋-GB2312"/>
          <w:color w:val="auto"/>
          <w:sz w:val="32"/>
          <w:lang w:eastAsia="zh-CN"/>
        </w:rPr>
        <w:t>省担保集团根据本办法制定相关配套实施细则</w:t>
      </w:r>
      <w:r>
        <w:rPr>
          <w:rFonts w:hint="eastAsia" w:ascii="CESI仿宋-GB2312" w:hAnsi="CESI仿宋-GB2312" w:eastAsia="CESI仿宋-GB2312" w:cs="CESI仿宋-GB2312"/>
          <w:color w:val="auto"/>
          <w:sz w:val="32"/>
          <w:lang w:val="en-US" w:eastAsia="zh-CN"/>
        </w:rPr>
        <w:t>，并按有关财务管理规定妥善保存相关原始票据及凭证，自觉接受有关部门的监督和审计。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lang w:val="en-US" w:eastAsia="zh-CN"/>
        </w:rPr>
      </w:pPr>
      <w:r>
        <w:rPr>
          <w:rFonts w:hint="eastAsia" w:ascii="CESI仿宋-GB2312" w:hAnsi="CESI仿宋-GB2312" w:eastAsia="CESI仿宋-GB2312" w:cs="CESI仿宋-GB2312"/>
          <w:b/>
          <w:bCs/>
          <w:color w:val="auto"/>
          <w:sz w:val="32"/>
        </w:rPr>
        <w:t>第</w:t>
      </w:r>
      <w:r>
        <w:rPr>
          <w:rFonts w:hint="eastAsia" w:ascii="CESI仿宋-GB2312" w:hAnsi="CESI仿宋-GB2312" w:eastAsia="CESI仿宋-GB2312" w:cs="CESI仿宋-GB2312"/>
          <w:b/>
          <w:bCs/>
          <w:color w:val="auto"/>
          <w:sz w:val="32"/>
          <w:lang w:val="en-US" w:eastAsia="zh-CN"/>
        </w:rPr>
        <w:t>十八</w:t>
      </w:r>
      <w:r>
        <w:rPr>
          <w:rFonts w:hint="eastAsia" w:ascii="CESI仿宋-GB2312" w:hAnsi="CESI仿宋-GB2312" w:eastAsia="CESI仿宋-GB2312" w:cs="CESI仿宋-GB2312"/>
          <w:b/>
          <w:bCs/>
          <w:color w:val="auto"/>
          <w:sz w:val="32"/>
        </w:rPr>
        <w:t>条</w:t>
      </w:r>
      <w:r>
        <w:rPr>
          <w:rFonts w:hint="eastAsia" w:ascii="CESI仿宋-GB2312" w:hAnsi="CESI仿宋-GB2312" w:eastAsia="CESI仿宋-GB2312" w:cs="CESI仿宋-GB2312"/>
          <w:color w:val="auto"/>
          <w:sz w:val="32"/>
        </w:rPr>
        <w:t xml:space="preserve"> </w:t>
      </w:r>
      <w:r>
        <w:rPr>
          <w:rFonts w:hint="eastAsia" w:ascii="CESI仿宋-GB2312" w:hAnsi="CESI仿宋-GB2312" w:eastAsia="CESI仿宋-GB2312" w:cs="CESI仿宋-GB2312"/>
          <w:color w:val="auto"/>
          <w:sz w:val="32"/>
          <w:lang w:val="en-US" w:eastAsia="zh-CN"/>
        </w:rPr>
        <w:t>省财政厅负责对风险补偿金进行监督管理，必要时委托社会中介机构进行审计或评估。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lang w:val="en-US" w:eastAsia="zh-CN"/>
        </w:rPr>
      </w:pPr>
      <w:r>
        <w:rPr>
          <w:rFonts w:hint="eastAsia" w:ascii="CESI仿宋-GB2312" w:hAnsi="CESI仿宋-GB2312" w:eastAsia="CESI仿宋-GB2312" w:cs="CESI仿宋-GB2312"/>
          <w:b/>
          <w:bCs/>
          <w:color w:val="auto"/>
          <w:sz w:val="32"/>
          <w:lang w:val="en-US" w:eastAsia="zh-CN"/>
        </w:rPr>
        <w:t>第十九条</w:t>
      </w:r>
      <w:r>
        <w:rPr>
          <w:rFonts w:hint="eastAsia" w:ascii="CESI仿宋-GB2312" w:hAnsi="CESI仿宋-GB2312" w:eastAsia="CESI仿宋-GB2312" w:cs="CESI仿宋-GB2312"/>
          <w:color w:val="auto"/>
          <w:sz w:val="32"/>
          <w:lang w:val="en-US" w:eastAsia="zh-CN"/>
        </w:rPr>
        <w:t xml:space="preserve"> 申请风险补偿金的融资担保机构应对申报材料的真实性、完整性负责。融资担保机构在获得代偿补偿后未继续采取有效的债务追偿措施及未按要求及时报送申报资料的，取消其补偿资格。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lang w:val="en-US" w:eastAsia="zh-CN"/>
        </w:rPr>
      </w:pPr>
      <w:r>
        <w:rPr>
          <w:rFonts w:hint="eastAsia" w:ascii="CESI仿宋-GB2312" w:hAnsi="CESI仿宋-GB2312" w:eastAsia="CESI仿宋-GB2312" w:cs="CESI仿宋-GB2312"/>
          <w:b/>
          <w:bCs/>
          <w:color w:val="auto"/>
          <w:sz w:val="32"/>
        </w:rPr>
        <w:t>第</w:t>
      </w:r>
      <w:r>
        <w:rPr>
          <w:rFonts w:hint="eastAsia" w:ascii="CESI仿宋-GB2312" w:hAnsi="CESI仿宋-GB2312" w:eastAsia="CESI仿宋-GB2312" w:cs="CESI仿宋-GB2312"/>
          <w:b/>
          <w:bCs/>
          <w:color w:val="auto"/>
          <w:sz w:val="32"/>
          <w:lang w:eastAsia="zh-CN"/>
        </w:rPr>
        <w:t>二</w:t>
      </w:r>
      <w:r>
        <w:rPr>
          <w:rFonts w:hint="eastAsia" w:ascii="CESI仿宋-GB2312" w:hAnsi="CESI仿宋-GB2312" w:eastAsia="CESI仿宋-GB2312" w:cs="CESI仿宋-GB2312"/>
          <w:b/>
          <w:bCs/>
          <w:color w:val="auto"/>
          <w:sz w:val="32"/>
          <w:lang w:val="en-US" w:eastAsia="zh-CN"/>
        </w:rPr>
        <w:t>十</w:t>
      </w:r>
      <w:r>
        <w:rPr>
          <w:rFonts w:hint="eastAsia" w:ascii="CESI仿宋-GB2312" w:hAnsi="CESI仿宋-GB2312" w:eastAsia="CESI仿宋-GB2312" w:cs="CESI仿宋-GB2312"/>
          <w:b/>
          <w:bCs/>
          <w:color w:val="auto"/>
          <w:sz w:val="32"/>
        </w:rPr>
        <w:t>条</w:t>
      </w:r>
      <w:r>
        <w:rPr>
          <w:rFonts w:hint="eastAsia" w:ascii="CESI仿宋-GB2312" w:hAnsi="CESI仿宋-GB2312" w:eastAsia="CESI仿宋-GB2312" w:cs="CESI仿宋-GB2312"/>
          <w:color w:val="auto"/>
          <w:sz w:val="32"/>
        </w:rPr>
        <w:t xml:space="preserve"> </w:t>
      </w:r>
      <w:r>
        <w:rPr>
          <w:rFonts w:hint="eastAsia" w:ascii="CESI仿宋-GB2312" w:hAnsi="CESI仿宋-GB2312" w:eastAsia="CESI仿宋-GB2312" w:cs="CESI仿宋-GB2312"/>
          <w:color w:val="auto"/>
          <w:sz w:val="32"/>
          <w:lang w:eastAsia="zh-CN"/>
        </w:rPr>
        <w:t>对省担保集团及其合作融资</w:t>
      </w:r>
      <w:r>
        <w:rPr>
          <w:rFonts w:hint="eastAsia" w:ascii="CESI仿宋-GB2312" w:hAnsi="CESI仿宋-GB2312" w:eastAsia="CESI仿宋-GB2312" w:cs="CESI仿宋-GB2312"/>
          <w:color w:val="auto"/>
          <w:sz w:val="32"/>
          <w:lang w:val="en-US" w:eastAsia="zh-CN"/>
        </w:rPr>
        <w:t>担保机构截留、挤占、挪用、骗取风险补偿金的，追回已拨补偿资金，取消其补偿资格，并根据相关法律法规规定，追究有关单位和人员的责任。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黑体" w:cs="黑体"/>
          <w:color w:val="auto"/>
          <w:sz w:val="32"/>
          <w:lang w:val="en-US" w:eastAsia="zh-CN"/>
        </w:rPr>
      </w:pPr>
      <w:r>
        <w:rPr>
          <w:rFonts w:hint="eastAsia" w:ascii="宋体" w:hAnsi="宋体" w:eastAsia="黑体" w:cs="黑体"/>
          <w:color w:val="auto"/>
          <w:sz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lang w:eastAsia="zh-CN"/>
        </w:rPr>
      </w:pPr>
      <w:r>
        <w:rPr>
          <w:rFonts w:hint="eastAsia" w:ascii="CESI仿宋-GB2312" w:hAnsi="CESI仿宋-GB2312" w:eastAsia="CESI仿宋-GB2312" w:cs="CESI仿宋-GB2312"/>
          <w:b/>
          <w:bCs/>
          <w:color w:val="auto"/>
          <w:sz w:val="32"/>
        </w:rPr>
        <w:t>第</w:t>
      </w:r>
      <w:r>
        <w:rPr>
          <w:rFonts w:hint="eastAsia" w:ascii="CESI仿宋-GB2312" w:hAnsi="CESI仿宋-GB2312" w:eastAsia="CESI仿宋-GB2312" w:cs="CESI仿宋-GB2312"/>
          <w:b/>
          <w:bCs/>
          <w:color w:val="auto"/>
          <w:sz w:val="32"/>
          <w:lang w:eastAsia="zh-CN"/>
        </w:rPr>
        <w:t>二</w:t>
      </w:r>
      <w:r>
        <w:rPr>
          <w:rFonts w:hint="eastAsia" w:ascii="CESI仿宋-GB2312" w:hAnsi="CESI仿宋-GB2312" w:eastAsia="CESI仿宋-GB2312" w:cs="CESI仿宋-GB2312"/>
          <w:b/>
          <w:bCs/>
          <w:color w:val="auto"/>
          <w:sz w:val="32"/>
          <w:lang w:val="en-US" w:eastAsia="zh-CN"/>
        </w:rPr>
        <w:t>十一</w:t>
      </w:r>
      <w:r>
        <w:rPr>
          <w:rFonts w:hint="eastAsia" w:ascii="CESI仿宋-GB2312" w:hAnsi="CESI仿宋-GB2312" w:eastAsia="CESI仿宋-GB2312" w:cs="CESI仿宋-GB2312"/>
          <w:b/>
          <w:bCs/>
          <w:color w:val="auto"/>
          <w:sz w:val="32"/>
        </w:rPr>
        <w:t>条</w:t>
      </w:r>
      <w:r>
        <w:rPr>
          <w:rFonts w:hint="eastAsia" w:ascii="CESI仿宋-GB2312" w:hAnsi="CESI仿宋-GB2312" w:eastAsia="CESI仿宋-GB2312" w:cs="CESI仿宋-GB2312"/>
          <w:color w:val="auto"/>
          <w:sz w:val="32"/>
        </w:rPr>
        <w:t xml:space="preserve"> </w:t>
      </w:r>
      <w:r>
        <w:rPr>
          <w:rFonts w:hint="eastAsia" w:ascii="仿宋" w:hAnsi="仿宋" w:eastAsia="仿宋" w:cs="仿宋"/>
          <w:kern w:val="0"/>
          <w:sz w:val="32"/>
          <w:szCs w:val="32"/>
          <w:lang w:val="en-US" w:eastAsia="zh-CN" w:bidi="ar"/>
        </w:rPr>
        <w:t>本办法由吉林省财政厅负责解释。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b/>
          <w:bCs/>
          <w:lang w:val="en-US" w:eastAsia="zh-CN"/>
        </w:rPr>
      </w:pPr>
      <w:r>
        <w:rPr>
          <w:rFonts w:hint="eastAsia" w:ascii="CESI仿宋-GB2312" w:hAnsi="CESI仿宋-GB2312" w:eastAsia="CESI仿宋-GB2312" w:cs="CESI仿宋-GB2312"/>
          <w:b/>
          <w:bCs/>
          <w:color w:val="auto"/>
          <w:sz w:val="32"/>
          <w:lang w:val="en-US" w:eastAsia="zh-CN"/>
        </w:rPr>
        <w:t>第二十二条</w:t>
      </w:r>
      <w:r>
        <w:rPr>
          <w:rFonts w:hint="eastAsia" w:ascii="CESI仿宋-GB2312" w:hAnsi="CESI仿宋-GB2312" w:eastAsia="CESI仿宋-GB2312" w:cs="CESI仿宋-GB2312"/>
          <w:color w:val="auto"/>
          <w:sz w:val="32"/>
          <w:lang w:val="en-US" w:eastAsia="zh-CN"/>
        </w:rPr>
        <w:t xml:space="preserve"> </w:t>
      </w:r>
      <w:r>
        <w:rPr>
          <w:rFonts w:hint="eastAsia" w:ascii="仿宋" w:hAnsi="仿宋" w:eastAsia="仿宋" w:cs="仿宋"/>
          <w:kern w:val="0"/>
          <w:sz w:val="32"/>
          <w:szCs w:val="32"/>
          <w:lang w:val="en-US" w:eastAsia="zh-CN" w:bidi="ar"/>
        </w:rPr>
        <w:t>本办法自2022年1月1日起施行，有效期至2024年12月31日止。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rPr>
      </w:pPr>
    </w:p>
    <w:sectPr>
      <w:footerReference r:id="rId3" w:type="default"/>
      <w:footerReference r:id="rId4" w:type="even"/>
      <w:pgSz w:w="11906" w:h="16838"/>
      <w:pgMar w:top="2098" w:right="1588" w:bottom="2098" w:left="1588" w:header="851" w:footer="1588" w:gutter="0"/>
      <w:pgNumType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rPr>
    </w:pPr>
    <w:r>
      <w:rPr>
        <w:rStyle w:val="8"/>
        <w:sz w:val="28"/>
      </w:rPr>
      <w:t>—</w:t>
    </w:r>
    <w:r>
      <w:rPr>
        <w:sz w:val="28"/>
      </w:rPr>
      <w:fldChar w:fldCharType="begin"/>
    </w:r>
    <w:r>
      <w:rPr>
        <w:rStyle w:val="8"/>
        <w:sz w:val="28"/>
      </w:rPr>
      <w:instrText xml:space="preserve">PAGE  </w:instrText>
    </w:r>
    <w:r>
      <w:rPr>
        <w:sz w:val="28"/>
      </w:rPr>
      <w:fldChar w:fldCharType="separate"/>
    </w:r>
    <w:r>
      <w:rPr>
        <w:rStyle w:val="8"/>
        <w:sz w:val="28"/>
      </w:rPr>
      <w:t>1</w:t>
    </w:r>
    <w:r>
      <w:rPr>
        <w:sz w:val="28"/>
      </w:rPr>
      <w:fldChar w:fldCharType="end"/>
    </w:r>
    <w:r>
      <w:rPr>
        <w:rStyle w:val="8"/>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drawingGridHorizontalSpacing w:val="156"/>
  <w:drawingGridVerticalSpacing w:val="28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23E86"/>
    <w:rsid w:val="11DE523B"/>
    <w:rsid w:val="1BFA4039"/>
    <w:rsid w:val="1D896B0C"/>
    <w:rsid w:val="275525DC"/>
    <w:rsid w:val="38ED7916"/>
    <w:rsid w:val="3E344EF0"/>
    <w:rsid w:val="43405479"/>
    <w:rsid w:val="4FEF9B30"/>
    <w:rsid w:val="5BE629D4"/>
    <w:rsid w:val="5D6C5E0F"/>
    <w:rsid w:val="5F6F3299"/>
    <w:rsid w:val="622E457E"/>
    <w:rsid w:val="69225DDD"/>
    <w:rsid w:val="6BE513FA"/>
    <w:rsid w:val="6C023E86"/>
    <w:rsid w:val="74BEA0BD"/>
    <w:rsid w:val="77D5FE31"/>
    <w:rsid w:val="77FE0E68"/>
    <w:rsid w:val="782B63A7"/>
    <w:rsid w:val="7DDD2CAD"/>
    <w:rsid w:val="7F7FF4F8"/>
    <w:rsid w:val="9FFAF147"/>
    <w:rsid w:val="CFFB1CB4"/>
    <w:rsid w:val="DF7AD481"/>
    <w:rsid w:val="EA65BB9C"/>
    <w:rsid w:val="F6B598B7"/>
    <w:rsid w:val="F7265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link w:val="7"/>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w:basedOn w:val="1"/>
    <w:link w:val="6"/>
    <w:qFormat/>
    <w:uiPriority w:val="0"/>
    <w:pPr>
      <w:widowControl/>
      <w:spacing w:after="160" w:afterLines="0" w:line="240" w:lineRule="exact"/>
      <w:jc w:val="left"/>
    </w:p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inspur/E:\&#20844;&#25991;\82&#20010;&#20154;&#20107;&#39033;\2020&#24180;\WPS&#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WPS模板.wpt</Template>
  <Pages>1</Pages>
  <Words>0</Words>
  <Characters>0</Characters>
  <Lines>1</Lines>
  <Paragraphs>1</Paragraphs>
  <TotalTime>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2021-07-30T16:02:00Z</dcterms:created>
  <dc:creator>lenovo</dc:creator>
  <cp:lastModifiedBy>inspur</cp:lastModifiedBy>
  <cp:lastPrinted>2021-12-08T08:44:56Z</cp:lastPrinted>
  <dcterms:modified xsi:type="dcterms:W3CDTF">2021-12-08T08:45:50Z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