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为提高吉林省农业融资担保有限公司防范风险能力，支持全省农业信贷担保机构健康可持续发展，根据《财政部 农业农村部 银保监会 人民银行关于进一步做好全国农业信贷担保工作的通知》（财农〔2020〕15号）和吉林省财政厅、吉林省农业农村厅、吉林省地方金融监管局、人民银行长春中心支行、银保监会吉林监管局《关于进一步做好全省农业信贷担保工作的通知》（吉财粮〔2020〕539号）等规定，结合我省实际，我们修订完善了《吉林省政策性农业信贷担保业务奖补办法》，现印发给你们，请遵照执行。</w:t>
      </w: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bookmarkStart w:id="1" w:name="_GoBack"/>
      <w:bookmarkStart w:id="0" w:name="OLE_LINK1"/>
      <w:r>
        <w:rPr>
          <w:rFonts w:hint="eastAsia" w:ascii="仿宋" w:hAnsi="仿宋" w:eastAsia="仿宋" w:cs="仿宋"/>
          <w:sz w:val="32"/>
          <w:szCs w:val="32"/>
          <w:lang w:val="en-US" w:eastAsia="zh-CN"/>
        </w:rPr>
        <w:t>吉林省政策性农业信贷担保业务奖补办法</w:t>
      </w:r>
      <w:bookmarkEnd w:id="1"/>
      <w:bookmarkEnd w:id="0"/>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2020年12月18日</w:t>
      </w: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 w:lineRule="atLeast"/>
        <w:ind w:right="0" w:rightChars="0" w:firstLine="1280" w:firstLineChars="4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吉林省政策性农业信贷担保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业务奖补办法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为提高吉林省农业融资担保有限公司（以下简称省农担公司）防范风险能力，支持全省农业信贷担保机构健康可持续发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展，根据《财政部 农业部 银监会关于做好全国农业信贷担保工作的通知》（财农〔2017〕40号）、《财政部 农业部 银保监会 人民银行关于进一步做好全国农业信贷担保工作的通知》（财农〔2020〕15号）和吉林省财政厅、吉林省农业农村厅、吉林省地方金融监管局、人民银行长春中心支行、银保监会吉林监管局《关于进一步做好全省政策性农业信贷担保工作的通知》（吉财粮〔2020〕539号）等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第二条</w:t>
      </w:r>
      <w:r>
        <w:rPr>
          <w:rFonts w:hint="eastAsia" w:ascii="仿宋" w:hAnsi="仿宋" w:eastAsia="仿宋" w:cs="仿宋"/>
          <w:b w:val="0"/>
          <w:bCs w:val="0"/>
          <w:sz w:val="32"/>
          <w:szCs w:val="32"/>
          <w:lang w:eastAsia="zh-CN"/>
        </w:rPr>
        <w:t xml:space="preserve"> </w:t>
      </w:r>
      <w:r>
        <w:rPr>
          <w:rFonts w:hint="eastAsia" w:ascii="仿宋" w:hAnsi="仿宋" w:eastAsia="仿宋" w:cs="仿宋"/>
          <w:sz w:val="32"/>
          <w:szCs w:val="32"/>
          <w:lang w:eastAsia="zh-CN"/>
        </w:rPr>
        <w:t>本办法所称政策性</w:t>
      </w:r>
      <w:r>
        <w:rPr>
          <w:rFonts w:hint="eastAsia" w:ascii="仿宋" w:hAnsi="仿宋" w:eastAsia="仿宋" w:cs="仿宋"/>
          <w:b w:val="0"/>
          <w:bCs w:val="0"/>
          <w:sz w:val="32"/>
          <w:szCs w:val="32"/>
          <w:lang w:eastAsia="zh-CN"/>
        </w:rPr>
        <w:t>业务奖补</w:t>
      </w:r>
      <w:r>
        <w:rPr>
          <w:rFonts w:hint="eastAsia" w:ascii="仿宋" w:hAnsi="仿宋" w:eastAsia="仿宋" w:cs="仿宋"/>
          <w:sz w:val="32"/>
          <w:szCs w:val="32"/>
          <w:lang w:eastAsia="zh-CN"/>
        </w:rPr>
        <w:t>，是</w:t>
      </w:r>
      <w:r>
        <w:rPr>
          <w:rFonts w:hint="eastAsia" w:ascii="仿宋" w:hAnsi="仿宋" w:eastAsia="仿宋" w:cs="仿宋"/>
          <w:b w:val="0"/>
          <w:bCs w:val="0"/>
          <w:sz w:val="32"/>
          <w:szCs w:val="32"/>
          <w:lang w:eastAsia="zh-CN"/>
        </w:rPr>
        <w:t>省财政厅</w:t>
      </w:r>
      <w:r>
        <w:rPr>
          <w:rFonts w:hint="eastAsia" w:ascii="仿宋" w:hAnsi="仿宋" w:eastAsia="仿宋" w:cs="仿宋"/>
          <w:sz w:val="32"/>
          <w:szCs w:val="32"/>
        </w:rPr>
        <w:t>在综合考量省农担公司</w:t>
      </w:r>
      <w:r>
        <w:rPr>
          <w:rFonts w:hint="eastAsia" w:ascii="仿宋" w:hAnsi="仿宋" w:eastAsia="仿宋" w:cs="仿宋"/>
          <w:sz w:val="32"/>
          <w:szCs w:val="32"/>
          <w:lang w:eastAsia="zh-CN"/>
        </w:rPr>
        <w:t>“双控”业务开展</w:t>
      </w:r>
      <w:r>
        <w:rPr>
          <w:rFonts w:hint="eastAsia" w:ascii="仿宋" w:hAnsi="仿宋" w:eastAsia="仿宋" w:cs="仿宋"/>
          <w:sz w:val="32"/>
          <w:szCs w:val="32"/>
        </w:rPr>
        <w:t>、政策性</w:t>
      </w:r>
      <w:r>
        <w:rPr>
          <w:rFonts w:hint="eastAsia" w:ascii="仿宋" w:hAnsi="仿宋" w:eastAsia="仿宋" w:cs="仿宋"/>
          <w:sz w:val="32"/>
          <w:szCs w:val="32"/>
          <w:lang w:eastAsia="zh-CN"/>
        </w:rPr>
        <w:t>业务</w:t>
      </w:r>
      <w:r>
        <w:rPr>
          <w:rFonts w:hint="eastAsia" w:ascii="仿宋" w:hAnsi="仿宋" w:eastAsia="仿宋" w:cs="仿宋"/>
          <w:sz w:val="32"/>
          <w:szCs w:val="32"/>
        </w:rPr>
        <w:t>占比、</w:t>
      </w:r>
      <w:r>
        <w:rPr>
          <w:rFonts w:hint="eastAsia" w:ascii="仿宋" w:hAnsi="仿宋" w:eastAsia="仿宋" w:cs="仿宋"/>
          <w:b w:val="0"/>
          <w:bCs w:val="0"/>
          <w:sz w:val="32"/>
          <w:szCs w:val="32"/>
          <w:lang w:eastAsia="zh-CN"/>
        </w:rPr>
        <w:t>政策性业务余额、</w:t>
      </w:r>
      <w:r>
        <w:rPr>
          <w:rFonts w:hint="eastAsia" w:ascii="仿宋" w:hAnsi="仿宋" w:eastAsia="仿宋" w:cs="仿宋"/>
          <w:sz w:val="32"/>
          <w:szCs w:val="32"/>
          <w:lang w:eastAsia="zh-CN"/>
        </w:rPr>
        <w:t>净资产</w:t>
      </w:r>
      <w:r>
        <w:rPr>
          <w:rFonts w:hint="eastAsia" w:ascii="仿宋" w:hAnsi="仿宋" w:eastAsia="仿宋" w:cs="仿宋"/>
          <w:sz w:val="32"/>
          <w:szCs w:val="32"/>
        </w:rPr>
        <w:t>放大倍数、风险</w:t>
      </w:r>
      <w:r>
        <w:rPr>
          <w:rFonts w:hint="eastAsia" w:ascii="仿宋" w:hAnsi="仿宋" w:eastAsia="仿宋" w:cs="仿宋"/>
          <w:sz w:val="32"/>
          <w:szCs w:val="32"/>
          <w:lang w:eastAsia="zh-CN"/>
        </w:rPr>
        <w:t>防控</w:t>
      </w:r>
      <w:r>
        <w:rPr>
          <w:rFonts w:hint="eastAsia" w:ascii="仿宋" w:hAnsi="仿宋" w:eastAsia="仿宋" w:cs="仿宋"/>
          <w:sz w:val="32"/>
          <w:szCs w:val="32"/>
        </w:rPr>
        <w:t>等指标</w:t>
      </w:r>
      <w:r>
        <w:rPr>
          <w:rFonts w:hint="eastAsia" w:ascii="仿宋" w:hAnsi="仿宋" w:eastAsia="仿宋" w:cs="仿宋"/>
          <w:sz w:val="32"/>
          <w:szCs w:val="32"/>
          <w:lang w:eastAsia="zh-CN"/>
        </w:rPr>
        <w:t>以及</w:t>
      </w:r>
      <w:r>
        <w:rPr>
          <w:rFonts w:hint="eastAsia" w:ascii="仿宋" w:hAnsi="仿宋" w:eastAsia="仿宋" w:cs="仿宋"/>
          <w:sz w:val="32"/>
          <w:szCs w:val="32"/>
        </w:rPr>
        <w:t>绩效考核情况</w:t>
      </w:r>
      <w:r>
        <w:rPr>
          <w:rFonts w:hint="eastAsia" w:ascii="仿宋" w:hAnsi="仿宋" w:eastAsia="仿宋" w:cs="仿宋"/>
          <w:sz w:val="32"/>
          <w:szCs w:val="32"/>
          <w:lang w:eastAsia="zh-CN"/>
        </w:rPr>
        <w:t>的</w:t>
      </w:r>
      <w:r>
        <w:rPr>
          <w:rFonts w:hint="eastAsia" w:ascii="仿宋" w:hAnsi="仿宋" w:eastAsia="仿宋" w:cs="仿宋"/>
          <w:sz w:val="32"/>
          <w:szCs w:val="32"/>
        </w:rPr>
        <w:t>基础上，</w:t>
      </w:r>
      <w:r>
        <w:rPr>
          <w:rFonts w:hint="eastAsia" w:ascii="仿宋" w:hAnsi="仿宋" w:eastAsia="仿宋" w:cs="仿宋"/>
          <w:sz w:val="32"/>
          <w:szCs w:val="32"/>
          <w:lang w:eastAsia="zh-CN"/>
        </w:rPr>
        <w:t>对开展的</w:t>
      </w:r>
      <w:r>
        <w:rPr>
          <w:rFonts w:hint="eastAsia" w:ascii="仿宋" w:hAnsi="仿宋" w:eastAsia="仿宋" w:cs="仿宋"/>
          <w:b w:val="0"/>
          <w:bCs w:val="0"/>
          <w:sz w:val="32"/>
          <w:szCs w:val="32"/>
          <w:lang w:eastAsia="zh-CN"/>
        </w:rPr>
        <w:t>“双控”标准范围内</w:t>
      </w:r>
      <w:r>
        <w:rPr>
          <w:rFonts w:hint="eastAsia" w:ascii="仿宋" w:hAnsi="仿宋" w:eastAsia="仿宋" w:cs="仿宋"/>
          <w:sz w:val="32"/>
          <w:szCs w:val="32"/>
          <w:lang w:eastAsia="zh-CN"/>
        </w:rPr>
        <w:t>政策性农业信贷担保业务</w:t>
      </w:r>
      <w:r>
        <w:rPr>
          <w:rFonts w:hint="eastAsia" w:ascii="仿宋" w:hAnsi="仿宋" w:eastAsia="仿宋" w:cs="仿宋"/>
          <w:sz w:val="32"/>
          <w:szCs w:val="32"/>
        </w:rPr>
        <w:t>给予的奖补</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政策性业务为10万元-300万元的农业信贷担保业务</w:t>
      </w:r>
      <w:r>
        <w:rPr>
          <w:rFonts w:hint="eastAsia" w:ascii="仿宋" w:hAnsi="仿宋" w:eastAsia="仿宋" w:cs="仿宋"/>
          <w:sz w:val="32"/>
          <w:szCs w:val="32"/>
          <w:lang w:eastAsia="zh-CN"/>
        </w:rPr>
        <w:t>（国家另有规定的从其规定）</w:t>
      </w:r>
      <w:r>
        <w:rPr>
          <w:rFonts w:hint="eastAsia" w:ascii="仿宋" w:hAnsi="仿宋" w:eastAsia="仿宋" w:cs="仿宋"/>
          <w:b w:val="0"/>
          <w:bCs w:val="0"/>
          <w:sz w:val="32"/>
          <w:szCs w:val="32"/>
          <w:lang w:eastAsia="zh-CN"/>
        </w:rPr>
        <w:t>，包含开展担保业务时符合政策规定、分期还款后在保余额低于10万元的项目。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奖补资金来源于中央财政拨付我省的担保业务奖补资金。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第四条</w:t>
      </w:r>
      <w:r>
        <w:rPr>
          <w:rFonts w:hint="eastAsia" w:ascii="仿宋" w:hAnsi="仿宋" w:eastAsia="仿宋" w:cs="仿宋"/>
          <w:b w:val="0"/>
          <w:bCs w:val="0"/>
          <w:sz w:val="32"/>
          <w:szCs w:val="32"/>
          <w:lang w:eastAsia="zh-CN"/>
        </w:rPr>
        <w:t xml:space="preserve"> 奖补资金采取以奖代补方式，用于建立农业信贷担保系统风险资金池、风险代偿或转增资本金规模等。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第二章 奖补条件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第五条</w:t>
      </w:r>
      <w:r>
        <w:rPr>
          <w:rFonts w:hint="eastAsia" w:ascii="仿宋" w:hAnsi="仿宋" w:eastAsia="仿宋" w:cs="仿宋"/>
          <w:b w:val="0"/>
          <w:bCs w:val="0"/>
          <w:sz w:val="32"/>
          <w:szCs w:val="32"/>
          <w:lang w:eastAsia="zh-CN"/>
        </w:rPr>
        <w:t xml:space="preserve"> 农业信贷担保业务应符合“双控”标准，原则上政策性业务在保余额不低于总担保余额的70%。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第六条</w:t>
      </w:r>
      <w:r>
        <w:rPr>
          <w:rFonts w:hint="eastAsia" w:ascii="仿宋" w:hAnsi="仿宋" w:eastAsia="仿宋" w:cs="仿宋"/>
          <w:b w:val="0"/>
          <w:bCs w:val="0"/>
          <w:sz w:val="32"/>
          <w:szCs w:val="32"/>
          <w:lang w:eastAsia="zh-CN"/>
        </w:rPr>
        <w:t xml:space="preserve"> 完成国家和省里要求的上年度符合“双控”标准的政策性担保业务余额。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第七条</w:t>
      </w:r>
      <w:r>
        <w:rPr>
          <w:rFonts w:hint="eastAsia" w:ascii="仿宋" w:hAnsi="仿宋" w:eastAsia="仿宋" w:cs="仿宋"/>
          <w:b w:val="0"/>
          <w:bCs w:val="0"/>
          <w:sz w:val="32"/>
          <w:szCs w:val="32"/>
          <w:lang w:eastAsia="zh-CN"/>
        </w:rPr>
        <w:t xml:space="preserve"> 完成省里要求的在保放大倍数和新增放大倍数。在保放大倍数=期末担保余额/年均净资产；新增放大倍数=本年实际担保期限6个月以上的新增担保规模/年均净资产；年均净资产=[期初净资产+年末净资产]/2。上述净资产为扣除对国家农担公司股权投资的规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 xml:space="preserve">第八条 </w:t>
      </w:r>
      <w:r>
        <w:rPr>
          <w:rFonts w:hint="eastAsia" w:ascii="仿宋" w:hAnsi="仿宋" w:eastAsia="仿宋" w:cs="仿宋"/>
          <w:b w:val="0"/>
          <w:bCs w:val="0"/>
          <w:sz w:val="32"/>
          <w:szCs w:val="32"/>
          <w:lang w:eastAsia="zh-CN"/>
        </w:rPr>
        <w:t>风险控制考虑代偿追偿的担保代偿率在3%以内。考虑代偿追偿的担保代偿率=（本年度累计担保代偿额-本年度累计代偿追偿额）/本年度累计解除的担保责任额×100%。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第九条</w:t>
      </w:r>
      <w:r>
        <w:rPr>
          <w:rFonts w:hint="eastAsia" w:ascii="仿宋" w:hAnsi="仿宋" w:eastAsia="仿宋" w:cs="仿宋"/>
          <w:b w:val="0"/>
          <w:bCs w:val="0"/>
          <w:sz w:val="32"/>
          <w:szCs w:val="32"/>
          <w:lang w:eastAsia="zh-CN"/>
        </w:rPr>
        <w:t xml:space="preserve"> 存在下列情形之一的，不给予政策性担保业务奖补：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（一）违反《担保法》、《公司法》、《融资担保公司监督管理条例》等法律法规行为；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（二）挪用奖补资金，瞒报农业担保风险，虚报、骗取奖补资金；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（三）违规开展非农担保业务行为；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　　（四）其他违法违规行为。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第三章  奖补资金申报与拨付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每年</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lang w:eastAsia="zh-CN"/>
        </w:rPr>
        <w:t>日前，省农担公司应向省财政厅报送上年政策性担保业务奖补资金申请及以下相关材料：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（一）上年度政策性担保业务余额汇总表；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（二）担保资本金在保放大倍数、新增放大倍数和担保代偿率计算结果及依据；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（三）会计师事务所出具的专项审计报告，报告中应反映年末涉农在担保或涉农贷款余额情况；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省农担公司应对申报材料的真实性、准确性和完整性负责。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第十一条</w:t>
      </w:r>
      <w:r>
        <w:rPr>
          <w:rFonts w:hint="eastAsia" w:ascii="仿宋" w:hAnsi="仿宋" w:eastAsia="仿宋" w:cs="仿宋"/>
          <w:b w:val="0"/>
          <w:bCs w:val="0"/>
          <w:sz w:val="32"/>
          <w:szCs w:val="32"/>
          <w:lang w:eastAsia="zh-CN"/>
        </w:rPr>
        <w:t xml:space="preserve"> 省财政厅会同省农业农村厅对申报材料进行审核，并向中央财政申请奖补资金。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 xml:space="preserve">第十二条 </w:t>
      </w:r>
      <w:r>
        <w:rPr>
          <w:rFonts w:hint="eastAsia" w:ascii="仿宋" w:hAnsi="仿宋" w:eastAsia="仿宋" w:cs="仿宋"/>
          <w:b w:val="0"/>
          <w:bCs w:val="0"/>
          <w:sz w:val="32"/>
          <w:szCs w:val="32"/>
          <w:lang w:eastAsia="zh-CN"/>
        </w:rPr>
        <w:t>省财政厅依据中央财政拨付的奖补资金规模和上年度绩效考核等情况，对奖补资金进行核定。并采取先预拨后清算方式进行拨付。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第四章 监督管理与责任追究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 xml:space="preserve">第十三条 </w:t>
      </w:r>
      <w:r>
        <w:rPr>
          <w:rFonts w:hint="eastAsia" w:ascii="仿宋" w:hAnsi="仿宋" w:eastAsia="仿宋" w:cs="仿宋"/>
          <w:b w:val="0"/>
          <w:bCs w:val="0"/>
          <w:sz w:val="32"/>
          <w:szCs w:val="32"/>
          <w:lang w:eastAsia="zh-CN"/>
        </w:rPr>
        <w:t>省农担公司应完善风险防控机制，加强对担保项目的审查和跟踪，健全事前评估、事中监控、事后追偿与处置机制，自觉接受监督检查。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第十四条</w:t>
      </w:r>
      <w:r>
        <w:rPr>
          <w:rFonts w:hint="eastAsia" w:ascii="仿宋" w:hAnsi="仿宋" w:eastAsia="仿宋" w:cs="仿宋"/>
          <w:b w:val="0"/>
          <w:bCs w:val="0"/>
          <w:sz w:val="32"/>
          <w:szCs w:val="32"/>
          <w:lang w:eastAsia="zh-CN"/>
        </w:rPr>
        <w:t xml:space="preserve"> 省农担公司应严格按照规定使用政策性担保业务奖补资金，不得作为营业性收入，不得挤占和挪用。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 xml:space="preserve">第十五条 </w:t>
      </w:r>
      <w:r>
        <w:rPr>
          <w:rFonts w:hint="eastAsia" w:ascii="仿宋" w:hAnsi="仿宋" w:eastAsia="仿宋" w:cs="仿宋"/>
          <w:b w:val="0"/>
          <w:bCs w:val="0"/>
          <w:sz w:val="32"/>
          <w:szCs w:val="32"/>
          <w:lang w:eastAsia="zh-CN"/>
        </w:rPr>
        <w:t>省农担公司虚报、骗取及违规使用政策性担保业务奖补资金的；相关部门及其工作人员在担保业务奖补资金分配、审核等工作中，存在违规分配资金，以及其他滥用职权、玩忽职守、徇私舞弊等违法违规行为的，按照《中华人民共和国预算法》及其实施条例、《财政违法行为处罚处分条例》等规定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第十六条</w:t>
      </w:r>
      <w:r>
        <w:rPr>
          <w:rFonts w:hint="eastAsia" w:ascii="仿宋" w:hAnsi="仿宋" w:eastAsia="仿宋" w:cs="仿宋"/>
          <w:b w:val="0"/>
          <w:bCs w:val="0"/>
          <w:sz w:val="32"/>
          <w:szCs w:val="32"/>
          <w:lang w:eastAsia="zh-CN"/>
        </w:rPr>
        <w:t xml:space="preserve"> 本办法由省财政厅、省农业农村厅负责解释。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第十七条</w:t>
      </w:r>
      <w:r>
        <w:rPr>
          <w:rFonts w:hint="eastAsia" w:ascii="仿宋" w:hAnsi="仿宋" w:eastAsia="仿宋" w:cs="仿宋"/>
          <w:b w:val="0"/>
          <w:bCs w:val="0"/>
          <w:sz w:val="32"/>
          <w:szCs w:val="32"/>
          <w:lang w:eastAsia="zh-CN"/>
        </w:rPr>
        <w:t xml:space="preserve"> 本办法自</w:t>
      </w:r>
      <w:r>
        <w:rPr>
          <w:rFonts w:hint="eastAsia" w:ascii="仿宋" w:hAnsi="仿宋" w:eastAsia="仿宋" w:cs="仿宋"/>
          <w:b w:val="0"/>
          <w:bCs w:val="0"/>
          <w:sz w:val="32"/>
          <w:szCs w:val="32"/>
          <w:lang w:val="en-US" w:eastAsia="zh-CN"/>
        </w:rPr>
        <w:t>2021年1月1日起执行</w:t>
      </w:r>
      <w:r>
        <w:rPr>
          <w:rFonts w:hint="eastAsia" w:ascii="仿宋" w:hAnsi="仿宋" w:eastAsia="仿宋" w:cs="仿宋"/>
          <w:b w:val="0"/>
          <w:bCs w:val="0"/>
          <w:sz w:val="32"/>
          <w:szCs w:val="32"/>
          <w:lang w:eastAsia="zh-CN"/>
        </w:rPr>
        <w:t>。原吉林省财政厅、吉林省农业委员会印发的《吉林省农业信贷担保有限公司担保业务奖补办法（试行）》（吉财粮</w:t>
      </w:r>
      <w:r>
        <w:rPr>
          <w:rFonts w:hint="eastAsia" w:ascii="仿宋" w:hAnsi="仿宋" w:eastAsia="仿宋" w:cs="仿宋"/>
          <w:sz w:val="32"/>
          <w:szCs w:val="32"/>
          <w:lang w:val="en-US" w:eastAsia="zh-CN"/>
        </w:rPr>
        <w:t>〔2017〕</w:t>
      </w:r>
      <w:r>
        <w:rPr>
          <w:rFonts w:hint="eastAsia" w:ascii="仿宋" w:hAnsi="仿宋" w:eastAsia="仿宋" w:cs="仿宋"/>
          <w:b w:val="0"/>
          <w:bCs w:val="0"/>
          <w:sz w:val="32"/>
          <w:szCs w:val="32"/>
          <w:lang w:val="en-US" w:eastAsia="zh-CN"/>
        </w:rPr>
        <w:t>1119号</w:t>
      </w:r>
      <w:r>
        <w:rPr>
          <w:rFonts w:hint="eastAsia" w:ascii="仿宋" w:hAnsi="仿宋" w:eastAsia="仿宋" w:cs="仿宋"/>
          <w:b w:val="0"/>
          <w:bCs w:val="0"/>
          <w:sz w:val="32"/>
          <w:szCs w:val="32"/>
          <w:lang w:eastAsia="zh-CN"/>
        </w:rPr>
        <w:t>）同时废止。</w:t>
      </w:r>
    </w:p>
    <w:sectPr>
      <w:headerReference r:id="rId3" w:type="default"/>
      <w:footerReference r:id="rId4" w:type="default"/>
      <w:pgSz w:w="11906" w:h="16838"/>
      <w:pgMar w:top="2098" w:right="1587" w:bottom="2098" w:left="1587" w:header="851" w:footer="992" w:gutter="0"/>
      <w:pgNumType w:fmt="numberInDash"/>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中宋i惨..">
    <w:altName w:val="宋体"/>
    <w:panose1 w:val="00000000000000000000"/>
    <w:charset w:val="86"/>
    <w:family w:val="roma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Calibri">
    <w:panose1 w:val="020F0502020204030204"/>
    <w:charset w:val="01"/>
    <w:family w:val="auto"/>
    <w:pitch w:val="default"/>
    <w:sig w:usb0="E00002FF" w:usb1="4000ACFF" w:usb2="00000001" w:usb3="00000000" w:csb0="2000019F" w:csb1="00000000"/>
  </w:font>
  <w:font w:name="Tahoma">
    <w:panose1 w:val="020B0604030504040204"/>
    <w:charset w:val="01"/>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宋体 ! important">
    <w:altName w:val="宋体"/>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宋体-方正超大字符集">
    <w:altName w:val="宋体"/>
    <w:panose1 w:val="03000509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E16C3"/>
    <w:rsid w:val="00603B3E"/>
    <w:rsid w:val="010D2DC7"/>
    <w:rsid w:val="012046DA"/>
    <w:rsid w:val="023F037B"/>
    <w:rsid w:val="02DE340B"/>
    <w:rsid w:val="03B42F9F"/>
    <w:rsid w:val="042F1DF2"/>
    <w:rsid w:val="0516346A"/>
    <w:rsid w:val="05647336"/>
    <w:rsid w:val="06CD1E8C"/>
    <w:rsid w:val="089A443A"/>
    <w:rsid w:val="09583DEE"/>
    <w:rsid w:val="096D0B57"/>
    <w:rsid w:val="0AC92E6F"/>
    <w:rsid w:val="0CCE1EF5"/>
    <w:rsid w:val="0D5067B2"/>
    <w:rsid w:val="0DF739AD"/>
    <w:rsid w:val="0F5D529D"/>
    <w:rsid w:val="0F7F2E79"/>
    <w:rsid w:val="11C777F4"/>
    <w:rsid w:val="1227266C"/>
    <w:rsid w:val="145B577D"/>
    <w:rsid w:val="158202D8"/>
    <w:rsid w:val="16D32D12"/>
    <w:rsid w:val="17400009"/>
    <w:rsid w:val="174652B1"/>
    <w:rsid w:val="190C1EB7"/>
    <w:rsid w:val="19597229"/>
    <w:rsid w:val="195C1DED"/>
    <w:rsid w:val="1B945E12"/>
    <w:rsid w:val="1C7877ED"/>
    <w:rsid w:val="1D4A2249"/>
    <w:rsid w:val="1D537253"/>
    <w:rsid w:val="1E69620F"/>
    <w:rsid w:val="1F2372E3"/>
    <w:rsid w:val="205B1870"/>
    <w:rsid w:val="20934236"/>
    <w:rsid w:val="20A11371"/>
    <w:rsid w:val="20DA777E"/>
    <w:rsid w:val="20FE1C04"/>
    <w:rsid w:val="220A4613"/>
    <w:rsid w:val="22ED2DEC"/>
    <w:rsid w:val="236E7DFF"/>
    <w:rsid w:val="23C94CE4"/>
    <w:rsid w:val="26210B1E"/>
    <w:rsid w:val="26481605"/>
    <w:rsid w:val="266B5956"/>
    <w:rsid w:val="267D41EB"/>
    <w:rsid w:val="275D3812"/>
    <w:rsid w:val="2836157B"/>
    <w:rsid w:val="29347428"/>
    <w:rsid w:val="296650FA"/>
    <w:rsid w:val="29A620AC"/>
    <w:rsid w:val="2A4F4AEB"/>
    <w:rsid w:val="2B8C37BD"/>
    <w:rsid w:val="2CA012EC"/>
    <w:rsid w:val="2E111A57"/>
    <w:rsid w:val="2F8229AA"/>
    <w:rsid w:val="30E505AE"/>
    <w:rsid w:val="315230AF"/>
    <w:rsid w:val="31C90C6D"/>
    <w:rsid w:val="31E304AC"/>
    <w:rsid w:val="31F745B3"/>
    <w:rsid w:val="321F71AA"/>
    <w:rsid w:val="3302008B"/>
    <w:rsid w:val="350D7667"/>
    <w:rsid w:val="3726070A"/>
    <w:rsid w:val="377271F5"/>
    <w:rsid w:val="37C73D13"/>
    <w:rsid w:val="3CD66F18"/>
    <w:rsid w:val="3CF23898"/>
    <w:rsid w:val="3D1E16C3"/>
    <w:rsid w:val="3D847B7B"/>
    <w:rsid w:val="3F0A23F4"/>
    <w:rsid w:val="3FD40051"/>
    <w:rsid w:val="3FF26475"/>
    <w:rsid w:val="406E2CC7"/>
    <w:rsid w:val="41232398"/>
    <w:rsid w:val="42D368AC"/>
    <w:rsid w:val="43856F2A"/>
    <w:rsid w:val="43BE68B6"/>
    <w:rsid w:val="43D133A4"/>
    <w:rsid w:val="451071E8"/>
    <w:rsid w:val="45117E40"/>
    <w:rsid w:val="46AD1398"/>
    <w:rsid w:val="46D67755"/>
    <w:rsid w:val="47D5484C"/>
    <w:rsid w:val="483A47DA"/>
    <w:rsid w:val="489155CB"/>
    <w:rsid w:val="4896018C"/>
    <w:rsid w:val="4A2E3BF0"/>
    <w:rsid w:val="4B7B3E4F"/>
    <w:rsid w:val="4BAC73D8"/>
    <w:rsid w:val="4C0E391B"/>
    <w:rsid w:val="4CA50C1A"/>
    <w:rsid w:val="4CE731B9"/>
    <w:rsid w:val="4D2E495A"/>
    <w:rsid w:val="4DA83FAF"/>
    <w:rsid w:val="4DDB778B"/>
    <w:rsid w:val="4E442EC9"/>
    <w:rsid w:val="4F95107B"/>
    <w:rsid w:val="502D6FE4"/>
    <w:rsid w:val="50D9628F"/>
    <w:rsid w:val="524D46F5"/>
    <w:rsid w:val="5287021E"/>
    <w:rsid w:val="539C609F"/>
    <w:rsid w:val="5400283E"/>
    <w:rsid w:val="54FB20FB"/>
    <w:rsid w:val="552E19C9"/>
    <w:rsid w:val="5623135E"/>
    <w:rsid w:val="56A407E8"/>
    <w:rsid w:val="56E1608B"/>
    <w:rsid w:val="57236D03"/>
    <w:rsid w:val="57D15589"/>
    <w:rsid w:val="5A881D26"/>
    <w:rsid w:val="5ABB27C6"/>
    <w:rsid w:val="5BAB729E"/>
    <w:rsid w:val="5D985692"/>
    <w:rsid w:val="5E765358"/>
    <w:rsid w:val="60480C9E"/>
    <w:rsid w:val="60B8017C"/>
    <w:rsid w:val="60D67213"/>
    <w:rsid w:val="62B421EB"/>
    <w:rsid w:val="63264B36"/>
    <w:rsid w:val="63C24313"/>
    <w:rsid w:val="64726662"/>
    <w:rsid w:val="67037C3A"/>
    <w:rsid w:val="694B1E90"/>
    <w:rsid w:val="69BF17C5"/>
    <w:rsid w:val="69F318AC"/>
    <w:rsid w:val="6AC5020A"/>
    <w:rsid w:val="6AF8627A"/>
    <w:rsid w:val="6C4F4502"/>
    <w:rsid w:val="6C5C6EF8"/>
    <w:rsid w:val="6D7C0A92"/>
    <w:rsid w:val="7076633D"/>
    <w:rsid w:val="71285AEA"/>
    <w:rsid w:val="712D5920"/>
    <w:rsid w:val="71531165"/>
    <w:rsid w:val="71B6098F"/>
    <w:rsid w:val="71D90909"/>
    <w:rsid w:val="728C2099"/>
    <w:rsid w:val="73460801"/>
    <w:rsid w:val="734C0D71"/>
    <w:rsid w:val="749C1DF8"/>
    <w:rsid w:val="74ED23D6"/>
    <w:rsid w:val="761859FC"/>
    <w:rsid w:val="78280E6B"/>
    <w:rsid w:val="78801374"/>
    <w:rsid w:val="78D851D8"/>
    <w:rsid w:val="78EE02E6"/>
    <w:rsid w:val="7A064212"/>
    <w:rsid w:val="7A3F50A3"/>
    <w:rsid w:val="7B750C7D"/>
    <w:rsid w:val="7E227D63"/>
    <w:rsid w:val="7EAF4ACA"/>
    <w:rsid w:val="7EDE61F9"/>
    <w:rsid w:val="7F0D0DA0"/>
    <w:rsid w:val="7F9E13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w:qFormat/>
    <w:uiPriority w:val="0"/>
    <w:pPr>
      <w:widowControl w:val="0"/>
      <w:jc w:val="both"/>
    </w:pPr>
    <w:rPr>
      <w:rFonts w:ascii="Calibri" w:hAnsi="Calibri" w:eastAsia="宋体" w:cs="黑体"/>
      <w:kern w:val="2"/>
      <w:sz w:val="21"/>
      <w:szCs w:val="22"/>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Calibri" w:hAnsi="Calibri" w:eastAsia="宋体" w:cstheme="minorBidi"/>
      <w:kern w:val="2"/>
      <w:sz w:val="21"/>
      <w:szCs w:val="22"/>
    </w:rPr>
  </w:style>
  <w:style w:type="paragraph" w:customStyle="1" w:styleId="9">
    <w:name w:val="正文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z w:val="21"/>
      <w:szCs w:val="24"/>
    </w:rPr>
  </w:style>
  <w:style w:type="paragraph" w:customStyle="1" w:styleId="11">
    <w:name w:val="正文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4"/>
    </w:rPr>
  </w:style>
  <w:style w:type="paragraph" w:customStyle="1" w:styleId="12">
    <w:name w:val="正文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13">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2019-10-12T02:17:00Z</dcterms:created>
  <dc:creator>lenovo</dc:creator>
  <cp:lastModifiedBy>zhou</cp:lastModifiedBy>
  <cp:lastPrinted>2020-12-22T08:12:00Z</cp:lastPrinted>
  <dcterms:modified xsi:type="dcterms:W3CDTF">2020-12-30T13:36:18Z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