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关于严格执行企业会计准则 切实做好企业2023年年报工作的通知</w:t>
      </w:r>
    </w:p>
    <w:bookmarkEnd w:id="0"/>
    <w:p>
      <w:pPr>
        <w:ind w:firstLine="0" w:firstLineChars="200"/>
        <w:jc w:val="center"/>
        <w:rPr>
          <w:rFonts w:hint="eastAsia"/>
        </w:rPr>
      </w:pPr>
      <w:r>
        <w:rPr>
          <w:rFonts w:hint="eastAsia"/>
        </w:rPr>
        <w:t>财会〔2023〕29号</w:t>
      </w:r>
    </w:p>
    <w:p>
      <w:pPr>
        <w:rPr>
          <w:rFonts w:hint="eastAsia"/>
        </w:rPr>
      </w:pPr>
      <w:r>
        <w:rPr>
          <w:rFonts w:hint="eastAsia"/>
        </w:rPr>
        <w:t xml:space="preserve">各省、自治区、直辖市、计划单列市财政厅（局）、国资委，新疆生产建设兵团财政局、国资委，财政部各地监管局，金融监管总局各监管局，中国证监会各监管局，有关企业，有关单位： </w:t>
      </w:r>
    </w:p>
    <w:p>
      <w:pPr>
        <w:ind w:firstLine="0" w:firstLineChars="200"/>
        <w:rPr>
          <w:rFonts w:hint="eastAsia"/>
        </w:rPr>
      </w:pPr>
      <w:r>
        <w:rPr>
          <w:rFonts w:hint="eastAsia"/>
        </w:rPr>
        <w:t xml:space="preserve">为深入贯彻落实党的二十大精神和《中共中央办公厅 国务院办公厅印发&lt;关于进一步加强财会监督工作的意见&gt;的通知》、《国务院办公厅关于进一步规范财务审计秩序促进注册会计师行业健康发展的意见》（国办发〔2021〕30号）有关要求，强化国家统一的会计制度的贯彻实施，加大对企业会计准则实施环节的管理和指导力度，督促相关企业和会计师事务所严格执行企业会计准则，扎实做好2023年年报工作，现将有关事项通知如下： </w:t>
      </w:r>
    </w:p>
    <w:p>
      <w:pPr>
        <w:ind w:firstLine="0" w:firstLineChars="200"/>
        <w:rPr>
          <w:rFonts w:hint="eastAsia"/>
        </w:rPr>
      </w:pPr>
      <w:r>
        <w:rPr>
          <w:rFonts w:hint="eastAsia"/>
        </w:rPr>
        <w:t xml:space="preserve">一、编制2023年年报应予关注的准则实施重点 </w:t>
      </w:r>
    </w:p>
    <w:p>
      <w:pPr>
        <w:ind w:firstLine="0" w:firstLineChars="200"/>
        <w:rPr>
          <w:rFonts w:hint="eastAsia"/>
        </w:rPr>
      </w:pPr>
      <w:r>
        <w:rPr>
          <w:rFonts w:hint="eastAsia"/>
        </w:rPr>
        <w:t xml:space="preserve">国家统一的会计制度是企业进行会计处理、生成会计信息的唯一标准，是规范会计行为和会计秩序的重要依据。企业应当按照国家统一的会计制度编制财务报告，向有关各方提供的财务报告，其编制基础、编制依据、编制原则和方法应当一致，不得提供编制基础、编制依据、编制原则和方法不同的财务报告。企业编制年报应当严格执行财政部发布的企业会计准则、企业会计准则解释、企业会计准则应用指南、会计处理规定等有关规定，不得编制或提供不符合国家统一的会计制度要求的会计信息。在此基础上，需要特别关注以下重点： </w:t>
      </w:r>
    </w:p>
    <w:p>
      <w:pPr>
        <w:ind w:firstLine="0" w:firstLineChars="200"/>
        <w:rPr>
          <w:rFonts w:hint="eastAsia"/>
        </w:rPr>
      </w:pPr>
      <w:r>
        <w:rPr>
          <w:rFonts w:hint="eastAsia"/>
        </w:rPr>
        <w:t xml:space="preserve">（一）关于存货。 </w:t>
      </w:r>
    </w:p>
    <w:p>
      <w:pPr>
        <w:ind w:firstLine="0" w:firstLineChars="200"/>
        <w:rPr>
          <w:rFonts w:hint="eastAsia"/>
        </w:rPr>
      </w:pPr>
      <w:r>
        <w:rPr>
          <w:rFonts w:hint="eastAsia"/>
        </w:rPr>
        <w:t xml:space="preserve">企业应当按照《企业会计准则第1号——存货》（财会〔2006〕3号）等相关规定，在资产负债表日对存货按照成本与可变现净值孰低计量。企业在确定存货的可变现净值时，应当以取得的确凿证据为基础，并且考虑持有存货的目的、资产负债表日后事项的影响等因素。资产负债表日至财务报告批准报出日之间存货售价发生波动的，如有确凿证据表明其对资产负债表日存货已经存在的情况提供了新的或进一步的证据，则在确定存货可变现净值时应当予以考虑，否则，不应予以考虑。例如，对于存在活跃市场的大宗商品，资产负债表日至财务报告批准报出日之间的市场价格波动属于资产负债表日后非调整事项，不应予以考虑。 </w:t>
      </w:r>
    </w:p>
    <w:p>
      <w:pPr>
        <w:ind w:firstLine="0" w:firstLineChars="200"/>
        <w:rPr>
          <w:rFonts w:hint="eastAsia"/>
        </w:rPr>
      </w:pPr>
      <w:r>
        <w:rPr>
          <w:rFonts w:hint="eastAsia"/>
        </w:rPr>
        <w:t xml:space="preserve">（二）关于长期股权投资。 </w:t>
      </w:r>
    </w:p>
    <w:p>
      <w:pPr>
        <w:ind w:firstLine="0" w:firstLineChars="200"/>
        <w:rPr>
          <w:rFonts w:hint="eastAsia"/>
        </w:rPr>
      </w:pPr>
      <w:r>
        <w:rPr>
          <w:rFonts w:hint="eastAsia"/>
        </w:rPr>
        <w:t xml:space="preserve">企业应当按照《企业会计准则第2号——长期股权投资》（财会〔2014〕14号，以下简称长期股权投资准则）、《企业会计准则第40号——合营安排》（财会〔2014〕11号）的相关规定，判断是否对被投资单位具有重大影响或共同控制，并进行相应会计处理和披露。在判断对被投资单位是否具有重大影响时，企业应当严格遵循会计准则的规定，综合考虑所有事实和情况，对其是否对被投资单位的财务和经营政策有参与决策的权力来作出恰当的判断。例如，在投资方向被投资单位派驻董事的情形下，应当有充分证据证明该董事能够代表投资方参与被投资单位财务和经营政策的制定，并综合考虑其他所有事实和情况对被投资单位是否具有重大影响进行判断。企业不应仅以撤回或委派董事、委派监事、增加或减少持有被投资单位的股份等个别事实为依据作出判断。企业在判断对被投资单位是否具有重大影响时，应综合考虑投资方直接或间接持有被投资单位的表决权股份；企业在个别财务报表中对长期股权投资进行权益法核算时，应当仅考虑直接持有的被投资单位的股权份额。 </w:t>
      </w:r>
    </w:p>
    <w:p>
      <w:pPr>
        <w:ind w:firstLine="0" w:firstLineChars="200"/>
        <w:rPr>
          <w:rFonts w:hint="eastAsia"/>
        </w:rPr>
      </w:pPr>
      <w:r>
        <w:rPr>
          <w:rFonts w:hint="eastAsia"/>
        </w:rPr>
        <w:t xml:space="preserve">企业按照长期股权投资准则采用权益法对被投资单位进行后续计量的，投资方在确认应享有被投资单位净损益的份额时，应当以取得投资时被投资单位可辨认净资产的公允价值为基础，对被投资单位的净利润进行调整后确认。对于投资企业与其联营企业、合营企业之间发生的未实现内部交易损益，按照应享有的比例计算归属于投资企业的部分，应当予以抵销，在此基础上确认投资收益。投资企业与联营企业、合营企业发生的未实现内部交易损失，按照《企业会计准则第8号——资产减值》（财会〔2006〕3号，以下简称资产减值准则）等规定属于资产减值损失的，应当全额确认。投资方确认应分担被投资单位发生的损失，原则上应以长期股权投资及其他实质上构成对被投资单位净投资的长期权益减记至零为限，投资方负有承担额外损失义务的除外。原持有的对被投资单位的股权投资按照《企业会计准则第22号——金融工具确认和计量》（财会〔2017〕7号，以下简称金融工具确认计量准则）等进行会计处理的，因追加投资等原因转按权益法核算时，投资企业应当按照金融工具确认计量准则确定的原股权投资在转换日的公允价值加上为取得新增投资而应支付对价的公允价值，作为改按权益法核算的初始投资成本。 </w:t>
      </w:r>
    </w:p>
    <w:p>
      <w:pPr>
        <w:ind w:firstLine="0" w:firstLineChars="200"/>
        <w:rPr>
          <w:rFonts w:hint="eastAsia"/>
        </w:rPr>
      </w:pPr>
      <w:r>
        <w:rPr>
          <w:rFonts w:hint="eastAsia"/>
        </w:rPr>
        <w:t xml:space="preserve">（三）关于投资性房地产。 </w:t>
      </w:r>
    </w:p>
    <w:p>
      <w:pPr>
        <w:ind w:firstLine="0" w:firstLineChars="200"/>
        <w:rPr>
          <w:rFonts w:hint="eastAsia"/>
        </w:rPr>
      </w:pPr>
      <w:r>
        <w:rPr>
          <w:rFonts w:hint="eastAsia"/>
        </w:rPr>
        <w:t xml:space="preserve">1.关于投资性房地产的确认。企业应当按照《企业会计准则第3号——投资性房地产》（财会〔2006〕3号，以下简称投资性房地产准则）等相关规定，根据投资性房地产的定义、特征、范围和确认条件等，对投资性房地产进行确认。投资性房地产应当能够单独计量和出售。 </w:t>
      </w:r>
    </w:p>
    <w:p>
      <w:pPr>
        <w:ind w:firstLine="0" w:firstLineChars="200"/>
        <w:rPr>
          <w:rFonts w:hint="eastAsia"/>
        </w:rPr>
      </w:pPr>
      <w:r>
        <w:rPr>
          <w:rFonts w:hint="eastAsia"/>
        </w:rPr>
        <w:t xml:space="preserve">2.关于投资性房地产的后续计量。企业应当按照投资性房地产准则的相关规定，对投资性房地产采用成本模式或者公允价值模式进行后续计量，计量模式一经确定，不得随意变更。成本模式转为公允价值模式的，应当作为会计政策变更，按照《企业会计准则第28号——会计政策、会计估计变更和差错更正》（财会〔2006〕3号，以下简称会计政策、会计估计变更和差错更正准则）处理。已采用公允价值模式计量的投资性房地产，不得从公允价值模式转为成本模式。 </w:t>
      </w:r>
    </w:p>
    <w:p>
      <w:pPr>
        <w:ind w:firstLine="0" w:firstLineChars="200"/>
        <w:rPr>
          <w:rFonts w:hint="eastAsia"/>
        </w:rPr>
      </w:pPr>
      <w:r>
        <w:rPr>
          <w:rFonts w:hint="eastAsia"/>
        </w:rPr>
        <w:t xml:space="preserve">（四）关于固定资产。 </w:t>
      </w:r>
    </w:p>
    <w:p>
      <w:pPr>
        <w:ind w:firstLine="0" w:firstLineChars="200"/>
        <w:rPr>
          <w:rFonts w:hint="eastAsia"/>
        </w:rPr>
      </w:pPr>
      <w:r>
        <w:rPr>
          <w:rFonts w:hint="eastAsia"/>
        </w:rPr>
        <w:t xml:space="preserve">企业应当按照《企业会计准则第4号——固定资产》（财会〔2006〕3号）等相关规定，将符合固定资产定义和确认条件的资产及时确认为固定资产，企业不得将应确认为固定资产的资产确认为其他资产或计入当期损益。固定资产应自达到预定可使用状态时开始计提折旧；已达到预定可使用状态但尚未办理竣工决算的固定资产，应当按照估计价值确定其成本，并计提折旧，待办理竣工决算后再按实际成本调整原来的暂估价值，但不需要调整原已计提的折旧额。 </w:t>
      </w:r>
    </w:p>
    <w:p>
      <w:pPr>
        <w:ind w:firstLine="0" w:firstLineChars="200"/>
        <w:rPr>
          <w:rFonts w:hint="eastAsia"/>
        </w:rPr>
      </w:pPr>
      <w:r>
        <w:rPr>
          <w:rFonts w:hint="eastAsia"/>
        </w:rPr>
        <w:t xml:space="preserve">（五）关于生物资产。 </w:t>
      </w:r>
    </w:p>
    <w:p>
      <w:pPr>
        <w:ind w:firstLine="0" w:firstLineChars="200"/>
        <w:rPr>
          <w:rFonts w:hint="eastAsia"/>
        </w:rPr>
      </w:pPr>
      <w:r>
        <w:rPr>
          <w:rFonts w:hint="eastAsia"/>
        </w:rPr>
        <w:t xml:space="preserve">企业应当按照《企业会计准则第5号——生物资产》（财会〔2006〕3号，以下简称生物资产准则）等相关规定，对生物资产进行后续计量。生物资产通常按照成本计量，但有确凿证据表明其公允价值能够持续可靠取得的除外。对于采用公允价值计量的生物资产，生物资产准则规定了严格的条件，应当满足生物资产准则第二十二条、以及《&lt;企业会计准则第5号——生物资产&gt;应用指南》（财会〔2006〕18号）“五、生物资产的后续计量”等规定。 </w:t>
      </w:r>
    </w:p>
    <w:p>
      <w:pPr>
        <w:ind w:firstLine="0" w:firstLineChars="200"/>
        <w:rPr>
          <w:rFonts w:hint="eastAsia"/>
        </w:rPr>
      </w:pPr>
      <w:r>
        <w:rPr>
          <w:rFonts w:hint="eastAsia"/>
        </w:rPr>
        <w:t xml:space="preserve">（六）关于无形资产。 </w:t>
      </w:r>
    </w:p>
    <w:p>
      <w:pPr>
        <w:ind w:firstLine="0" w:firstLineChars="200"/>
        <w:rPr>
          <w:rFonts w:hint="eastAsia"/>
        </w:rPr>
      </w:pPr>
      <w:r>
        <w:rPr>
          <w:rFonts w:hint="eastAsia"/>
        </w:rPr>
        <w:t xml:space="preserve">企业应当按照《企业会计准则第6号——无形资产》（财会〔2006〕3号，以下简称无形资产准则）等相关规定，合理划分企业内部研究开发项目的研究阶段和开发阶段。研究阶段的支出，应当于发生时计入当期损益；开发阶段的支出，满足无形资产准则第九条规定的有关条件的，才能确认为无形资产。企业以前期间已经按照无形资产准则等规定费用化计入损益的研究开发支出不得在后续期间重新资本化。 </w:t>
      </w:r>
    </w:p>
    <w:p>
      <w:pPr>
        <w:ind w:firstLine="0" w:firstLineChars="200"/>
        <w:rPr>
          <w:rFonts w:hint="eastAsia"/>
        </w:rPr>
      </w:pPr>
      <w:r>
        <w:rPr>
          <w:rFonts w:hint="eastAsia"/>
        </w:rPr>
        <w:t xml:space="preserve">（七）关于资产减值。 </w:t>
      </w:r>
    </w:p>
    <w:p>
      <w:pPr>
        <w:ind w:firstLine="0" w:firstLineChars="200"/>
        <w:rPr>
          <w:rFonts w:hint="eastAsia"/>
        </w:rPr>
      </w:pPr>
      <w:r>
        <w:rPr>
          <w:rFonts w:hint="eastAsia"/>
        </w:rPr>
        <w:t xml:space="preserve">1.关于减值的判断和计量。企业应当按照资产减值准则等相关规定，根据企业具体情况对固定资产、使用权资产、长期股权投资等资产减值准备进行职业判断和会计处理，企业应当在资产负债表日判断资产是否存在可能发生减值的迹象，存在减值迹象的，应当合理确定关键参数，估计可收回金额，充分、及时计提减值并披露与减值相关的重要信息。判断资产减值迹象或认定减值金额时，应以相关资产在资产负债表日的状况为基础，以资产负债表日已经存在且能够取得的可靠信息为依据，而不应考虑资产负债表日后非调整事项的影响。例如，对于采用权益法核算的长期股权投资，当被投资方股价出现明显下跌且远低于被投资单位净资产的账面价值时，表明投资方对被投资单位的该项长期股权投资存在减值迹象，投资方应当对该项长期股权投资估计可收回金额，可收回金额应当根据该项长期股权投资的公允价值减去处置费用后的净额与该项长期股权投资预计未来现金流量的现值两者之间较高者确定。 </w:t>
      </w:r>
    </w:p>
    <w:p>
      <w:pPr>
        <w:ind w:firstLine="0" w:firstLineChars="200"/>
        <w:rPr>
          <w:rFonts w:hint="eastAsia"/>
        </w:rPr>
      </w:pPr>
      <w:r>
        <w:rPr>
          <w:rFonts w:hint="eastAsia"/>
        </w:rPr>
        <w:t xml:space="preserve">2.关于商誉减值。在商誉减值测试时，因企业合并所形成的商誉的账面价值，应当自购买日起按照合理的方法分摊至购买方预计能够从企业合并的协同效应中受益的资产组或资产组组合。被分摊商誉的这些资产组或资产组组合应当同时满足下列条件：（1）代表企业基于内部管理目的对商誉进行监控的最低水平；（2）不大于按照《企业会计准则第35号——分部报告》（财会〔2006〕3号）所确定的报告分部，该报告分部是指《企业会计准则解释第3号》（财会〔2009〕8号）第八项所规定的经营分部。 </w:t>
      </w:r>
    </w:p>
    <w:p>
      <w:pPr>
        <w:ind w:firstLine="0" w:firstLineChars="200"/>
        <w:rPr>
          <w:rFonts w:hint="eastAsia"/>
        </w:rPr>
      </w:pPr>
      <w:r>
        <w:rPr>
          <w:rFonts w:hint="eastAsia"/>
        </w:rPr>
        <w:t xml:space="preserve">（八）关于收入。 </w:t>
      </w:r>
    </w:p>
    <w:p>
      <w:pPr>
        <w:ind w:firstLine="0" w:firstLineChars="200"/>
        <w:rPr>
          <w:rFonts w:hint="eastAsia"/>
        </w:rPr>
      </w:pPr>
      <w:r>
        <w:rPr>
          <w:rFonts w:hint="eastAsia"/>
        </w:rPr>
        <w:t xml:space="preserve">1.关于时段法和时点法。企业应当按照《企业会计准则第14号——收入》（财会〔2017〕22号，以下简称收入准则）第十一条的相关规定，结合业务实际情况，判断履约义务是否满足在某一时段内履行的条件，如满足，则该履约义务属于某一时段内履行的履约义务，相关收入应当在履约义务履行的期间内确认；如不满足，则该履约义务属于在某一时点履行的履约义务，相关收入应当在客户取得相关商品或服务（以下简称商品）控制权的时点确认。企业不得通过随意调整收入确认方法提早、推迟确认收入或平滑业绩。例如，房地产企业预售商品房业务在我国法律法规环境下通常不符合时段法收入确认条件，应当按照时点法（通常为交付商品房时）确认收入。 </w:t>
      </w:r>
    </w:p>
    <w:p>
      <w:pPr>
        <w:ind w:firstLine="0" w:firstLineChars="200"/>
        <w:rPr>
          <w:rFonts w:hint="eastAsia"/>
        </w:rPr>
      </w:pPr>
      <w:r>
        <w:rPr>
          <w:rFonts w:hint="eastAsia"/>
        </w:rPr>
        <w:t xml:space="preserve">2.关于主要责任人和代理人。当企业向客户销售商品涉及其他方参与其中时，企业不应仅局限于合同的法律形式，而应当综合考虑所有相关事实和情况，评估特定商品在转让给客户之前是否控制该商品，确定其自身在该交易中的身份是主要责任人还是代理人：控制该商品的，其身份为主要责任人，用总额法确认收入；不控制该商品的，其身份为代理人，用净额法确认收入。取得相关商品控制权，是指能够主导该商品的使用并从中获得几乎全部的经济利益。部分行业如贸易、百货、电商、来料加工、广告营销等应对此予以特别关注，应当结合业务商业模式等相关事实和情况，严格按照收入准则的相关规定进行判断和会计处理。 </w:t>
      </w:r>
    </w:p>
    <w:p>
      <w:pPr>
        <w:ind w:firstLine="0" w:firstLineChars="200"/>
        <w:rPr>
          <w:rFonts w:hint="eastAsia"/>
        </w:rPr>
      </w:pPr>
      <w:r>
        <w:rPr>
          <w:rFonts w:hint="eastAsia"/>
        </w:rPr>
        <w:t xml:space="preserve">为便于准则实施，企业在判断时通常也可以参考如下三个迹象：企业承担向客户转让商品的主要责任；企业在转让商品之前或之后承担了该商品的存货风险；企业有权自主决定所交易商品的价格。需要强调的是，企业在判断其是主要责任人还是代理人时，应当以该企业在特定商品转移给客户之前是否能够控制该商品为原则，上述三个迹象仅为支持对控制权的评估，不能取代控制权的评估，也不能凌驾于控制权评估之上，更不是单独或额外的评估，应予以综合考虑。 </w:t>
      </w:r>
    </w:p>
    <w:p>
      <w:pPr>
        <w:ind w:firstLine="0" w:firstLineChars="200"/>
        <w:rPr>
          <w:rFonts w:hint="eastAsia"/>
        </w:rPr>
      </w:pPr>
      <w:r>
        <w:rPr>
          <w:rFonts w:hint="eastAsia"/>
        </w:rPr>
        <w:t xml:space="preserve">（九）关于政府补助。 </w:t>
      </w:r>
    </w:p>
    <w:p>
      <w:pPr>
        <w:ind w:firstLine="0" w:firstLineChars="200"/>
        <w:rPr>
          <w:rFonts w:hint="eastAsia"/>
        </w:rPr>
      </w:pPr>
      <w:r>
        <w:rPr>
          <w:rFonts w:hint="eastAsia"/>
        </w:rPr>
        <w:t xml:space="preserve">1.关于政府补助的判断。企业应当按照《企业会计准则第16号——政府补助》（财会〔2017〕15号，以下简称政府补助准则）的相关规定，根据交易或事项的实质对来源于政府的经济资源所归属的类型作出判断，区分收入、政府补助和政府的资本性投入等分别进行相应的会计处理。企业从政府取得的经济资源不符合无偿性的，不属于政府补助。对于符合政府补助的定义和特征的，正确区分与资产相关的政府补助和与收益相关的政府补助，并按照该准则的要求进行确认、计量、列示与披露。 </w:t>
      </w:r>
    </w:p>
    <w:p>
      <w:pPr>
        <w:ind w:firstLine="0" w:firstLineChars="200"/>
        <w:rPr>
          <w:rFonts w:hint="eastAsia"/>
        </w:rPr>
      </w:pPr>
      <w:r>
        <w:rPr>
          <w:rFonts w:hint="eastAsia"/>
        </w:rPr>
        <w:t xml:space="preserve">2.关于政府补助的分类。对同时包含与资产相关部分和与收益相关部分的政府补助，应当采用合理的方法区分不同部分分别进行会计处理；确实难以区分的，应当整体归类为与收益相关的政府补助。 </w:t>
      </w:r>
    </w:p>
    <w:p>
      <w:pPr>
        <w:ind w:firstLine="0" w:firstLineChars="200"/>
        <w:rPr>
          <w:rFonts w:hint="eastAsia"/>
        </w:rPr>
      </w:pPr>
      <w:r>
        <w:rPr>
          <w:rFonts w:hint="eastAsia"/>
        </w:rPr>
        <w:t xml:space="preserve">3.关于政府补助的会计处理。企业应当按照经济业务实质对政府补助是否与日常活动相关进行恰当判断，并进行相应会计处理，不得不经判断随意将政府补助计入营业外收入。企业应当根据政府补助准则有关规定，合理确定将与资产相关的政府补助和与收益相关的政府补助计入当期损益的时点，不得提前或延后。企业取得政策性优惠贷款贴息，且财政将贴息资金直接拨付给企业的，应当将对应的贴息冲减相关借款费用。 </w:t>
      </w:r>
    </w:p>
    <w:p>
      <w:pPr>
        <w:ind w:firstLine="0" w:firstLineChars="200"/>
        <w:rPr>
          <w:rFonts w:hint="eastAsia"/>
        </w:rPr>
      </w:pPr>
      <w:r>
        <w:rPr>
          <w:rFonts w:hint="eastAsia"/>
        </w:rPr>
        <w:t xml:space="preserve">（十）关于借款费用。 </w:t>
      </w:r>
    </w:p>
    <w:p>
      <w:pPr>
        <w:ind w:firstLine="0" w:firstLineChars="200"/>
        <w:rPr>
          <w:rFonts w:hint="eastAsia"/>
        </w:rPr>
      </w:pPr>
      <w:r>
        <w:rPr>
          <w:rFonts w:hint="eastAsia"/>
        </w:rPr>
        <w:t xml:space="preserve">企业应当按照《企业会计准则第17号——借款费用》（财会〔2006〕3号）等相关规定，合理确定借款费用资本化期间开始、暂停和停止时点，将借款费用分别计入符合资本化条件的资产成本或当期损益。符合资本化条件的资产，是指需要经过相当长时间的购建或者生产活动才能达到预定可使用或者可销售状态的固定资产、投资性房地产和存货等资产。购入即可使用的资产，或者购入后需要安装但所需安装时间较短的资产，或者需要建造或生产但建造或生产时间较短的资产，均不属于符合资本化条件的资产，例如企业取得的采矿权等。 </w:t>
      </w:r>
    </w:p>
    <w:p>
      <w:pPr>
        <w:ind w:firstLine="0" w:firstLineChars="200"/>
        <w:rPr>
          <w:rFonts w:hint="eastAsia"/>
        </w:rPr>
      </w:pPr>
      <w:r>
        <w:rPr>
          <w:rFonts w:hint="eastAsia"/>
        </w:rPr>
        <w:t xml:space="preserve">（十一）关于企业合并。 </w:t>
      </w:r>
    </w:p>
    <w:p>
      <w:pPr>
        <w:ind w:firstLine="0" w:firstLineChars="200"/>
        <w:rPr>
          <w:rFonts w:hint="eastAsia"/>
        </w:rPr>
      </w:pPr>
      <w:r>
        <w:rPr>
          <w:rFonts w:hint="eastAsia"/>
        </w:rPr>
        <w:t xml:space="preserve">1.关于业务的判断。企业应当按照《企业会计准则第20号——企业合并》（财会〔2006〕3号，以下简称企业合并准则）、《企业会计准则解释第13号》（财会〔2019〕21号）的相关规定，正确判断企业合并中取得的经营活动或资产的组合是否构成业务，选择采用集中度测试仅限于判断非同一控制下企业合并中取得的组合是否构成业务。 </w:t>
      </w:r>
    </w:p>
    <w:p>
      <w:pPr>
        <w:ind w:firstLine="0" w:firstLineChars="200"/>
        <w:rPr>
          <w:rFonts w:hint="eastAsia"/>
        </w:rPr>
      </w:pPr>
      <w:r>
        <w:rPr>
          <w:rFonts w:hint="eastAsia"/>
        </w:rPr>
        <w:t xml:space="preserve">2.关于企业合并的类型。对于企业合并中取得的经营活动或资产的组合构成业务的，企业应当按照企业合并准则的相关规定，正确区分同一控制下企业合并和非同一控制下企业合并，并进行相应会计处理。 </w:t>
      </w:r>
    </w:p>
    <w:p>
      <w:pPr>
        <w:ind w:firstLine="0" w:firstLineChars="200"/>
        <w:rPr>
          <w:rFonts w:hint="eastAsia"/>
        </w:rPr>
      </w:pPr>
      <w:r>
        <w:rPr>
          <w:rFonts w:hint="eastAsia"/>
        </w:rPr>
        <w:t xml:space="preserve">（十二）关于租赁。 </w:t>
      </w:r>
    </w:p>
    <w:p>
      <w:pPr>
        <w:ind w:firstLine="0" w:firstLineChars="200"/>
        <w:rPr>
          <w:rFonts w:hint="eastAsia"/>
        </w:rPr>
      </w:pPr>
      <w:r>
        <w:rPr>
          <w:rFonts w:hint="eastAsia"/>
        </w:rPr>
        <w:t xml:space="preserve">1.关于重新评估租赁的分类。出租人应当按照《企业会计准则第21号——租赁》（财会〔2018〕35号）的规定，在租赁开始日将租赁分为融资租赁和经营租赁。在租赁开始日后，出租人无需对租赁的分类进行重新评估，除非发生租赁变更。在租赁开始日后，承租人按照原合同条款行使续租选择权或终止租赁选择权等导致租赁期变化的，不属于租赁变更，出租人无需对相关租赁的分类进行重新评估。 </w:t>
      </w:r>
    </w:p>
    <w:p>
      <w:pPr>
        <w:ind w:firstLine="0" w:firstLineChars="200"/>
        <w:rPr>
          <w:rFonts w:hint="eastAsia"/>
        </w:rPr>
      </w:pPr>
      <w:r>
        <w:rPr>
          <w:rFonts w:hint="eastAsia"/>
        </w:rPr>
        <w:t xml:space="preserve">2.关于评估合同是否为租赁或者包含租赁。 </w:t>
      </w:r>
    </w:p>
    <w:p>
      <w:pPr>
        <w:ind w:firstLine="0" w:firstLineChars="200"/>
        <w:rPr>
          <w:rFonts w:hint="eastAsia"/>
        </w:rPr>
      </w:pPr>
      <w:r>
        <w:rPr>
          <w:rFonts w:hint="eastAsia"/>
        </w:rPr>
        <w:t xml:space="preserve">（1）企业在评估合同是否为租赁或者包含租赁时，应当在各潜在单独租赁部分（如可单独使用的资产）的层面评估资产供应方的替换权是否为实质性权利。评估时，企业应考虑资产供应方是否在整个使用期间都具有替换资产的实际能力，并能通过行使替换资产的权利获得经济利益。如果合同仅赋予资产供应方在特定日期或者特定事件发生日或之后拥有替换资产的权利或义务，资产供应方的替换权不具有实质性。 </w:t>
      </w:r>
    </w:p>
    <w:p>
      <w:pPr>
        <w:ind w:firstLine="0" w:firstLineChars="200"/>
        <w:rPr>
          <w:rFonts w:hint="eastAsia"/>
        </w:rPr>
      </w:pPr>
      <w:r>
        <w:rPr>
          <w:rFonts w:hint="eastAsia"/>
        </w:rPr>
        <w:t xml:space="preserve">（2）企业在评估合同是否为租赁或者包含租赁时，需判断客户是否有权在整个使用期间主导已识别资产的使用目的和使用方式。在合同中预先确定资产使用目的和使用方式相关决策的，企业应当考虑该做法是对客户使用资产的范围作出限定，还是对客户在整个使用期间与改变资产的使用目的和使用方式相关的决策权作出限定，如果仅是对客户使用资产的范围作出限定，该限定不妨碍客户获得主导资产使用的权利。 </w:t>
      </w:r>
    </w:p>
    <w:p>
      <w:pPr>
        <w:ind w:firstLine="0" w:firstLineChars="200"/>
        <w:rPr>
          <w:rFonts w:hint="eastAsia"/>
        </w:rPr>
      </w:pPr>
      <w:r>
        <w:rPr>
          <w:rFonts w:hint="eastAsia"/>
        </w:rPr>
        <w:t xml:space="preserve">（十三）关于金融工具。 </w:t>
      </w:r>
    </w:p>
    <w:p>
      <w:pPr>
        <w:ind w:firstLine="0" w:firstLineChars="200"/>
        <w:rPr>
          <w:rFonts w:hint="eastAsia"/>
        </w:rPr>
      </w:pPr>
      <w:r>
        <w:rPr>
          <w:rFonts w:hint="eastAsia"/>
        </w:rPr>
        <w:t xml:space="preserve">1.关于预期信用损失准备的确认。企业应当按照金融工具确认计量准则的规定，以预期信用损失为基础对以摊余成本计量的应收款项、合同资产以及相关贷款承诺、财务担保合同等进行减值会计处理并确认损失准备，不得以其信用风险较低为由不对其确认损失准备。 </w:t>
      </w:r>
    </w:p>
    <w:p>
      <w:pPr>
        <w:ind w:firstLine="0" w:firstLineChars="200"/>
        <w:rPr>
          <w:rFonts w:hint="eastAsia"/>
        </w:rPr>
      </w:pPr>
      <w:r>
        <w:rPr>
          <w:rFonts w:hint="eastAsia"/>
        </w:rPr>
        <w:t xml:space="preserve">2.关于应收账款的终止确认。企业通过保理、资产证券化等方式转让应收账款，应当按照《企业会计准则第23号——金融资产转移》（财会〔2017〕8号）的规定，根据相关合同的经济实质，而非仅以其合同形式，判断该转让是否导致应收账款的终止确认。 </w:t>
      </w:r>
    </w:p>
    <w:p>
      <w:pPr>
        <w:ind w:firstLine="0" w:firstLineChars="200"/>
        <w:rPr>
          <w:rFonts w:hint="eastAsia"/>
        </w:rPr>
      </w:pPr>
      <w:r>
        <w:rPr>
          <w:rFonts w:hint="eastAsia"/>
        </w:rPr>
        <w:t xml:space="preserve">（十四）关于保险合同。 </w:t>
      </w:r>
    </w:p>
    <w:p>
      <w:pPr>
        <w:ind w:firstLine="0" w:firstLineChars="200"/>
        <w:rPr>
          <w:rFonts w:hint="eastAsia"/>
        </w:rPr>
      </w:pPr>
      <w:r>
        <w:rPr>
          <w:rFonts w:hint="eastAsia"/>
        </w:rPr>
        <w:t xml:space="preserve">执行《企业会计准则第25号——保险合同》（财会〔2020〕20号）的企业，应当严格按照该准则规定确认保险服务收入。 </w:t>
      </w:r>
    </w:p>
    <w:p>
      <w:pPr>
        <w:ind w:firstLine="0" w:firstLineChars="200"/>
        <w:rPr>
          <w:rFonts w:hint="eastAsia"/>
        </w:rPr>
      </w:pPr>
      <w:r>
        <w:rPr>
          <w:rFonts w:hint="eastAsia"/>
        </w:rPr>
        <w:t xml:space="preserve">对于未采用保费分配法的保险合同组，企业确认的当期保险服务收入由未到期责任负债账面价值当期减少额中因当期提供保险合同服务而预计取得的对价金额和保险获取现金流量摊销的金额组成。与当期提供保险合同服务不相关的变动和分摊至未到期责任负债亏损部分的金额不应确认为保险服务收入。在确认保险服务收入时，不得包含保险合同中的投资成分。 </w:t>
      </w:r>
    </w:p>
    <w:p>
      <w:pPr>
        <w:ind w:firstLine="0" w:firstLineChars="200"/>
        <w:rPr>
          <w:rFonts w:hint="eastAsia"/>
        </w:rPr>
      </w:pPr>
      <w:r>
        <w:rPr>
          <w:rFonts w:hint="eastAsia"/>
        </w:rPr>
        <w:t xml:space="preserve">对于采用保费分配法的保险合同组，企业应当将已收和预计收取的保费扣除投资成分并对重大融资成分进行调整后分摊至当期的金额，确认为保险服务收入。 </w:t>
      </w:r>
    </w:p>
    <w:p>
      <w:pPr>
        <w:ind w:firstLine="0" w:firstLineChars="200"/>
        <w:rPr>
          <w:rFonts w:hint="eastAsia"/>
        </w:rPr>
      </w:pPr>
      <w:r>
        <w:rPr>
          <w:rFonts w:hint="eastAsia"/>
        </w:rPr>
        <w:t xml:space="preserve">（十五）关于会计政策、会计估计变更和差错更正。 </w:t>
      </w:r>
    </w:p>
    <w:p>
      <w:pPr>
        <w:ind w:firstLine="0" w:firstLineChars="200"/>
        <w:rPr>
          <w:rFonts w:hint="eastAsia"/>
        </w:rPr>
      </w:pPr>
      <w:r>
        <w:rPr>
          <w:rFonts w:hint="eastAsia"/>
        </w:rPr>
        <w:t xml:space="preserve">企业应当按照会计政策、会计估计变更和差错更正准则的相关规定，正确划分会计政策变更、会计估计变更和前期差错更正，并进行相应会计处理和披露。企业应当采用追溯重述法更正重要的前期差错，并在重要的前期差错发现当期的财务报表中调整前期比较数据，不得在重要的前期差错发现当期的财务报表中直接调整当期数据。企业采用的会计政策和会计估计应当如实反映企业的交易和事项，不得滥用会计政策或随意变更会计估计。 </w:t>
      </w:r>
    </w:p>
    <w:p>
      <w:pPr>
        <w:ind w:firstLine="0" w:firstLineChars="200"/>
        <w:rPr>
          <w:rFonts w:hint="eastAsia"/>
        </w:rPr>
      </w:pPr>
      <w:r>
        <w:rPr>
          <w:rFonts w:hint="eastAsia"/>
        </w:rPr>
        <w:t xml:space="preserve">（十六）关于持续经营的判断。 </w:t>
      </w:r>
    </w:p>
    <w:p>
      <w:pPr>
        <w:ind w:firstLine="0" w:firstLineChars="200"/>
        <w:rPr>
          <w:rFonts w:hint="eastAsia"/>
        </w:rPr>
      </w:pPr>
      <w:r>
        <w:rPr>
          <w:rFonts w:hint="eastAsia"/>
        </w:rPr>
        <w:t xml:space="preserve">在编制财务报表的过程中，企业管理层应当按照《企业会计准则第30号——财务报表列报》（财会〔2014〕7号，以下简称财务报表列报准则）的相关规定，利用所有可获得信息来评价企业自报告期末起至少12个月的持续经营能力。评价结果表明企业仍处于持续经营状态的，应当以持续经营为基础编制财务报表；评价结果表明企业对持续经营能力产生重大怀疑的，应当在附注中披露导致对持续经营能力产生重大怀疑的因素以及企业拟采取的改善措施；评价结果表明企业处于非持续经营状态的，应当采用其他基础编制财务报表，并在附注中声明财务报表未以持续经营为基础编制的事实、披露未以持续经营为基础编制的原因和财务报表的编制基础。 </w:t>
      </w:r>
    </w:p>
    <w:p>
      <w:pPr>
        <w:ind w:firstLine="0" w:firstLineChars="200"/>
        <w:rPr>
          <w:rFonts w:hint="eastAsia"/>
        </w:rPr>
      </w:pPr>
      <w:r>
        <w:rPr>
          <w:rFonts w:hint="eastAsia"/>
        </w:rPr>
        <w:t xml:space="preserve">（十七）关于合并财务报表。 </w:t>
      </w:r>
    </w:p>
    <w:p>
      <w:pPr>
        <w:ind w:firstLine="0" w:firstLineChars="200"/>
        <w:rPr>
          <w:rFonts w:hint="eastAsia"/>
        </w:rPr>
      </w:pPr>
      <w:r>
        <w:rPr>
          <w:rFonts w:hint="eastAsia"/>
        </w:rPr>
        <w:t xml:space="preserve">1.关于控制的判断。企业应当按照《企业会计准则第33号——合并财务报表》（财会〔2014〕10号，以下简称合并财务报表准则）的相关规定，综合考虑所有相关事实和情况，按照控制定义的三项要素判断企业是否控制被投资方。企业在判断是否拥有对被投资方的权力时，应当仅考虑与被投资方相关的实质性权利，包括自身所享有的实质性权利以及其他方所享有的实质性权利。企业不应仅以子公司自愿破产、签订一致行动协议或修改公司章程等个别事实为依据作出判断，随意改变合并财务报表范围。对控制的评估是持续的，当环境或情况发生变化时，投资方需要评估控制的三项要素中的一项或多项是否发生了变化，是否影响了投资方对被投资方控制的判断。企业应当审慎考虑与子公司相关的实质性权利，对是否丧失对子公司的控制权进行综合判断。 </w:t>
      </w:r>
    </w:p>
    <w:p>
      <w:pPr>
        <w:ind w:firstLine="0" w:firstLineChars="200"/>
        <w:rPr>
          <w:rFonts w:hint="eastAsia"/>
        </w:rPr>
      </w:pPr>
      <w:r>
        <w:rPr>
          <w:rFonts w:hint="eastAsia"/>
        </w:rPr>
        <w:t xml:space="preserve">合并财务报表的合并范围应当以控制为基础予以确定，不仅包括根据表决权（或类似权利）本身或者结合其他安排确定的子公司，也包括基于一项或多项合同安排决定的结构化主体。在判断是否将结构化主体纳入合并范围时，如证券化产品、资产支持融资工具、部分投资基金（如REITs）等，企业应当严格遵循上述有关要求，按照合并财务报表准则的相关规定，综合所有事实和情况进行判断和会计处理。企业应当将所有控制的被投资方纳入合并范围（涉及母公司是投资性主体的情形除外），不得将未控制或丧失控制权的被投资方纳入合并范围，也不得将控制的被投资方不纳入合并范围。 </w:t>
      </w:r>
    </w:p>
    <w:p>
      <w:pPr>
        <w:ind w:firstLine="0" w:firstLineChars="200"/>
        <w:rPr>
          <w:rFonts w:hint="eastAsia"/>
        </w:rPr>
      </w:pPr>
      <w:r>
        <w:rPr>
          <w:rFonts w:hint="eastAsia"/>
        </w:rPr>
        <w:t xml:space="preserve">2.关于抵销内部交易的原则。母公司应当以自身和其全部子公司的财务报表为基础，根据其他有关资料，编制合并财务报表，将整个企业集团视为一个会计主体，正确抵销内部交易的影响，依据相关企业会计准则的确认、计量和列报要求，按照统一的会计政策，反映企业集团整体财务状况、经营成果和现金流量。 </w:t>
      </w:r>
    </w:p>
    <w:p>
      <w:pPr>
        <w:ind w:firstLine="0" w:firstLineChars="200"/>
        <w:rPr>
          <w:rFonts w:hint="eastAsia"/>
        </w:rPr>
      </w:pPr>
      <w:r>
        <w:rPr>
          <w:rFonts w:hint="eastAsia"/>
        </w:rPr>
        <w:t xml:space="preserve">（十八）关于报表格式。 </w:t>
      </w:r>
    </w:p>
    <w:p>
      <w:pPr>
        <w:ind w:firstLine="0" w:firstLineChars="200"/>
        <w:rPr>
          <w:rFonts w:hint="eastAsia"/>
        </w:rPr>
      </w:pPr>
      <w:r>
        <w:rPr>
          <w:rFonts w:hint="eastAsia"/>
        </w:rPr>
        <w:t xml:space="preserve">企业应当按照财务报表列报准则、《企业会计准则第31号——现金流量表》（财会〔2006〕3号）、《财政部关于修订印发2018年度金融企业财务报表格式的通知》（财会〔2018〕36号）、《财政部关于修订印发2019年度一般企业财务报表格式的通知》（财会〔2019〕6号）、《财政部关于修订印发合并财务报表格式（2019版）的通知》（财会〔2019〕16号）、《财政部关于修订印发2023年度保险公司财务报表格式的通知》（财会〔2022〕37号）等相关规定，并按照规定的报表格式和报表项目等要求编制2023年年度财务报表。同时，企业应当按相关准则要求对财务报表附注信息进行充分披露。 </w:t>
      </w:r>
    </w:p>
    <w:p>
      <w:pPr>
        <w:ind w:firstLine="0" w:firstLineChars="200"/>
        <w:rPr>
          <w:rFonts w:hint="eastAsia"/>
        </w:rPr>
      </w:pPr>
      <w:r>
        <w:rPr>
          <w:rFonts w:hint="eastAsia"/>
        </w:rPr>
        <w:t xml:space="preserve">二、切实加强组织实施与监督检查，认真扎实做好企业2023年年报工作 </w:t>
      </w:r>
    </w:p>
    <w:p>
      <w:pPr>
        <w:ind w:firstLine="0" w:firstLineChars="200"/>
        <w:rPr>
          <w:rFonts w:hint="eastAsia"/>
        </w:rPr>
      </w:pPr>
      <w:r>
        <w:rPr>
          <w:rFonts w:hint="eastAsia"/>
        </w:rPr>
        <w:t xml:space="preserve">（一）企业应当严格执行会计准则，加强内部控制，全面提升2023年年报质量。执行企业会计准则的各类企业应当以会计信息质量为核心，切实履行会计信息质量主体责任，建立健全会计信息质量治理架构。单位负责人要高度重视并切实加强对会计工作的组织领导，对会计资料的真实性、完整性负责。企业应当加强对企业会计准则以及近年来年报工作通知相关重点内容的学习理解，准确把握有关具体要求，严格按照企业会计准则规定，结合企业实际情况和业务实质，综合所有相关事实和情况，合理作出职业判断，并进行会计处理和信息披露。 </w:t>
      </w:r>
    </w:p>
    <w:p>
      <w:pPr>
        <w:ind w:firstLine="0" w:firstLineChars="200"/>
        <w:rPr>
          <w:rFonts w:hint="eastAsia"/>
        </w:rPr>
      </w:pPr>
      <w:r>
        <w:rPr>
          <w:rFonts w:hint="eastAsia"/>
        </w:rPr>
        <w:t xml:space="preserve">企业应当对近年来问题多发频发的重点领域，加大会计核算和报表编制审核力度，确保年报数据真实准确，严防会计信息失真，上市公司不得通过调节会计信息规避退市。 </w:t>
      </w:r>
    </w:p>
    <w:p>
      <w:pPr>
        <w:ind w:firstLine="0" w:firstLineChars="200"/>
        <w:rPr>
          <w:rFonts w:hint="eastAsia"/>
        </w:rPr>
      </w:pPr>
      <w:r>
        <w:rPr>
          <w:rFonts w:hint="eastAsia"/>
        </w:rPr>
        <w:t xml:space="preserve">企业应当加强业务真实性和风险充分识别的管理力度，严防大股东通过各种形式套取资金；严禁通过各种形式掩盖风险和损失；严禁利用会计准则和设计实施复杂交易调节利润、虚假转让资产、规避监管要求；严禁虚列经济事项套取资金。 </w:t>
      </w:r>
    </w:p>
    <w:p>
      <w:pPr>
        <w:ind w:firstLine="0" w:firstLineChars="200"/>
        <w:rPr>
          <w:rFonts w:hint="eastAsia"/>
        </w:rPr>
      </w:pPr>
      <w:r>
        <w:rPr>
          <w:rFonts w:hint="eastAsia"/>
        </w:rPr>
        <w:t xml:space="preserve">企业应当强化内部财会监督作用，将财会监督纳入公司治理内容，强化公司治理层面财会监督力度，建立职责清晰、权责明确的财会监督体系；企业内部各部门、分支机构和附属机构在会计信息质量方面应各司其职、各负其责，共同落实财会监督要求，确保业务数据真实合规、风险充分识别计量、财务报表真实完整、信息披露充分透明。同时，要强化企业内部财会工作对业务发展和风险评估的监督作用，推动提升业务真实合规和风险充分识别。 </w:t>
      </w:r>
    </w:p>
    <w:p>
      <w:pPr>
        <w:ind w:firstLine="0" w:firstLineChars="200"/>
        <w:rPr>
          <w:rFonts w:hint="eastAsia"/>
        </w:rPr>
      </w:pPr>
      <w:r>
        <w:rPr>
          <w:rFonts w:hint="eastAsia"/>
        </w:rPr>
        <w:t xml:space="preserve">执行企业内部控制规范体系的企业应当建立健全内部控制制度，完善风险评估机制，强化对重点领域和高风险领域内部控制有效性的评价，细化内部控制缺陷认定标准，科学认定内部控制缺陷，强化内部控制缺陷整改工作，完整、准确、真实披露内部控制评价报告，充分发挥内部控制在提升企业会计信息质量、防范财务舞弊等方面的重要作用。 </w:t>
      </w:r>
    </w:p>
    <w:p>
      <w:pPr>
        <w:ind w:firstLine="0" w:firstLineChars="200"/>
        <w:rPr>
          <w:rFonts w:hint="eastAsia"/>
        </w:rPr>
      </w:pPr>
      <w:r>
        <w:rPr>
          <w:rFonts w:hint="eastAsia"/>
        </w:rPr>
        <w:t xml:space="preserve">（二）会计师事务所应当提高审计质量，充分发挥社会审计鉴证作用。会计师事务所应当紧抓质量提升主线，守住诚信操守底线，筑牢法律法规红线，充分发挥审计鉴证作用，持续提升审计质量。 </w:t>
      </w:r>
    </w:p>
    <w:p>
      <w:pPr>
        <w:ind w:firstLine="0" w:firstLineChars="200"/>
        <w:rPr>
          <w:rFonts w:hint="eastAsia"/>
        </w:rPr>
      </w:pPr>
      <w:r>
        <w:rPr>
          <w:rFonts w:hint="eastAsia"/>
        </w:rPr>
        <w:t xml:space="preserve">有关企业应当严格按照《国有企业、上市公司选聘会计师事务所管理办法》（财会〔2023〕4号）等规定，做好年报会计师事务所选聘、披露、轮换等工作，促进注册会计师行业公平竞争，推动提升年报审计质量。上市公司应当严格履行会计师事务所选聘审议程序，议案经审计委员会同意后，方可提交董事会、股东大会；公司应当认真做好会计师事务所聘任、履职、费用等信息的披露；公司应当严格落实会计师事务所及注册会计师轮换要求，变更年审会计师事务所的，应当在年底前完成并披露变更原因。 </w:t>
      </w:r>
    </w:p>
    <w:p>
      <w:pPr>
        <w:ind w:firstLine="0" w:firstLineChars="200"/>
        <w:rPr>
          <w:rFonts w:hint="eastAsia"/>
        </w:rPr>
      </w:pPr>
      <w:r>
        <w:rPr>
          <w:rFonts w:hint="eastAsia"/>
        </w:rPr>
        <w:t xml:space="preserve">会计师事务所在进行年报审计时，应当重点关注易发生错报的企业合并报表编制、收入确认、减值计提等领域，融资性贸易等业务，房地产、医药等重点行业，警惕通过伪造变造凭证、利用关联方虚构交易或第三方配合等方式实施系统性造假和配合造假的行为。对企业年报存在异常的，应当保持高度的职业怀疑，作出恰当的职业判断，进一步执行审计程序，不应直接采用管理层声明替代必要的审计程序，及时有效识别企业舞弊和财务造假。审计过程中，应当严格执行准则要求，实施恰当的审计程序，确保获取充分适当的审计证据以支撑审计结论和意见。 </w:t>
      </w:r>
    </w:p>
    <w:p>
      <w:pPr>
        <w:ind w:firstLine="0" w:firstLineChars="200"/>
        <w:rPr>
          <w:rFonts w:hint="eastAsia"/>
        </w:rPr>
      </w:pPr>
      <w:r>
        <w:rPr>
          <w:rFonts w:hint="eastAsia"/>
        </w:rPr>
        <w:t xml:space="preserve">会计师事务所利用专家工作成果或外部评估机构结果并不能免除注册会计师审计责任，因此，应准确评价专家的工作是否足以实现审计目的，确保获取的审计证据充分、适当。会计师事务所应准确分析评估机构采用的评估方法及模型、重要假设、关键参数的恰当性，有效识别、评估和应对因舞弊导致的财务报表重大错报风险。 </w:t>
      </w:r>
    </w:p>
    <w:p>
      <w:pPr>
        <w:ind w:firstLine="0" w:firstLineChars="200"/>
        <w:rPr>
          <w:rFonts w:hint="eastAsia"/>
        </w:rPr>
      </w:pPr>
      <w:r>
        <w:rPr>
          <w:rFonts w:hint="eastAsia"/>
        </w:rPr>
        <w:t xml:space="preserve">会计师事务所应当严守执业准则和职业道德，客观独立发表恰当审计意见，充分揭示金融机构真实风险，有效维护公众利益。会计师事务所审计过程中应准确识别金融机构业务真实性，纠正不规范实施会计准则行为以及利用会计准则调节利润和监管套利行为，不得协助金融机构滥用会计准则，不得协助金融机构掩盖金融风险。 </w:t>
      </w:r>
    </w:p>
    <w:p>
      <w:pPr>
        <w:ind w:firstLine="0" w:firstLineChars="200"/>
        <w:rPr>
          <w:rFonts w:hint="eastAsia"/>
        </w:rPr>
      </w:pPr>
      <w:r>
        <w:rPr>
          <w:rFonts w:hint="eastAsia"/>
        </w:rPr>
        <w:t xml:space="preserve">会计师事务所应当根据企业内部控制规范体系和相关执业准则要求，对上市公司财务报告内部控制有效性进行审计，同时关注非财务报告内部控制重大缺陷，提升内部控制审计报告质量。 </w:t>
      </w:r>
    </w:p>
    <w:p>
      <w:pPr>
        <w:ind w:firstLine="0" w:firstLineChars="200"/>
        <w:rPr>
          <w:rFonts w:hint="eastAsia"/>
        </w:rPr>
      </w:pPr>
      <w:r>
        <w:rPr>
          <w:rFonts w:hint="eastAsia"/>
        </w:rPr>
        <w:t xml:space="preserve">（三）监管部门应当加强协同配合，持续强化监管，有效促进提升企业会计信息质量。各地方和有关单位应当按照职责分工，强化宣传贯彻，积极采取措施，加强协同配合，督促辖区内有关企业严格执行企业会计准则，将企业2023年年报工作中的有关情况、问题建议等，及时向财政部及有关部门报告。 </w:t>
      </w:r>
    </w:p>
    <w:p>
      <w:pPr>
        <w:ind w:firstLine="0" w:firstLineChars="200"/>
        <w:rPr>
          <w:rFonts w:hint="eastAsia"/>
        </w:rPr>
      </w:pPr>
      <w:r>
        <w:rPr>
          <w:rFonts w:hint="eastAsia"/>
        </w:rPr>
        <w:t>财政部、国务院国资委、金融监管总局、中国证监会将继续深入实施部门间年报通知工作机制，按照职责分工，加大协同配合力度，持续强化监督检查，密切跟踪企业和会计师事务所2023年年报编制、审计、决算等相关情况，加强信息共享与沟通，加大对企业进行财务造假、有关机构配合造假等违法违规行为的处罚力度，切实压实企业财务报告编制者主体责任、会计师事务所审计责任、其他单位有关责任。</w:t>
      </w:r>
    </w:p>
    <w:p>
      <w:pPr>
        <w:ind w:firstLine="0" w:firstLineChars="200"/>
        <w:jc w:val="right"/>
        <w:rPr>
          <w:rFonts w:hint="eastAsia"/>
        </w:rPr>
      </w:pPr>
      <w:r>
        <w:rPr>
          <w:rFonts w:hint="eastAsia"/>
        </w:rPr>
        <w:t>财政部      国务院国资委</w:t>
      </w:r>
    </w:p>
    <w:p>
      <w:pPr>
        <w:ind w:firstLine="0" w:firstLineChars="200"/>
        <w:jc w:val="right"/>
        <w:rPr>
          <w:rFonts w:hint="eastAsia"/>
        </w:rPr>
      </w:pPr>
      <w:r>
        <w:rPr>
          <w:rFonts w:hint="eastAsia"/>
        </w:rPr>
        <w:t>金融监管总局   中国证监会</w:t>
      </w:r>
    </w:p>
    <w:p>
      <w:pPr>
        <w:ind w:firstLine="0" w:firstLineChars="200"/>
        <w:jc w:val="right"/>
      </w:pPr>
      <w:r>
        <w:rPr>
          <w:rFonts w:hint="eastAsia"/>
        </w:rPr>
        <w:t>2023年12月7日</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52AE2"/>
    <w:rsid w:val="23252AE2"/>
    <w:rsid w:val="43D279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2023-12-20T00:37:00Z</dcterms:created>
  <dc:creator>Administrator</dc:creator>
  <cp:lastModifiedBy>Administrator</cp:lastModifiedBy>
  <cp:lastPrinted>2023-12-20T00:38:22Z</cp:lastPrinted>
  <dcterms:modified xsi:type="dcterms:W3CDTF">2023-12-20T00:46:24Z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