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color w:val="auto"/>
          <w:sz w:val="44"/>
          <w:szCs w:val="44"/>
          <w:lang w:eastAsia="zh-CN"/>
        </w:rPr>
      </w:pPr>
      <w:r>
        <w:rPr>
          <w:rFonts w:hint="eastAsia" w:ascii="宋体" w:hAnsi="宋体" w:eastAsia="方正小标宋简体" w:cs="方正小标宋简体"/>
          <w:color w:val="auto"/>
          <w:sz w:val="44"/>
          <w:szCs w:val="44"/>
          <w:lang w:eastAsia="zh-CN"/>
        </w:rPr>
        <w:t>吉林省省级项目支出绩效评价结果</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宋体" w:hAnsi="宋体" w:eastAsia="方正小标宋简体" w:cs="方正小标宋简体"/>
          <w:color w:val="auto"/>
          <w:sz w:val="44"/>
          <w:szCs w:val="44"/>
          <w:lang w:eastAsia="zh-CN"/>
        </w:rPr>
      </w:pPr>
      <w:r>
        <w:rPr>
          <w:rFonts w:hint="eastAsia" w:ascii="宋体" w:hAnsi="宋体" w:eastAsia="方正小标宋简体" w:cs="方正小标宋简体"/>
          <w:color w:val="auto"/>
          <w:sz w:val="44"/>
          <w:szCs w:val="44"/>
          <w:lang w:eastAsia="zh-CN"/>
        </w:rPr>
        <w:t>与预算安排挂钩实施细则</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both"/>
        <w:textAlignment w:val="auto"/>
        <w:outlineLvl w:val="9"/>
        <w:rPr>
          <w:rFonts w:hint="eastAsia" w:ascii="宋体" w:hAnsi="宋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宋体" w:hAnsi="宋体" w:eastAsia="仿宋_GB2312" w:cs="仿宋_GB2312"/>
          <w:color w:val="auto"/>
          <w:kern w:val="0"/>
          <w:sz w:val="32"/>
          <w:szCs w:val="32"/>
          <w:shd w:val="clear" w:fill="FFFFFF"/>
          <w:vertAlign w:val="baseline"/>
          <w:lang w:val="en-US" w:eastAsia="zh-CN" w:bidi="ar"/>
        </w:rPr>
      </w:pPr>
      <w:r>
        <w:rPr>
          <w:rFonts w:hint="eastAsia" w:ascii="黑体" w:hAnsi="黑体" w:eastAsia="黑体" w:cs="黑体"/>
          <w:b w:val="0"/>
          <w:bCs w:val="0"/>
          <w:color w:val="auto"/>
          <w:sz w:val="32"/>
          <w:szCs w:val="32"/>
          <w:lang w:val="en-US" w:eastAsia="zh-CN"/>
        </w:rPr>
        <w:t>第一条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shd w:val="clear" w:fill="FFFFFF"/>
          <w:vertAlign w:val="baseline"/>
          <w:lang w:val="en-US" w:eastAsia="zh-CN" w:bidi="ar"/>
        </w:rPr>
        <w:t>为深入落实吉林省财政厅《关于构建财会监督工作机制的实施意见》（吉财监〔2024〕235号），切实将评价结果作为预算编制和资金分配的重要参考依据，充分发挥绩效评价在削减低效无效资金方面的作用，根据《吉林省项目支出绩效评价管理暂行办法》（吉财绩〔2020〕711号）《吉林省省级项目支出绩效评价结果应用管理暂行办法》（吉财绩〔2020〕712号），制定本细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宋体" w:hAnsi="宋体" w:eastAsia="黑体" w:cs="黑体"/>
          <w:color w:val="auto"/>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宋体" w:hAnsi="宋体" w:eastAsia="仿宋_GB2312" w:cs="仿宋_GB2312"/>
          <w:color w:val="auto"/>
          <w:kern w:val="0"/>
          <w:sz w:val="32"/>
          <w:szCs w:val="32"/>
          <w:shd w:val="clear" w:fill="FFFFFF"/>
          <w:vertAlign w:val="baseline"/>
          <w:lang w:val="en-US" w:eastAsia="zh-CN" w:bidi="ar"/>
        </w:rPr>
        <w:t xml:space="preserve">  本细则中的绩效评价结果是指省财政厅对省级预算安排的部门预算项目、省级财政专项资金、共同事权转移支付和</w:t>
      </w:r>
      <w:bookmarkStart w:id="0" w:name="_GoBack"/>
      <w:bookmarkEnd w:id="0"/>
      <w:r>
        <w:rPr>
          <w:rFonts w:hint="eastAsia" w:ascii="宋体" w:hAnsi="宋体" w:eastAsia="仿宋_GB2312" w:cs="仿宋_GB2312"/>
          <w:color w:val="auto"/>
          <w:kern w:val="0"/>
          <w:sz w:val="32"/>
          <w:szCs w:val="32"/>
          <w:shd w:val="clear" w:fill="FFFFFF"/>
          <w:vertAlign w:val="baseline"/>
          <w:lang w:val="en-US" w:eastAsia="zh-CN" w:bidi="ar"/>
        </w:rPr>
        <w:t>专项转移支付进行绩效评价所形成的评价结论和意见等，以绩效评价报告为载体。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宋体" w:hAnsi="宋体"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第三条</w:t>
      </w:r>
      <w:r>
        <w:rPr>
          <w:rFonts w:hint="eastAsia" w:ascii="宋体" w:hAnsi="宋体" w:eastAsia="仿宋_GB2312" w:cs="仿宋_GB2312"/>
          <w:color w:val="auto"/>
          <w:sz w:val="32"/>
          <w:szCs w:val="32"/>
          <w:lang w:val="en-US" w:eastAsia="zh-CN"/>
        </w:rPr>
        <w:t xml:space="preserve">  绩效评价结果采取评分和评级相结合的方式，具体划分为五档：90（含）—100分为优、80（含）—90分（不含）为良、70（含）—80分（不含）为中、60（含）—70分（不含）为低、60分以下为差。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宋体" w:hAnsi="宋体"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第四条</w:t>
      </w:r>
      <w:r>
        <w:rPr>
          <w:rFonts w:hint="eastAsia" w:ascii="宋体" w:hAnsi="宋体" w:eastAsia="仿宋_GB2312" w:cs="仿宋_GB2312"/>
          <w:color w:val="auto"/>
          <w:sz w:val="32"/>
          <w:szCs w:val="32"/>
          <w:lang w:val="en-US" w:eastAsia="zh-CN"/>
        </w:rPr>
        <w:t xml:space="preserve">  评价结果与预算安排挂钩的具体方式为：评价结果为“优”的，下一年度预算予以优先保障；评价结果为“良”的，下一年度预算按零增长控制；评价结果为“中”的，按照不低于当年预算20%的比例压减下一年度预算规模；评价结果为“低”的，按照不低于当年预算总额50%的比例压减年下一年度预算规模；评价结果为“差”的，取消下一年度预算安排，并提请有关部门进行追责问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具体压减比例根据问题定性、评价得分以及财力状况等因素综合确定。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宋体" w:hAnsi="宋体"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Fonts w:hint="eastAsia" w:ascii="宋体" w:hAnsi="宋体" w:eastAsia="仿宋_GB2312" w:cs="仿宋_GB2312"/>
          <w:color w:val="auto"/>
          <w:sz w:val="32"/>
          <w:szCs w:val="32"/>
          <w:lang w:val="en-US" w:eastAsia="zh-CN"/>
        </w:rPr>
        <w:t xml:space="preserve">  对于国家和省委省政府有明确投入要求或</w:t>
      </w:r>
      <w:r>
        <w:rPr>
          <w:rFonts w:hint="eastAsia" w:ascii="宋体" w:hAnsi="宋体" w:eastAsia="仿宋_GB2312" w:cs="仿宋_GB2312"/>
          <w:color w:val="auto"/>
          <w:kern w:val="0"/>
          <w:sz w:val="32"/>
          <w:szCs w:val="32"/>
          <w:shd w:val="clear" w:fill="FFFFFF"/>
          <w:vertAlign w:val="baseline"/>
          <w:lang w:val="en-US" w:eastAsia="zh-CN" w:bidi="ar"/>
        </w:rPr>
        <w:t>对公众有承诺的政策和</w:t>
      </w:r>
      <w:r>
        <w:rPr>
          <w:rFonts w:hint="eastAsia" w:ascii="宋体" w:hAnsi="宋体" w:eastAsia="仿宋_GB2312" w:cs="仿宋_GB2312"/>
          <w:color w:val="auto"/>
          <w:sz w:val="32"/>
          <w:szCs w:val="32"/>
          <w:lang w:val="en-US" w:eastAsia="zh-CN"/>
        </w:rPr>
        <w:t>项目，经部门申请，可递延以后年度或分年扣减预算（不超过三年）。确实难以取消或压减的，省财政厅将该项目下一年度设为保留察看期，督促相关省级主管部门制定具体整改方案，细化整改措施，强化该类项目全过程绩效管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宋体" w:hAnsi="宋体"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第六条</w:t>
      </w:r>
      <w:r>
        <w:rPr>
          <w:rFonts w:hint="eastAsia" w:ascii="宋体" w:hAnsi="宋体" w:eastAsia="仿宋_GB2312" w:cs="仿宋_GB2312"/>
          <w:color w:val="auto"/>
          <w:sz w:val="32"/>
          <w:szCs w:val="32"/>
          <w:lang w:val="en-US" w:eastAsia="zh-CN"/>
        </w:rPr>
        <w:t xml:space="preserve">  对于纳入保留察看期的项目，在保留察看期结束后，省财政厅将对省级主管部门整改落实情况进行全面复核，并同步实施绩效评价，若整改落实不到位或评价结果未达到“良”及以上的，省财政厅将把有关情况上报省政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2"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第七条</w:t>
      </w:r>
      <w:r>
        <w:rPr>
          <w:rFonts w:hint="eastAsia" w:ascii="宋体" w:hAnsi="宋体" w:eastAsia="仿宋_GB2312" w:cs="仿宋_GB2312"/>
          <w:color w:val="auto"/>
          <w:sz w:val="32"/>
          <w:szCs w:val="32"/>
          <w:lang w:val="en-US" w:eastAsia="zh-CN"/>
        </w:rPr>
        <w:t xml:space="preserve">  </w:t>
      </w:r>
      <w:r>
        <w:rPr>
          <w:rFonts w:hint="eastAsia" w:ascii="宋体" w:hAnsi="宋体" w:eastAsia="仿宋_GB2312" w:cs="仿宋_GB2312"/>
          <w:color w:val="auto"/>
          <w:kern w:val="0"/>
          <w:sz w:val="32"/>
          <w:szCs w:val="32"/>
          <w:shd w:val="clear" w:fill="FFFFFF"/>
          <w:vertAlign w:val="baseline"/>
          <w:lang w:val="en-US" w:eastAsia="zh-CN" w:bidi="ar"/>
        </w:rPr>
        <w:t>本细则自印发之日起执行。</w:t>
      </w:r>
    </w:p>
    <w:sectPr>
      <w:headerReference r:id="rId3" w:type="default"/>
      <w:footerReference r:id="rId4" w:type="default"/>
      <w:pgSz w:w="11906" w:h="16838"/>
      <w:pgMar w:top="2098" w:right="1587" w:bottom="2098" w:left="1587" w:header="850" w:footer="1587" w:gutter="0"/>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思源黑体 CN Heavy">
    <w:altName w:val="黑体"/>
    <w:panose1 w:val="020B0A00000000000000"/>
    <w:charset w:val="86"/>
    <w:family w:val="auto"/>
    <w:pitch w:val="default"/>
    <w:sig w:usb0="00000000" w:usb1="00000000" w:usb2="00000016" w:usb3="00000000" w:csb0="60060107"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Bold">
    <w:altName w:val="黑体"/>
    <w:panose1 w:val="020B080000000000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E77B1"/>
    <w:rsid w:val="05AF7EDE"/>
    <w:rsid w:val="06793145"/>
    <w:rsid w:val="07990FCD"/>
    <w:rsid w:val="129530CD"/>
    <w:rsid w:val="129F7910"/>
    <w:rsid w:val="1E3A0227"/>
    <w:rsid w:val="26DD48E5"/>
    <w:rsid w:val="354069BA"/>
    <w:rsid w:val="354A08B3"/>
    <w:rsid w:val="3B087B21"/>
    <w:rsid w:val="3BCE77B1"/>
    <w:rsid w:val="3D7431ED"/>
    <w:rsid w:val="3ED81327"/>
    <w:rsid w:val="44442EE9"/>
    <w:rsid w:val="46F7326D"/>
    <w:rsid w:val="4BA7374B"/>
    <w:rsid w:val="4D1901DB"/>
    <w:rsid w:val="51653B88"/>
    <w:rsid w:val="53D4104A"/>
    <w:rsid w:val="57913778"/>
    <w:rsid w:val="5D5B41A8"/>
    <w:rsid w:val="5DB655B1"/>
    <w:rsid w:val="622A608D"/>
    <w:rsid w:val="63F07205"/>
    <w:rsid w:val="720D109E"/>
    <w:rsid w:val="74474CF0"/>
    <w:rsid w:val="7524143C"/>
    <w:rsid w:val="771D0208"/>
    <w:rsid w:val="7AFA48B4"/>
    <w:rsid w:val="7BFD5CF0"/>
    <w:rsid w:val="FCE7E10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ddd</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2024-01-04T09:47:00Z</dcterms:created>
  <dc:creator>Administrator</dc:creator>
  <cp:lastModifiedBy>lenovo</cp:lastModifiedBy>
  <cp:lastPrinted>2024-05-07T02:35:00Z</cp:lastPrinted>
  <dcterms:modified xsi:type="dcterms:W3CDTF">2024-05-11T00:43:40Z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216D5EFA10E7711BB8172F66B05A931F</vt:lpwstr>
  </property>
</Properties>
</file>