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52"/>
          <w:szCs w:val="52"/>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黑体" w:hAnsi="黑体" w:eastAsia="黑体"/>
          <w:sz w:val="52"/>
          <w:szCs w:val="52"/>
          <w:lang w:eastAsia="zh-CN"/>
        </w:rPr>
      </w:pPr>
      <w:r>
        <w:rPr>
          <w:rFonts w:hint="eastAsia" w:ascii="黑体" w:hAnsi="黑体" w:eastAsia="黑体"/>
          <w:sz w:val="52"/>
          <w:szCs w:val="52"/>
        </w:rPr>
        <w:t>吉林省</w:t>
      </w:r>
      <w:r>
        <w:rPr>
          <w:rFonts w:hint="eastAsia" w:ascii="黑体" w:hAnsi="黑体" w:eastAsia="黑体"/>
          <w:sz w:val="52"/>
          <w:szCs w:val="52"/>
          <w:lang w:val="en-US" w:eastAsia="zh-CN"/>
        </w:rPr>
        <w:t>2021-</w:t>
      </w:r>
      <w:r>
        <w:rPr>
          <w:rFonts w:hint="eastAsia" w:ascii="黑体" w:hAnsi="黑体" w:eastAsia="黑体"/>
          <w:sz w:val="52"/>
          <w:szCs w:val="52"/>
        </w:rPr>
        <w:t>202</w:t>
      </w:r>
      <w:r>
        <w:rPr>
          <w:rFonts w:hint="eastAsia" w:ascii="黑体" w:hAnsi="黑体" w:eastAsia="黑体"/>
          <w:sz w:val="52"/>
          <w:szCs w:val="52"/>
          <w:lang w:val="en-US" w:eastAsia="zh-CN"/>
        </w:rPr>
        <w:t>3</w:t>
      </w:r>
      <w:r>
        <w:rPr>
          <w:rFonts w:hint="eastAsia" w:ascii="黑体" w:hAnsi="黑体" w:eastAsia="黑体"/>
          <w:sz w:val="52"/>
          <w:szCs w:val="52"/>
        </w:rPr>
        <w:t>年度</w:t>
      </w:r>
      <w:r>
        <w:rPr>
          <w:rFonts w:hint="eastAsia" w:ascii="黑体" w:hAnsi="黑体" w:eastAsia="黑体"/>
          <w:sz w:val="52"/>
          <w:szCs w:val="52"/>
          <w:lang w:eastAsia="zh-CN"/>
        </w:rPr>
        <w:t>建筑节能</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黑体" w:hAnsi="黑体" w:eastAsia="黑体"/>
          <w:sz w:val="52"/>
          <w:szCs w:val="52"/>
          <w:lang w:eastAsia="zh-CN"/>
        </w:rPr>
      </w:pPr>
      <w:r>
        <w:rPr>
          <w:rFonts w:hint="eastAsia" w:ascii="黑体" w:hAnsi="黑体" w:eastAsia="黑体"/>
          <w:sz w:val="52"/>
          <w:szCs w:val="52"/>
        </w:rPr>
        <w:t>奖补</w:t>
      </w:r>
      <w:r>
        <w:rPr>
          <w:rFonts w:ascii="黑体" w:hAnsi="黑体" w:eastAsia="黑体"/>
          <w:sz w:val="52"/>
          <w:szCs w:val="52"/>
        </w:rPr>
        <w:t>资金</w:t>
      </w:r>
    </w:p>
    <w:p>
      <w:pPr>
        <w:pStyle w:val="2"/>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ascii="黑体" w:hAnsi="黑体" w:eastAsia="黑体"/>
          <w:sz w:val="84"/>
          <w:szCs w:val="84"/>
        </w:rPr>
      </w:pPr>
    </w:p>
    <w:p>
      <w:pPr>
        <w:keepNext w:val="0"/>
        <w:keepLines w:val="0"/>
        <w:pageBreakBefore w:val="0"/>
        <w:widowControl w:val="0"/>
        <w:kinsoku/>
        <w:wordWrap/>
        <w:overflowPunct/>
        <w:topLinePunct w:val="0"/>
        <w:autoSpaceDE/>
        <w:autoSpaceDN/>
        <w:bidi w:val="0"/>
        <w:adjustRightInd/>
        <w:snapToGrid/>
        <w:spacing w:line="1000" w:lineRule="exact"/>
        <w:ind w:left="0" w:leftChars="0" w:firstLine="0" w:firstLineChars="0"/>
        <w:jc w:val="center"/>
        <w:textAlignment w:val="auto"/>
        <w:rPr>
          <w:rFonts w:ascii="黑体" w:hAnsi="黑体" w:eastAsia="黑体"/>
          <w:sz w:val="84"/>
          <w:szCs w:val="84"/>
        </w:rPr>
      </w:pPr>
      <w:r>
        <w:rPr>
          <w:rFonts w:ascii="黑体" w:hAnsi="黑体" w:eastAsia="黑体"/>
          <w:sz w:val="84"/>
          <w:szCs w:val="84"/>
        </w:rPr>
        <w:t>绩效</w:t>
      </w:r>
      <w:r>
        <w:rPr>
          <w:rFonts w:hint="eastAsia" w:ascii="黑体" w:hAnsi="黑体" w:eastAsia="黑体"/>
          <w:sz w:val="84"/>
          <w:szCs w:val="84"/>
          <w:lang w:eastAsia="zh-CN"/>
        </w:rPr>
        <w:t>评价</w:t>
      </w:r>
      <w:r>
        <w:rPr>
          <w:rFonts w:ascii="黑体" w:hAnsi="黑体" w:eastAsia="黑体"/>
          <w:sz w:val="84"/>
          <w:szCs w:val="84"/>
        </w:rPr>
        <w:t>报告</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ascii="黑体" w:hAnsi="黑体" w:eastAsia="黑体"/>
          <w:sz w:val="84"/>
          <w:szCs w:val="8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黑体" w:hAnsi="黑体" w:eastAsia="黑体"/>
          <w:sz w:val="84"/>
          <w:szCs w:val="8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黑体" w:hAnsi="黑体" w:eastAsia="黑体"/>
          <w:sz w:val="84"/>
          <w:szCs w:val="8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黑体" w:hAnsi="黑体" w:eastAsia="黑体"/>
          <w:sz w:val="84"/>
          <w:szCs w:val="8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宋体" w:hAnsi="宋体" w:eastAsia="仿宋_GB2312"/>
          <w:sz w:val="36"/>
          <w:szCs w:val="36"/>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宋体" w:hAnsi="宋体" w:eastAsia="仿宋_GB2312"/>
          <w:sz w:val="36"/>
          <w:szCs w:val="36"/>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宋体" w:hAnsi="宋体" w:eastAsia="仿宋_GB2312"/>
          <w:sz w:val="36"/>
          <w:szCs w:val="36"/>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宋体" w:hAnsi="宋体" w:eastAsia="仿宋_GB2312"/>
          <w:sz w:val="36"/>
          <w:szCs w:val="36"/>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黑体" w:hAnsi="黑体" w:eastAsia="黑体"/>
          <w:sz w:val="36"/>
          <w:szCs w:val="36"/>
          <w:lang w:eastAsia="zh-CN"/>
        </w:rPr>
      </w:pPr>
      <w:r>
        <w:rPr>
          <w:rFonts w:hint="eastAsia" w:ascii="黑体" w:hAnsi="黑体" w:eastAsia="黑体"/>
          <w:sz w:val="36"/>
          <w:szCs w:val="36"/>
          <w:lang w:eastAsia="zh-CN"/>
        </w:rPr>
        <w:t>吉林省住房和城乡建设厅</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default" w:ascii="黑体" w:hAnsi="黑体" w:eastAsia="黑体"/>
          <w:sz w:val="36"/>
          <w:szCs w:val="36"/>
          <w:lang w:val="en-US" w:eastAsia="zh-CN"/>
        </w:rPr>
        <w:sectPr>
          <w:pgSz w:w="11906" w:h="16838"/>
          <w:pgMar w:top="1701" w:right="1531" w:bottom="1417" w:left="1531" w:header="851" w:footer="992" w:gutter="0"/>
          <w:cols w:space="425" w:num="1"/>
          <w:docGrid w:type="lines" w:linePitch="312" w:charSpace="0"/>
        </w:sectPr>
      </w:pPr>
      <w:r>
        <w:rPr>
          <w:rFonts w:hint="eastAsia" w:ascii="黑体" w:hAnsi="黑体" w:eastAsia="黑体"/>
          <w:sz w:val="36"/>
          <w:szCs w:val="36"/>
          <w:lang w:eastAsia="zh-CN"/>
        </w:rPr>
        <w:t>吉林省财政厅</w:t>
      </w:r>
    </w:p>
    <w:p>
      <w:pPr>
        <w:ind w:left="-708" w:leftChars="-253" w:firstLine="643"/>
        <w:jc w:val="center"/>
        <w:rPr>
          <w:rFonts w:eastAsia="黑体" w:cs="Times New Roman"/>
          <w:b/>
          <w:bCs/>
          <w:sz w:val="32"/>
          <w:szCs w:val="32"/>
          <w:highlight w:val="none"/>
        </w:rPr>
      </w:pPr>
    </w:p>
    <w:p>
      <w:pPr>
        <w:ind w:left="-708" w:leftChars="-253" w:firstLine="643"/>
        <w:jc w:val="center"/>
        <w:rPr>
          <w:rFonts w:eastAsia="黑体" w:cs="Times New Roman"/>
          <w:b/>
          <w:bCs/>
          <w:sz w:val="32"/>
          <w:szCs w:val="32"/>
          <w:highlight w:val="none"/>
        </w:rPr>
      </w:pPr>
      <w:r>
        <w:rPr>
          <w:rFonts w:eastAsia="黑体" w:cs="Times New Roman"/>
          <w:b/>
          <w:bCs/>
          <w:sz w:val="32"/>
          <w:szCs w:val="32"/>
          <w:highlight w:val="none"/>
        </w:rPr>
        <w:t>目</w:t>
      </w:r>
      <w:r>
        <w:rPr>
          <w:rFonts w:hint="eastAsia" w:eastAsia="黑体" w:cs="Times New Roman"/>
          <w:b/>
          <w:bCs/>
          <w:sz w:val="32"/>
          <w:szCs w:val="32"/>
          <w:highlight w:val="none"/>
        </w:rPr>
        <w:t xml:space="preserve">  </w:t>
      </w:r>
      <w:r>
        <w:rPr>
          <w:rFonts w:eastAsia="黑体" w:cs="Times New Roman"/>
          <w:b/>
          <w:bCs/>
          <w:sz w:val="32"/>
          <w:szCs w:val="32"/>
          <w:highlight w:val="none"/>
        </w:rPr>
        <w:t>录</w:t>
      </w:r>
    </w:p>
    <w:p>
      <w:pPr>
        <w:pStyle w:val="13"/>
        <w:rPr>
          <w:rFonts w:ascii="Times New Roman" w:cs="Times New Roman" w:eastAsiaTheme="minorEastAsia"/>
          <w:b w:val="0"/>
          <w:bCs w:val="0"/>
          <w:sz w:val="21"/>
          <w:highlight w:val="none"/>
        </w:rPr>
      </w:pPr>
      <w:r>
        <w:rPr>
          <w:rFonts w:ascii="Times New Roman" w:eastAsia="等线" w:cs="Times New Roman"/>
          <w:sz w:val="36"/>
          <w:szCs w:val="36"/>
          <w:highlight w:val="none"/>
        </w:rPr>
        <w:fldChar w:fldCharType="begin"/>
      </w:r>
      <w:r>
        <w:rPr>
          <w:rFonts w:ascii="Times New Roman" w:eastAsia="等线" w:cs="Times New Roman"/>
          <w:sz w:val="36"/>
          <w:szCs w:val="36"/>
          <w:highlight w:val="none"/>
        </w:rPr>
        <w:instrText xml:space="preserve"> TOC \o "1-2" \h \z \u </w:instrText>
      </w:r>
      <w:r>
        <w:rPr>
          <w:rFonts w:ascii="Times New Roman" w:eastAsia="等线" w:cs="Times New Roman"/>
          <w:sz w:val="36"/>
          <w:szCs w:val="36"/>
          <w:highlight w:val="none"/>
        </w:rPr>
        <w:fldChar w:fldCharType="separate"/>
      </w:r>
      <w:r>
        <w:rPr>
          <w:highlight w:val="none"/>
        </w:rPr>
        <w:fldChar w:fldCharType="begin"/>
      </w:r>
      <w:r>
        <w:rPr>
          <w:highlight w:val="none"/>
        </w:rPr>
        <w:instrText xml:space="preserve"> HYPERLINK \l "_Toc136264973" </w:instrText>
      </w:r>
      <w:r>
        <w:rPr>
          <w:highlight w:val="none"/>
        </w:rPr>
        <w:fldChar w:fldCharType="separate"/>
      </w:r>
      <w:r>
        <w:rPr>
          <w:rStyle w:val="18"/>
          <w:rFonts w:ascii="Times New Roman" w:cs="Times New Roman"/>
          <w:highlight w:val="none"/>
        </w:rPr>
        <w:t>一、基本情况</w:t>
      </w:r>
      <w:r>
        <w:rPr>
          <w:rFonts w:ascii="Times New Roman" w:cs="Times New Roman"/>
          <w:highlight w:val="none"/>
        </w:rPr>
        <w:tab/>
      </w:r>
      <w:r>
        <w:rPr>
          <w:rFonts w:ascii="Times New Roman" w:cs="Times New Roman"/>
          <w:highlight w:val="none"/>
        </w:rPr>
        <w:fldChar w:fldCharType="begin"/>
      </w:r>
      <w:r>
        <w:rPr>
          <w:rFonts w:ascii="Times New Roman" w:cs="Times New Roman"/>
          <w:highlight w:val="none"/>
        </w:rPr>
        <w:instrText xml:space="preserve"> PAGEREF _Toc136264973 \h </w:instrText>
      </w:r>
      <w:r>
        <w:rPr>
          <w:rFonts w:ascii="Times New Roman" w:cs="Times New Roman"/>
          <w:highlight w:val="none"/>
        </w:rPr>
        <w:fldChar w:fldCharType="separate"/>
      </w:r>
      <w:r>
        <w:rPr>
          <w:rFonts w:ascii="Times New Roman" w:cs="Times New Roman"/>
          <w:highlight w:val="none"/>
        </w:rPr>
        <w:t>1</w:t>
      </w:r>
      <w:r>
        <w:rPr>
          <w:rFonts w:ascii="Times New Roman" w:cs="Times New Roman"/>
          <w:highlight w:val="none"/>
        </w:rPr>
        <w:fldChar w:fldCharType="end"/>
      </w:r>
      <w:r>
        <w:rPr>
          <w:rFonts w:ascii="Times New Roman" w:cs="Times New Roman"/>
          <w:highlight w:val="none"/>
        </w:rPr>
        <w:fldChar w:fldCharType="end"/>
      </w:r>
    </w:p>
    <w:p>
      <w:pPr>
        <w:pStyle w:val="15"/>
        <w:rPr>
          <w:rFonts w:cs="Times New Roman" w:eastAsiaTheme="minorEastAsia"/>
          <w:sz w:val="21"/>
          <w:highlight w:val="none"/>
        </w:rPr>
      </w:pPr>
      <w:r>
        <w:rPr>
          <w:highlight w:val="none"/>
        </w:rPr>
        <w:fldChar w:fldCharType="begin"/>
      </w:r>
      <w:r>
        <w:rPr>
          <w:highlight w:val="none"/>
        </w:rPr>
        <w:instrText xml:space="preserve"> HYPERLINK \l "_Toc136264974" </w:instrText>
      </w:r>
      <w:r>
        <w:rPr>
          <w:highlight w:val="none"/>
        </w:rPr>
        <w:fldChar w:fldCharType="separate"/>
      </w:r>
      <w:r>
        <w:rPr>
          <w:rStyle w:val="18"/>
          <w:rFonts w:cs="Times New Roman"/>
          <w:highlight w:val="none"/>
        </w:rPr>
        <w:t>（一）项目概况</w:t>
      </w:r>
      <w:r>
        <w:rPr>
          <w:rFonts w:cs="Times New Roman"/>
          <w:highlight w:val="none"/>
        </w:rPr>
        <w:tab/>
      </w:r>
      <w:r>
        <w:rPr>
          <w:rFonts w:cs="Times New Roman"/>
          <w:highlight w:val="none"/>
        </w:rPr>
        <w:fldChar w:fldCharType="begin"/>
      </w:r>
      <w:r>
        <w:rPr>
          <w:rFonts w:cs="Times New Roman"/>
          <w:highlight w:val="none"/>
        </w:rPr>
        <w:instrText xml:space="preserve"> PAGEREF _Toc136264974 \h </w:instrText>
      </w:r>
      <w:r>
        <w:rPr>
          <w:rFonts w:cs="Times New Roman"/>
          <w:highlight w:val="none"/>
        </w:rPr>
        <w:fldChar w:fldCharType="separate"/>
      </w:r>
      <w:r>
        <w:rPr>
          <w:rFonts w:cs="Times New Roman"/>
          <w:highlight w:val="none"/>
        </w:rPr>
        <w:t>1</w:t>
      </w:r>
      <w:r>
        <w:rPr>
          <w:rFonts w:cs="Times New Roman"/>
          <w:highlight w:val="none"/>
        </w:rPr>
        <w:fldChar w:fldCharType="end"/>
      </w:r>
      <w:r>
        <w:rPr>
          <w:rFonts w:cs="Times New Roman"/>
          <w:highlight w:val="none"/>
        </w:rPr>
        <w:fldChar w:fldCharType="end"/>
      </w:r>
    </w:p>
    <w:p>
      <w:pPr>
        <w:pStyle w:val="15"/>
        <w:rPr>
          <w:rFonts w:cs="Times New Roman" w:eastAsiaTheme="minorEastAsia"/>
          <w:sz w:val="21"/>
          <w:highlight w:val="none"/>
        </w:rPr>
      </w:pPr>
      <w:r>
        <w:rPr>
          <w:highlight w:val="none"/>
        </w:rPr>
        <w:fldChar w:fldCharType="begin"/>
      </w:r>
      <w:r>
        <w:rPr>
          <w:highlight w:val="none"/>
        </w:rPr>
        <w:instrText xml:space="preserve"> HYPERLINK \l "_Toc136264975" </w:instrText>
      </w:r>
      <w:r>
        <w:rPr>
          <w:highlight w:val="none"/>
        </w:rPr>
        <w:fldChar w:fldCharType="separate"/>
      </w:r>
      <w:r>
        <w:rPr>
          <w:rStyle w:val="18"/>
          <w:rFonts w:cs="Times New Roman"/>
          <w:highlight w:val="none"/>
        </w:rPr>
        <w:t>（二）项目绩效目标</w:t>
      </w:r>
      <w:r>
        <w:rPr>
          <w:rFonts w:cs="Times New Roman"/>
          <w:highlight w:val="none"/>
        </w:rPr>
        <w:tab/>
      </w:r>
      <w:r>
        <w:rPr>
          <w:rFonts w:cs="Times New Roman"/>
          <w:highlight w:val="none"/>
        </w:rPr>
        <w:fldChar w:fldCharType="begin"/>
      </w:r>
      <w:r>
        <w:rPr>
          <w:rFonts w:cs="Times New Roman"/>
          <w:highlight w:val="none"/>
        </w:rPr>
        <w:instrText xml:space="preserve"> PAGEREF _Toc136264975 \h </w:instrText>
      </w:r>
      <w:r>
        <w:rPr>
          <w:rFonts w:cs="Times New Roman"/>
          <w:highlight w:val="none"/>
        </w:rPr>
        <w:fldChar w:fldCharType="separate"/>
      </w:r>
      <w:r>
        <w:rPr>
          <w:rFonts w:cs="Times New Roman"/>
          <w:highlight w:val="none"/>
        </w:rPr>
        <w:t>7</w:t>
      </w:r>
      <w:r>
        <w:rPr>
          <w:rFonts w:cs="Times New Roman"/>
          <w:highlight w:val="none"/>
        </w:rPr>
        <w:fldChar w:fldCharType="end"/>
      </w:r>
      <w:r>
        <w:rPr>
          <w:rFonts w:cs="Times New Roman"/>
          <w:highlight w:val="none"/>
        </w:rPr>
        <w:fldChar w:fldCharType="end"/>
      </w:r>
    </w:p>
    <w:p>
      <w:pPr>
        <w:pStyle w:val="13"/>
        <w:rPr>
          <w:rFonts w:ascii="Times New Roman" w:cs="Times New Roman" w:eastAsiaTheme="minorEastAsia"/>
          <w:b w:val="0"/>
          <w:bCs w:val="0"/>
          <w:sz w:val="21"/>
          <w:highlight w:val="none"/>
        </w:rPr>
      </w:pPr>
      <w:r>
        <w:rPr>
          <w:highlight w:val="none"/>
        </w:rPr>
        <w:fldChar w:fldCharType="begin"/>
      </w:r>
      <w:r>
        <w:rPr>
          <w:highlight w:val="none"/>
        </w:rPr>
        <w:instrText xml:space="preserve"> HYPERLINK \l "_Toc136264976" </w:instrText>
      </w:r>
      <w:r>
        <w:rPr>
          <w:highlight w:val="none"/>
        </w:rPr>
        <w:fldChar w:fldCharType="separate"/>
      </w:r>
      <w:r>
        <w:rPr>
          <w:rStyle w:val="18"/>
          <w:rFonts w:ascii="Times New Roman" w:cs="Times New Roman"/>
          <w:highlight w:val="none"/>
        </w:rPr>
        <w:t>二、绩效评价工作开展情况</w:t>
      </w:r>
      <w:r>
        <w:rPr>
          <w:rFonts w:ascii="Times New Roman" w:cs="Times New Roman"/>
          <w:highlight w:val="none"/>
        </w:rPr>
        <w:tab/>
      </w:r>
      <w:r>
        <w:rPr>
          <w:rFonts w:ascii="Times New Roman" w:cs="Times New Roman"/>
          <w:highlight w:val="none"/>
        </w:rPr>
        <w:fldChar w:fldCharType="begin"/>
      </w:r>
      <w:r>
        <w:rPr>
          <w:rFonts w:ascii="Times New Roman" w:cs="Times New Roman"/>
          <w:highlight w:val="none"/>
        </w:rPr>
        <w:instrText xml:space="preserve"> PAGEREF _Toc136264976 \h </w:instrText>
      </w:r>
      <w:r>
        <w:rPr>
          <w:rFonts w:ascii="Times New Roman" w:cs="Times New Roman"/>
          <w:highlight w:val="none"/>
        </w:rPr>
        <w:fldChar w:fldCharType="separate"/>
      </w:r>
      <w:r>
        <w:rPr>
          <w:rFonts w:ascii="Times New Roman" w:cs="Times New Roman"/>
          <w:highlight w:val="none"/>
        </w:rPr>
        <w:t>8</w:t>
      </w:r>
      <w:r>
        <w:rPr>
          <w:rFonts w:ascii="Times New Roman" w:cs="Times New Roman"/>
          <w:highlight w:val="none"/>
        </w:rPr>
        <w:fldChar w:fldCharType="end"/>
      </w:r>
      <w:r>
        <w:rPr>
          <w:rFonts w:ascii="Times New Roman" w:cs="Times New Roman"/>
          <w:highlight w:val="none"/>
        </w:rPr>
        <w:fldChar w:fldCharType="end"/>
      </w:r>
    </w:p>
    <w:p>
      <w:pPr>
        <w:pStyle w:val="15"/>
        <w:rPr>
          <w:rFonts w:cs="Times New Roman" w:eastAsiaTheme="minorEastAsia"/>
          <w:sz w:val="21"/>
          <w:highlight w:val="none"/>
        </w:rPr>
      </w:pPr>
      <w:r>
        <w:rPr>
          <w:highlight w:val="none"/>
        </w:rPr>
        <w:fldChar w:fldCharType="begin"/>
      </w:r>
      <w:r>
        <w:rPr>
          <w:highlight w:val="none"/>
        </w:rPr>
        <w:instrText xml:space="preserve"> HYPERLINK \l "_Toc136264977" </w:instrText>
      </w:r>
      <w:r>
        <w:rPr>
          <w:highlight w:val="none"/>
        </w:rPr>
        <w:fldChar w:fldCharType="separate"/>
      </w:r>
      <w:r>
        <w:rPr>
          <w:rStyle w:val="18"/>
          <w:rFonts w:cs="Times New Roman"/>
          <w:highlight w:val="none"/>
        </w:rPr>
        <w:t>（一）绩效评价目的</w:t>
      </w:r>
      <w:r>
        <w:rPr>
          <w:rFonts w:cs="Times New Roman"/>
          <w:highlight w:val="none"/>
        </w:rPr>
        <w:tab/>
      </w:r>
      <w:r>
        <w:rPr>
          <w:rFonts w:cs="Times New Roman"/>
          <w:highlight w:val="none"/>
        </w:rPr>
        <w:fldChar w:fldCharType="begin"/>
      </w:r>
      <w:r>
        <w:rPr>
          <w:rFonts w:cs="Times New Roman"/>
          <w:highlight w:val="none"/>
        </w:rPr>
        <w:instrText xml:space="preserve"> PAGEREF _Toc136264977 \h </w:instrText>
      </w:r>
      <w:r>
        <w:rPr>
          <w:rFonts w:cs="Times New Roman"/>
          <w:highlight w:val="none"/>
        </w:rPr>
        <w:fldChar w:fldCharType="separate"/>
      </w:r>
      <w:r>
        <w:rPr>
          <w:rFonts w:cs="Times New Roman"/>
          <w:highlight w:val="none"/>
        </w:rPr>
        <w:t>8</w:t>
      </w:r>
      <w:r>
        <w:rPr>
          <w:rFonts w:cs="Times New Roman"/>
          <w:highlight w:val="none"/>
        </w:rPr>
        <w:fldChar w:fldCharType="end"/>
      </w:r>
      <w:r>
        <w:rPr>
          <w:rFonts w:cs="Times New Roman"/>
          <w:highlight w:val="none"/>
        </w:rPr>
        <w:fldChar w:fldCharType="end"/>
      </w:r>
    </w:p>
    <w:p>
      <w:pPr>
        <w:pStyle w:val="15"/>
        <w:rPr>
          <w:rFonts w:cs="Times New Roman" w:eastAsiaTheme="minorEastAsia"/>
          <w:sz w:val="21"/>
          <w:highlight w:val="none"/>
        </w:rPr>
      </w:pPr>
      <w:r>
        <w:rPr>
          <w:highlight w:val="none"/>
        </w:rPr>
        <w:fldChar w:fldCharType="begin"/>
      </w:r>
      <w:r>
        <w:rPr>
          <w:highlight w:val="none"/>
        </w:rPr>
        <w:instrText xml:space="preserve"> HYPERLINK \l "_Toc136264978" </w:instrText>
      </w:r>
      <w:r>
        <w:rPr>
          <w:highlight w:val="none"/>
        </w:rPr>
        <w:fldChar w:fldCharType="separate"/>
      </w:r>
      <w:r>
        <w:rPr>
          <w:rStyle w:val="18"/>
          <w:rFonts w:cs="Times New Roman"/>
          <w:highlight w:val="none"/>
        </w:rPr>
        <w:t>（二）评价对象和范围</w:t>
      </w:r>
      <w:r>
        <w:rPr>
          <w:rFonts w:cs="Times New Roman"/>
          <w:highlight w:val="none"/>
        </w:rPr>
        <w:tab/>
      </w:r>
      <w:r>
        <w:rPr>
          <w:rFonts w:cs="Times New Roman"/>
          <w:highlight w:val="none"/>
        </w:rPr>
        <w:fldChar w:fldCharType="begin"/>
      </w:r>
      <w:r>
        <w:rPr>
          <w:rFonts w:cs="Times New Roman"/>
          <w:highlight w:val="none"/>
        </w:rPr>
        <w:instrText xml:space="preserve"> PAGEREF _Toc136264978 \h </w:instrText>
      </w:r>
      <w:r>
        <w:rPr>
          <w:rFonts w:cs="Times New Roman"/>
          <w:highlight w:val="none"/>
        </w:rPr>
        <w:fldChar w:fldCharType="separate"/>
      </w:r>
      <w:r>
        <w:rPr>
          <w:rFonts w:cs="Times New Roman"/>
          <w:highlight w:val="none"/>
        </w:rPr>
        <w:t>8</w:t>
      </w:r>
      <w:r>
        <w:rPr>
          <w:rFonts w:cs="Times New Roman"/>
          <w:highlight w:val="none"/>
        </w:rPr>
        <w:fldChar w:fldCharType="end"/>
      </w:r>
      <w:r>
        <w:rPr>
          <w:rFonts w:cs="Times New Roman"/>
          <w:highlight w:val="none"/>
        </w:rPr>
        <w:fldChar w:fldCharType="end"/>
      </w:r>
    </w:p>
    <w:p>
      <w:pPr>
        <w:pStyle w:val="15"/>
        <w:rPr>
          <w:rFonts w:cs="Times New Roman" w:eastAsiaTheme="minorEastAsia"/>
          <w:sz w:val="21"/>
          <w:highlight w:val="none"/>
        </w:rPr>
      </w:pPr>
      <w:r>
        <w:rPr>
          <w:highlight w:val="none"/>
        </w:rPr>
        <w:fldChar w:fldCharType="begin"/>
      </w:r>
      <w:r>
        <w:rPr>
          <w:highlight w:val="none"/>
        </w:rPr>
        <w:instrText xml:space="preserve"> HYPERLINK \l "_Toc136264979" </w:instrText>
      </w:r>
      <w:r>
        <w:rPr>
          <w:highlight w:val="none"/>
        </w:rPr>
        <w:fldChar w:fldCharType="separate"/>
      </w:r>
      <w:r>
        <w:rPr>
          <w:rStyle w:val="18"/>
          <w:rFonts w:cs="Times New Roman"/>
          <w:highlight w:val="none"/>
        </w:rPr>
        <w:t>（三）评价原则</w:t>
      </w:r>
      <w:r>
        <w:rPr>
          <w:rFonts w:cs="Times New Roman"/>
          <w:highlight w:val="none"/>
        </w:rPr>
        <w:tab/>
      </w:r>
      <w:r>
        <w:rPr>
          <w:rFonts w:cs="Times New Roman"/>
          <w:highlight w:val="none"/>
        </w:rPr>
        <w:fldChar w:fldCharType="begin"/>
      </w:r>
      <w:r>
        <w:rPr>
          <w:rFonts w:cs="Times New Roman"/>
          <w:highlight w:val="none"/>
        </w:rPr>
        <w:instrText xml:space="preserve"> PAGEREF _Toc136264979 \h </w:instrText>
      </w:r>
      <w:r>
        <w:rPr>
          <w:rFonts w:cs="Times New Roman"/>
          <w:highlight w:val="none"/>
        </w:rPr>
        <w:fldChar w:fldCharType="separate"/>
      </w:r>
      <w:r>
        <w:rPr>
          <w:rFonts w:cs="Times New Roman"/>
          <w:highlight w:val="none"/>
        </w:rPr>
        <w:t>8</w:t>
      </w:r>
      <w:r>
        <w:rPr>
          <w:rFonts w:cs="Times New Roman"/>
          <w:highlight w:val="none"/>
        </w:rPr>
        <w:fldChar w:fldCharType="end"/>
      </w:r>
      <w:r>
        <w:rPr>
          <w:rFonts w:cs="Times New Roman"/>
          <w:highlight w:val="none"/>
        </w:rPr>
        <w:fldChar w:fldCharType="end"/>
      </w:r>
    </w:p>
    <w:p>
      <w:pPr>
        <w:pStyle w:val="15"/>
        <w:rPr>
          <w:rFonts w:cs="Times New Roman" w:eastAsiaTheme="minorEastAsia"/>
          <w:sz w:val="21"/>
          <w:highlight w:val="none"/>
        </w:rPr>
      </w:pPr>
      <w:r>
        <w:rPr>
          <w:highlight w:val="none"/>
        </w:rPr>
        <w:fldChar w:fldCharType="begin"/>
      </w:r>
      <w:r>
        <w:rPr>
          <w:highlight w:val="none"/>
        </w:rPr>
        <w:instrText xml:space="preserve"> HYPERLINK \l "_Toc136264980" </w:instrText>
      </w:r>
      <w:r>
        <w:rPr>
          <w:highlight w:val="none"/>
        </w:rPr>
        <w:fldChar w:fldCharType="separate"/>
      </w:r>
      <w:r>
        <w:rPr>
          <w:rStyle w:val="18"/>
          <w:rFonts w:cs="Times New Roman"/>
          <w:highlight w:val="none"/>
        </w:rPr>
        <w:t>（四）评价指标体系</w:t>
      </w:r>
      <w:r>
        <w:rPr>
          <w:rFonts w:cs="Times New Roman"/>
          <w:highlight w:val="none"/>
        </w:rPr>
        <w:tab/>
      </w:r>
      <w:r>
        <w:rPr>
          <w:rFonts w:cs="Times New Roman"/>
          <w:highlight w:val="none"/>
        </w:rPr>
        <w:fldChar w:fldCharType="begin"/>
      </w:r>
      <w:r>
        <w:rPr>
          <w:rFonts w:cs="Times New Roman"/>
          <w:highlight w:val="none"/>
        </w:rPr>
        <w:instrText xml:space="preserve"> PAGEREF _Toc136264980 \h </w:instrText>
      </w:r>
      <w:r>
        <w:rPr>
          <w:rFonts w:cs="Times New Roman"/>
          <w:highlight w:val="none"/>
        </w:rPr>
        <w:fldChar w:fldCharType="separate"/>
      </w:r>
      <w:r>
        <w:rPr>
          <w:rFonts w:cs="Times New Roman"/>
          <w:highlight w:val="none"/>
        </w:rPr>
        <w:t>9</w:t>
      </w:r>
      <w:r>
        <w:rPr>
          <w:rFonts w:cs="Times New Roman"/>
          <w:highlight w:val="none"/>
        </w:rPr>
        <w:fldChar w:fldCharType="end"/>
      </w:r>
      <w:r>
        <w:rPr>
          <w:rFonts w:cs="Times New Roman"/>
          <w:highlight w:val="none"/>
        </w:rPr>
        <w:fldChar w:fldCharType="end"/>
      </w:r>
    </w:p>
    <w:p>
      <w:pPr>
        <w:pStyle w:val="15"/>
        <w:rPr>
          <w:rFonts w:cs="Times New Roman" w:eastAsiaTheme="minorEastAsia"/>
          <w:sz w:val="21"/>
          <w:highlight w:val="none"/>
        </w:rPr>
      </w:pPr>
      <w:r>
        <w:rPr>
          <w:highlight w:val="none"/>
        </w:rPr>
        <w:fldChar w:fldCharType="begin"/>
      </w:r>
      <w:r>
        <w:rPr>
          <w:highlight w:val="none"/>
        </w:rPr>
        <w:instrText xml:space="preserve"> HYPERLINK \l "_Toc136264981" </w:instrText>
      </w:r>
      <w:r>
        <w:rPr>
          <w:highlight w:val="none"/>
        </w:rPr>
        <w:fldChar w:fldCharType="separate"/>
      </w:r>
      <w:r>
        <w:rPr>
          <w:rStyle w:val="18"/>
          <w:rFonts w:cs="Times New Roman"/>
          <w:highlight w:val="none"/>
        </w:rPr>
        <w:t>（五）评价方法</w:t>
      </w:r>
      <w:r>
        <w:rPr>
          <w:rFonts w:cs="Times New Roman"/>
          <w:highlight w:val="none"/>
        </w:rPr>
        <w:tab/>
      </w:r>
      <w:r>
        <w:rPr>
          <w:rFonts w:cs="Times New Roman"/>
          <w:highlight w:val="none"/>
        </w:rPr>
        <w:fldChar w:fldCharType="begin"/>
      </w:r>
      <w:r>
        <w:rPr>
          <w:rFonts w:cs="Times New Roman"/>
          <w:highlight w:val="none"/>
        </w:rPr>
        <w:instrText xml:space="preserve"> PAGEREF _Toc136264981 \h </w:instrText>
      </w:r>
      <w:r>
        <w:rPr>
          <w:rFonts w:cs="Times New Roman"/>
          <w:highlight w:val="none"/>
        </w:rPr>
        <w:fldChar w:fldCharType="separate"/>
      </w:r>
      <w:r>
        <w:rPr>
          <w:rFonts w:cs="Times New Roman"/>
          <w:highlight w:val="none"/>
        </w:rPr>
        <w:t>10</w:t>
      </w:r>
      <w:r>
        <w:rPr>
          <w:rFonts w:cs="Times New Roman"/>
          <w:highlight w:val="none"/>
        </w:rPr>
        <w:fldChar w:fldCharType="end"/>
      </w:r>
      <w:r>
        <w:rPr>
          <w:rFonts w:cs="Times New Roman"/>
          <w:highlight w:val="none"/>
        </w:rPr>
        <w:fldChar w:fldCharType="end"/>
      </w:r>
    </w:p>
    <w:p>
      <w:pPr>
        <w:pStyle w:val="15"/>
        <w:rPr>
          <w:rFonts w:cs="Times New Roman" w:eastAsiaTheme="minorEastAsia"/>
          <w:sz w:val="21"/>
          <w:highlight w:val="none"/>
        </w:rPr>
      </w:pPr>
      <w:r>
        <w:rPr>
          <w:highlight w:val="none"/>
        </w:rPr>
        <w:fldChar w:fldCharType="begin"/>
      </w:r>
      <w:r>
        <w:rPr>
          <w:highlight w:val="none"/>
        </w:rPr>
        <w:instrText xml:space="preserve"> HYPERLINK \l "_Toc136264982" </w:instrText>
      </w:r>
      <w:r>
        <w:rPr>
          <w:highlight w:val="none"/>
        </w:rPr>
        <w:fldChar w:fldCharType="separate"/>
      </w:r>
      <w:r>
        <w:rPr>
          <w:rStyle w:val="18"/>
          <w:rFonts w:cs="Times New Roman"/>
          <w:highlight w:val="none"/>
        </w:rPr>
        <w:t>（六）评价标准</w:t>
      </w:r>
      <w:r>
        <w:rPr>
          <w:rFonts w:cs="Times New Roman"/>
          <w:highlight w:val="none"/>
        </w:rPr>
        <w:tab/>
      </w:r>
      <w:r>
        <w:rPr>
          <w:rFonts w:cs="Times New Roman"/>
          <w:highlight w:val="none"/>
        </w:rPr>
        <w:fldChar w:fldCharType="begin"/>
      </w:r>
      <w:r>
        <w:rPr>
          <w:rFonts w:cs="Times New Roman"/>
          <w:highlight w:val="none"/>
        </w:rPr>
        <w:instrText xml:space="preserve"> PAGEREF _Toc136264982 \h </w:instrText>
      </w:r>
      <w:r>
        <w:rPr>
          <w:rFonts w:cs="Times New Roman"/>
          <w:highlight w:val="none"/>
        </w:rPr>
        <w:fldChar w:fldCharType="separate"/>
      </w:r>
      <w:r>
        <w:rPr>
          <w:rFonts w:cs="Times New Roman"/>
          <w:highlight w:val="none"/>
        </w:rPr>
        <w:t>10</w:t>
      </w:r>
      <w:r>
        <w:rPr>
          <w:rFonts w:cs="Times New Roman"/>
          <w:highlight w:val="none"/>
        </w:rPr>
        <w:fldChar w:fldCharType="end"/>
      </w:r>
      <w:r>
        <w:rPr>
          <w:rFonts w:cs="Times New Roman"/>
          <w:highlight w:val="none"/>
        </w:rPr>
        <w:fldChar w:fldCharType="end"/>
      </w:r>
    </w:p>
    <w:p>
      <w:pPr>
        <w:pStyle w:val="15"/>
        <w:rPr>
          <w:rFonts w:cs="Times New Roman" w:eastAsiaTheme="minorEastAsia"/>
          <w:sz w:val="21"/>
          <w:highlight w:val="none"/>
        </w:rPr>
      </w:pPr>
      <w:r>
        <w:rPr>
          <w:highlight w:val="none"/>
        </w:rPr>
        <w:fldChar w:fldCharType="begin"/>
      </w:r>
      <w:r>
        <w:rPr>
          <w:highlight w:val="none"/>
        </w:rPr>
        <w:instrText xml:space="preserve"> HYPERLINK \l "_Toc136264983" </w:instrText>
      </w:r>
      <w:r>
        <w:rPr>
          <w:highlight w:val="none"/>
        </w:rPr>
        <w:fldChar w:fldCharType="separate"/>
      </w:r>
      <w:r>
        <w:rPr>
          <w:rStyle w:val="18"/>
          <w:rFonts w:cs="Times New Roman"/>
          <w:highlight w:val="none"/>
        </w:rPr>
        <w:t>（七）绩效评价工作过程</w:t>
      </w:r>
      <w:r>
        <w:rPr>
          <w:rFonts w:cs="Times New Roman"/>
          <w:highlight w:val="none"/>
        </w:rPr>
        <w:tab/>
      </w:r>
      <w:r>
        <w:rPr>
          <w:rFonts w:cs="Times New Roman"/>
          <w:highlight w:val="none"/>
        </w:rPr>
        <w:fldChar w:fldCharType="begin"/>
      </w:r>
      <w:r>
        <w:rPr>
          <w:rFonts w:cs="Times New Roman"/>
          <w:highlight w:val="none"/>
        </w:rPr>
        <w:instrText xml:space="preserve"> PAGEREF _Toc136264983 \h </w:instrText>
      </w:r>
      <w:r>
        <w:rPr>
          <w:rFonts w:cs="Times New Roman"/>
          <w:highlight w:val="none"/>
        </w:rPr>
        <w:fldChar w:fldCharType="separate"/>
      </w:r>
      <w:r>
        <w:rPr>
          <w:rFonts w:cs="Times New Roman"/>
          <w:highlight w:val="none"/>
        </w:rPr>
        <w:t>10</w:t>
      </w:r>
      <w:r>
        <w:rPr>
          <w:rFonts w:cs="Times New Roman"/>
          <w:highlight w:val="none"/>
        </w:rPr>
        <w:fldChar w:fldCharType="end"/>
      </w:r>
      <w:r>
        <w:rPr>
          <w:rFonts w:cs="Times New Roman"/>
          <w:highlight w:val="none"/>
        </w:rPr>
        <w:fldChar w:fldCharType="end"/>
      </w:r>
    </w:p>
    <w:p>
      <w:pPr>
        <w:pStyle w:val="13"/>
        <w:rPr>
          <w:rFonts w:ascii="Times New Roman" w:cs="Times New Roman" w:eastAsiaTheme="minorEastAsia"/>
          <w:b w:val="0"/>
          <w:bCs w:val="0"/>
          <w:sz w:val="21"/>
          <w:highlight w:val="none"/>
        </w:rPr>
      </w:pPr>
      <w:r>
        <w:rPr>
          <w:highlight w:val="none"/>
        </w:rPr>
        <w:fldChar w:fldCharType="begin"/>
      </w:r>
      <w:r>
        <w:rPr>
          <w:highlight w:val="none"/>
        </w:rPr>
        <w:instrText xml:space="preserve"> HYPERLINK \l "_Toc136264984" </w:instrText>
      </w:r>
      <w:r>
        <w:rPr>
          <w:highlight w:val="none"/>
        </w:rPr>
        <w:fldChar w:fldCharType="separate"/>
      </w:r>
      <w:r>
        <w:rPr>
          <w:rStyle w:val="18"/>
          <w:rFonts w:ascii="Times New Roman" w:cs="Times New Roman"/>
          <w:highlight w:val="none"/>
        </w:rPr>
        <w:t>三、综合评价情况及评价结论</w:t>
      </w:r>
      <w:r>
        <w:rPr>
          <w:rFonts w:ascii="Times New Roman" w:cs="Times New Roman"/>
          <w:highlight w:val="none"/>
        </w:rPr>
        <w:tab/>
      </w:r>
      <w:r>
        <w:rPr>
          <w:rFonts w:ascii="Times New Roman" w:cs="Times New Roman"/>
          <w:highlight w:val="none"/>
        </w:rPr>
        <w:fldChar w:fldCharType="begin"/>
      </w:r>
      <w:r>
        <w:rPr>
          <w:rFonts w:ascii="Times New Roman" w:cs="Times New Roman"/>
          <w:highlight w:val="none"/>
        </w:rPr>
        <w:instrText xml:space="preserve"> PAGEREF _Toc136264984 \h </w:instrText>
      </w:r>
      <w:r>
        <w:rPr>
          <w:rFonts w:ascii="Times New Roman" w:cs="Times New Roman"/>
          <w:highlight w:val="none"/>
        </w:rPr>
        <w:fldChar w:fldCharType="separate"/>
      </w:r>
      <w:r>
        <w:rPr>
          <w:rFonts w:ascii="Times New Roman" w:cs="Times New Roman"/>
          <w:highlight w:val="none"/>
        </w:rPr>
        <w:t>11</w:t>
      </w:r>
      <w:r>
        <w:rPr>
          <w:rFonts w:ascii="Times New Roman" w:cs="Times New Roman"/>
          <w:highlight w:val="none"/>
        </w:rPr>
        <w:fldChar w:fldCharType="end"/>
      </w:r>
      <w:r>
        <w:rPr>
          <w:rFonts w:ascii="Times New Roman" w:cs="Times New Roman"/>
          <w:highlight w:val="none"/>
        </w:rPr>
        <w:fldChar w:fldCharType="end"/>
      </w:r>
    </w:p>
    <w:p>
      <w:pPr>
        <w:pStyle w:val="15"/>
        <w:rPr>
          <w:rFonts w:cs="Times New Roman" w:eastAsiaTheme="minorEastAsia"/>
          <w:sz w:val="21"/>
          <w:highlight w:val="none"/>
        </w:rPr>
      </w:pPr>
      <w:r>
        <w:rPr>
          <w:highlight w:val="none"/>
        </w:rPr>
        <w:fldChar w:fldCharType="begin"/>
      </w:r>
      <w:r>
        <w:rPr>
          <w:highlight w:val="none"/>
        </w:rPr>
        <w:instrText xml:space="preserve"> HYPERLINK \l "_Toc136264985" </w:instrText>
      </w:r>
      <w:r>
        <w:rPr>
          <w:highlight w:val="none"/>
        </w:rPr>
        <w:fldChar w:fldCharType="separate"/>
      </w:r>
      <w:r>
        <w:rPr>
          <w:rStyle w:val="18"/>
          <w:rFonts w:cs="Times New Roman"/>
          <w:highlight w:val="none"/>
        </w:rPr>
        <w:t>（一）综合评价情况</w:t>
      </w:r>
      <w:r>
        <w:rPr>
          <w:rFonts w:cs="Times New Roman"/>
          <w:highlight w:val="none"/>
        </w:rPr>
        <w:tab/>
      </w:r>
      <w:r>
        <w:rPr>
          <w:rFonts w:cs="Times New Roman"/>
          <w:highlight w:val="none"/>
        </w:rPr>
        <w:fldChar w:fldCharType="begin"/>
      </w:r>
      <w:r>
        <w:rPr>
          <w:rFonts w:cs="Times New Roman"/>
          <w:highlight w:val="none"/>
        </w:rPr>
        <w:instrText xml:space="preserve"> PAGEREF _Toc136264985 \h </w:instrText>
      </w:r>
      <w:r>
        <w:rPr>
          <w:rFonts w:cs="Times New Roman"/>
          <w:highlight w:val="none"/>
        </w:rPr>
        <w:fldChar w:fldCharType="separate"/>
      </w:r>
      <w:r>
        <w:rPr>
          <w:rFonts w:cs="Times New Roman"/>
          <w:highlight w:val="none"/>
        </w:rPr>
        <w:t>11</w:t>
      </w:r>
      <w:r>
        <w:rPr>
          <w:rFonts w:cs="Times New Roman"/>
          <w:highlight w:val="none"/>
        </w:rPr>
        <w:fldChar w:fldCharType="end"/>
      </w:r>
      <w:r>
        <w:rPr>
          <w:rFonts w:cs="Times New Roman"/>
          <w:highlight w:val="none"/>
        </w:rPr>
        <w:fldChar w:fldCharType="end"/>
      </w:r>
    </w:p>
    <w:p>
      <w:pPr>
        <w:pStyle w:val="15"/>
        <w:rPr>
          <w:rFonts w:cs="Times New Roman" w:eastAsiaTheme="minorEastAsia"/>
          <w:sz w:val="21"/>
          <w:highlight w:val="none"/>
        </w:rPr>
      </w:pPr>
      <w:r>
        <w:rPr>
          <w:highlight w:val="none"/>
        </w:rPr>
        <w:fldChar w:fldCharType="begin"/>
      </w:r>
      <w:r>
        <w:rPr>
          <w:highlight w:val="none"/>
        </w:rPr>
        <w:instrText xml:space="preserve"> HYPERLINK \l "_Toc136264986" </w:instrText>
      </w:r>
      <w:r>
        <w:rPr>
          <w:highlight w:val="none"/>
        </w:rPr>
        <w:fldChar w:fldCharType="separate"/>
      </w:r>
      <w:r>
        <w:rPr>
          <w:rStyle w:val="18"/>
          <w:rFonts w:cs="Times New Roman"/>
          <w:highlight w:val="none"/>
        </w:rPr>
        <w:t>（二）综合评价结论</w:t>
      </w:r>
      <w:r>
        <w:rPr>
          <w:rFonts w:cs="Times New Roman"/>
          <w:highlight w:val="none"/>
        </w:rPr>
        <w:tab/>
      </w:r>
      <w:r>
        <w:rPr>
          <w:rFonts w:cs="Times New Roman"/>
          <w:highlight w:val="none"/>
        </w:rPr>
        <w:fldChar w:fldCharType="begin"/>
      </w:r>
      <w:r>
        <w:rPr>
          <w:rFonts w:cs="Times New Roman"/>
          <w:highlight w:val="none"/>
        </w:rPr>
        <w:instrText xml:space="preserve"> PAGEREF _Toc136264986 \h </w:instrText>
      </w:r>
      <w:r>
        <w:rPr>
          <w:rFonts w:cs="Times New Roman"/>
          <w:highlight w:val="none"/>
        </w:rPr>
        <w:fldChar w:fldCharType="separate"/>
      </w:r>
      <w:r>
        <w:rPr>
          <w:rFonts w:cs="Times New Roman"/>
          <w:highlight w:val="none"/>
        </w:rPr>
        <w:t>12</w:t>
      </w:r>
      <w:r>
        <w:rPr>
          <w:rFonts w:cs="Times New Roman"/>
          <w:highlight w:val="none"/>
        </w:rPr>
        <w:fldChar w:fldCharType="end"/>
      </w:r>
      <w:r>
        <w:rPr>
          <w:rFonts w:cs="Times New Roman"/>
          <w:highlight w:val="none"/>
        </w:rPr>
        <w:fldChar w:fldCharType="end"/>
      </w:r>
    </w:p>
    <w:p>
      <w:pPr>
        <w:pStyle w:val="13"/>
        <w:rPr>
          <w:rFonts w:ascii="Times New Roman" w:cs="Times New Roman" w:eastAsiaTheme="minorEastAsia"/>
          <w:b w:val="0"/>
          <w:bCs w:val="0"/>
          <w:sz w:val="21"/>
          <w:highlight w:val="none"/>
        </w:rPr>
      </w:pPr>
      <w:r>
        <w:rPr>
          <w:highlight w:val="none"/>
        </w:rPr>
        <w:fldChar w:fldCharType="begin"/>
      </w:r>
      <w:r>
        <w:rPr>
          <w:highlight w:val="none"/>
        </w:rPr>
        <w:instrText xml:space="preserve"> HYPERLINK \l "_Toc136264987" </w:instrText>
      </w:r>
      <w:r>
        <w:rPr>
          <w:highlight w:val="none"/>
        </w:rPr>
        <w:fldChar w:fldCharType="separate"/>
      </w:r>
      <w:r>
        <w:rPr>
          <w:rStyle w:val="18"/>
          <w:rFonts w:ascii="Times New Roman" w:cs="Times New Roman"/>
          <w:highlight w:val="none"/>
        </w:rPr>
        <w:t>四、绩效评价指标分析</w:t>
      </w:r>
      <w:r>
        <w:rPr>
          <w:rFonts w:ascii="Times New Roman" w:cs="Times New Roman"/>
          <w:highlight w:val="none"/>
        </w:rPr>
        <w:tab/>
      </w:r>
      <w:r>
        <w:rPr>
          <w:rFonts w:ascii="Times New Roman" w:cs="Times New Roman"/>
          <w:highlight w:val="none"/>
        </w:rPr>
        <w:fldChar w:fldCharType="begin"/>
      </w:r>
      <w:r>
        <w:rPr>
          <w:rFonts w:ascii="Times New Roman" w:cs="Times New Roman"/>
          <w:highlight w:val="none"/>
        </w:rPr>
        <w:instrText xml:space="preserve"> PAGEREF _Toc136264987 \h </w:instrText>
      </w:r>
      <w:r>
        <w:rPr>
          <w:rFonts w:ascii="Times New Roman" w:cs="Times New Roman"/>
          <w:highlight w:val="none"/>
        </w:rPr>
        <w:fldChar w:fldCharType="separate"/>
      </w:r>
      <w:r>
        <w:rPr>
          <w:rFonts w:ascii="Times New Roman" w:cs="Times New Roman"/>
          <w:highlight w:val="none"/>
        </w:rPr>
        <w:t>13</w:t>
      </w:r>
      <w:r>
        <w:rPr>
          <w:rFonts w:ascii="Times New Roman" w:cs="Times New Roman"/>
          <w:highlight w:val="none"/>
        </w:rPr>
        <w:fldChar w:fldCharType="end"/>
      </w:r>
      <w:r>
        <w:rPr>
          <w:rFonts w:ascii="Times New Roman" w:cs="Times New Roman"/>
          <w:highlight w:val="none"/>
        </w:rPr>
        <w:fldChar w:fldCharType="end"/>
      </w:r>
    </w:p>
    <w:p>
      <w:pPr>
        <w:pStyle w:val="15"/>
        <w:rPr>
          <w:rFonts w:cs="Times New Roman" w:eastAsiaTheme="minorEastAsia"/>
          <w:sz w:val="21"/>
          <w:highlight w:val="none"/>
        </w:rPr>
      </w:pPr>
      <w:r>
        <w:rPr>
          <w:highlight w:val="none"/>
        </w:rPr>
        <w:fldChar w:fldCharType="begin"/>
      </w:r>
      <w:r>
        <w:rPr>
          <w:highlight w:val="none"/>
        </w:rPr>
        <w:instrText xml:space="preserve"> HYPERLINK \l "_Toc136264988" </w:instrText>
      </w:r>
      <w:r>
        <w:rPr>
          <w:highlight w:val="none"/>
        </w:rPr>
        <w:fldChar w:fldCharType="separate"/>
      </w:r>
      <w:r>
        <w:rPr>
          <w:rStyle w:val="18"/>
          <w:rFonts w:cs="Times New Roman"/>
          <w:highlight w:val="none"/>
        </w:rPr>
        <w:t>（一）项目决策情况</w:t>
      </w:r>
      <w:r>
        <w:rPr>
          <w:rFonts w:cs="Times New Roman"/>
          <w:highlight w:val="none"/>
        </w:rPr>
        <w:tab/>
      </w:r>
      <w:r>
        <w:rPr>
          <w:rFonts w:cs="Times New Roman"/>
          <w:highlight w:val="none"/>
        </w:rPr>
        <w:fldChar w:fldCharType="begin"/>
      </w:r>
      <w:r>
        <w:rPr>
          <w:rFonts w:cs="Times New Roman"/>
          <w:highlight w:val="none"/>
        </w:rPr>
        <w:instrText xml:space="preserve"> PAGEREF _Toc136264988 \h </w:instrText>
      </w:r>
      <w:r>
        <w:rPr>
          <w:rFonts w:cs="Times New Roman"/>
          <w:highlight w:val="none"/>
        </w:rPr>
        <w:fldChar w:fldCharType="separate"/>
      </w:r>
      <w:r>
        <w:rPr>
          <w:rFonts w:cs="Times New Roman"/>
          <w:highlight w:val="none"/>
        </w:rPr>
        <w:t>13</w:t>
      </w:r>
      <w:r>
        <w:rPr>
          <w:rFonts w:cs="Times New Roman"/>
          <w:highlight w:val="none"/>
        </w:rPr>
        <w:fldChar w:fldCharType="end"/>
      </w:r>
      <w:r>
        <w:rPr>
          <w:rFonts w:cs="Times New Roman"/>
          <w:highlight w:val="none"/>
        </w:rPr>
        <w:fldChar w:fldCharType="end"/>
      </w:r>
    </w:p>
    <w:p>
      <w:pPr>
        <w:pStyle w:val="15"/>
        <w:rPr>
          <w:rFonts w:cs="Times New Roman" w:eastAsiaTheme="minorEastAsia"/>
          <w:sz w:val="21"/>
          <w:highlight w:val="none"/>
        </w:rPr>
      </w:pPr>
      <w:r>
        <w:rPr>
          <w:highlight w:val="none"/>
        </w:rPr>
        <w:fldChar w:fldCharType="begin"/>
      </w:r>
      <w:r>
        <w:rPr>
          <w:highlight w:val="none"/>
        </w:rPr>
        <w:instrText xml:space="preserve"> HYPERLINK \l "_Toc136264989" </w:instrText>
      </w:r>
      <w:r>
        <w:rPr>
          <w:highlight w:val="none"/>
        </w:rPr>
        <w:fldChar w:fldCharType="separate"/>
      </w:r>
      <w:r>
        <w:rPr>
          <w:rStyle w:val="18"/>
          <w:rFonts w:cs="Times New Roman"/>
          <w:highlight w:val="none"/>
        </w:rPr>
        <w:t>（二）项目过程情况</w:t>
      </w:r>
      <w:r>
        <w:rPr>
          <w:rFonts w:cs="Times New Roman"/>
          <w:highlight w:val="none"/>
        </w:rPr>
        <w:tab/>
      </w:r>
      <w:r>
        <w:rPr>
          <w:rFonts w:cs="Times New Roman"/>
          <w:highlight w:val="none"/>
        </w:rPr>
        <w:fldChar w:fldCharType="begin"/>
      </w:r>
      <w:r>
        <w:rPr>
          <w:rFonts w:cs="Times New Roman"/>
          <w:highlight w:val="none"/>
        </w:rPr>
        <w:instrText xml:space="preserve"> PAGEREF _Toc136264989 \h </w:instrText>
      </w:r>
      <w:r>
        <w:rPr>
          <w:rFonts w:cs="Times New Roman"/>
          <w:highlight w:val="none"/>
        </w:rPr>
        <w:fldChar w:fldCharType="separate"/>
      </w:r>
      <w:r>
        <w:rPr>
          <w:rFonts w:cs="Times New Roman"/>
          <w:highlight w:val="none"/>
        </w:rPr>
        <w:t>16</w:t>
      </w:r>
      <w:r>
        <w:rPr>
          <w:rFonts w:cs="Times New Roman"/>
          <w:highlight w:val="none"/>
        </w:rPr>
        <w:fldChar w:fldCharType="end"/>
      </w:r>
      <w:r>
        <w:rPr>
          <w:rFonts w:cs="Times New Roman"/>
          <w:highlight w:val="none"/>
        </w:rPr>
        <w:fldChar w:fldCharType="end"/>
      </w:r>
    </w:p>
    <w:p>
      <w:pPr>
        <w:pStyle w:val="15"/>
        <w:rPr>
          <w:rFonts w:cs="Times New Roman" w:eastAsiaTheme="minorEastAsia"/>
          <w:sz w:val="21"/>
          <w:highlight w:val="none"/>
        </w:rPr>
      </w:pPr>
      <w:r>
        <w:rPr>
          <w:highlight w:val="none"/>
        </w:rPr>
        <w:fldChar w:fldCharType="begin"/>
      </w:r>
      <w:r>
        <w:rPr>
          <w:highlight w:val="none"/>
        </w:rPr>
        <w:instrText xml:space="preserve"> HYPERLINK \l "_Toc136264990" </w:instrText>
      </w:r>
      <w:r>
        <w:rPr>
          <w:highlight w:val="none"/>
        </w:rPr>
        <w:fldChar w:fldCharType="separate"/>
      </w:r>
      <w:r>
        <w:rPr>
          <w:rStyle w:val="18"/>
          <w:rFonts w:cs="Times New Roman"/>
          <w:highlight w:val="none"/>
        </w:rPr>
        <w:t>（三）项目产出情况</w:t>
      </w:r>
      <w:r>
        <w:rPr>
          <w:rFonts w:cs="Times New Roman"/>
          <w:highlight w:val="none"/>
        </w:rPr>
        <w:tab/>
      </w:r>
      <w:r>
        <w:rPr>
          <w:rFonts w:cs="Times New Roman"/>
          <w:highlight w:val="none"/>
        </w:rPr>
        <w:fldChar w:fldCharType="begin"/>
      </w:r>
      <w:r>
        <w:rPr>
          <w:rFonts w:cs="Times New Roman"/>
          <w:highlight w:val="none"/>
        </w:rPr>
        <w:instrText xml:space="preserve"> PAGEREF _Toc136264990 \h </w:instrText>
      </w:r>
      <w:r>
        <w:rPr>
          <w:rFonts w:cs="Times New Roman"/>
          <w:highlight w:val="none"/>
        </w:rPr>
        <w:fldChar w:fldCharType="separate"/>
      </w:r>
      <w:r>
        <w:rPr>
          <w:rFonts w:cs="Times New Roman"/>
          <w:highlight w:val="none"/>
        </w:rPr>
        <w:t>17</w:t>
      </w:r>
      <w:r>
        <w:rPr>
          <w:rFonts w:cs="Times New Roman"/>
          <w:highlight w:val="none"/>
        </w:rPr>
        <w:fldChar w:fldCharType="end"/>
      </w:r>
      <w:r>
        <w:rPr>
          <w:rFonts w:cs="Times New Roman"/>
          <w:highlight w:val="none"/>
        </w:rPr>
        <w:fldChar w:fldCharType="end"/>
      </w:r>
    </w:p>
    <w:p>
      <w:pPr>
        <w:pStyle w:val="15"/>
        <w:rPr>
          <w:rFonts w:cs="Times New Roman" w:eastAsiaTheme="minorEastAsia"/>
          <w:sz w:val="21"/>
          <w:highlight w:val="none"/>
        </w:rPr>
      </w:pPr>
      <w:r>
        <w:rPr>
          <w:highlight w:val="none"/>
        </w:rPr>
        <w:fldChar w:fldCharType="begin"/>
      </w:r>
      <w:r>
        <w:rPr>
          <w:highlight w:val="none"/>
        </w:rPr>
        <w:instrText xml:space="preserve"> HYPERLINK \l "_Toc136264991" </w:instrText>
      </w:r>
      <w:r>
        <w:rPr>
          <w:highlight w:val="none"/>
        </w:rPr>
        <w:fldChar w:fldCharType="separate"/>
      </w:r>
      <w:r>
        <w:rPr>
          <w:rStyle w:val="18"/>
          <w:rFonts w:cs="Times New Roman"/>
          <w:highlight w:val="none"/>
        </w:rPr>
        <w:t>（四）项目效益情况</w:t>
      </w:r>
      <w:r>
        <w:rPr>
          <w:rFonts w:cs="Times New Roman"/>
          <w:highlight w:val="none"/>
        </w:rPr>
        <w:tab/>
      </w:r>
      <w:r>
        <w:rPr>
          <w:rFonts w:cs="Times New Roman"/>
          <w:highlight w:val="none"/>
        </w:rPr>
        <w:fldChar w:fldCharType="begin"/>
      </w:r>
      <w:r>
        <w:rPr>
          <w:rFonts w:cs="Times New Roman"/>
          <w:highlight w:val="none"/>
        </w:rPr>
        <w:instrText xml:space="preserve"> PAGEREF _Toc136264991 \h </w:instrText>
      </w:r>
      <w:r>
        <w:rPr>
          <w:rFonts w:cs="Times New Roman"/>
          <w:highlight w:val="none"/>
        </w:rPr>
        <w:fldChar w:fldCharType="separate"/>
      </w:r>
      <w:r>
        <w:rPr>
          <w:rFonts w:cs="Times New Roman"/>
          <w:highlight w:val="none"/>
        </w:rPr>
        <w:t>18</w:t>
      </w:r>
      <w:r>
        <w:rPr>
          <w:rFonts w:cs="Times New Roman"/>
          <w:highlight w:val="none"/>
        </w:rPr>
        <w:fldChar w:fldCharType="end"/>
      </w:r>
      <w:r>
        <w:rPr>
          <w:rFonts w:cs="Times New Roman"/>
          <w:highlight w:val="none"/>
        </w:rPr>
        <w:fldChar w:fldCharType="end"/>
      </w:r>
    </w:p>
    <w:p>
      <w:pPr>
        <w:pStyle w:val="13"/>
        <w:rPr>
          <w:rFonts w:ascii="Times New Roman" w:cs="Times New Roman" w:eastAsiaTheme="minorEastAsia"/>
          <w:b w:val="0"/>
          <w:bCs w:val="0"/>
          <w:sz w:val="21"/>
          <w:highlight w:val="none"/>
        </w:rPr>
      </w:pPr>
      <w:r>
        <w:rPr>
          <w:highlight w:val="none"/>
        </w:rPr>
        <w:fldChar w:fldCharType="begin"/>
      </w:r>
      <w:r>
        <w:rPr>
          <w:highlight w:val="none"/>
        </w:rPr>
        <w:instrText xml:space="preserve"> HYPERLINK \l "_Toc136264992" </w:instrText>
      </w:r>
      <w:r>
        <w:rPr>
          <w:highlight w:val="none"/>
        </w:rPr>
        <w:fldChar w:fldCharType="separate"/>
      </w:r>
      <w:r>
        <w:rPr>
          <w:rStyle w:val="18"/>
          <w:rFonts w:ascii="Times New Roman" w:cs="Times New Roman"/>
          <w:highlight w:val="none"/>
        </w:rPr>
        <w:t>五、主要经验及做法、存在的问题</w:t>
      </w:r>
      <w:r>
        <w:rPr>
          <w:rFonts w:ascii="Times New Roman" w:cs="Times New Roman"/>
          <w:highlight w:val="none"/>
        </w:rPr>
        <w:tab/>
      </w:r>
      <w:r>
        <w:rPr>
          <w:rFonts w:ascii="Times New Roman" w:cs="Times New Roman"/>
          <w:highlight w:val="none"/>
        </w:rPr>
        <w:fldChar w:fldCharType="begin"/>
      </w:r>
      <w:r>
        <w:rPr>
          <w:rFonts w:ascii="Times New Roman" w:cs="Times New Roman"/>
          <w:highlight w:val="none"/>
        </w:rPr>
        <w:instrText xml:space="preserve"> PAGEREF _Toc136264992 \h </w:instrText>
      </w:r>
      <w:r>
        <w:rPr>
          <w:rFonts w:ascii="Times New Roman" w:cs="Times New Roman"/>
          <w:highlight w:val="none"/>
        </w:rPr>
        <w:fldChar w:fldCharType="separate"/>
      </w:r>
      <w:r>
        <w:rPr>
          <w:rFonts w:ascii="Times New Roman" w:cs="Times New Roman"/>
          <w:highlight w:val="none"/>
        </w:rPr>
        <w:t>20</w:t>
      </w:r>
      <w:r>
        <w:rPr>
          <w:rFonts w:ascii="Times New Roman" w:cs="Times New Roman"/>
          <w:highlight w:val="none"/>
        </w:rPr>
        <w:fldChar w:fldCharType="end"/>
      </w:r>
      <w:r>
        <w:rPr>
          <w:rFonts w:ascii="Times New Roman" w:cs="Times New Roman"/>
          <w:highlight w:val="none"/>
        </w:rPr>
        <w:fldChar w:fldCharType="end"/>
      </w:r>
    </w:p>
    <w:p>
      <w:pPr>
        <w:pStyle w:val="15"/>
        <w:rPr>
          <w:rFonts w:cs="Times New Roman" w:eastAsiaTheme="minorEastAsia"/>
          <w:sz w:val="21"/>
          <w:highlight w:val="none"/>
        </w:rPr>
      </w:pPr>
      <w:r>
        <w:rPr>
          <w:highlight w:val="none"/>
        </w:rPr>
        <w:fldChar w:fldCharType="begin"/>
      </w:r>
      <w:r>
        <w:rPr>
          <w:highlight w:val="none"/>
        </w:rPr>
        <w:instrText xml:space="preserve"> HYPERLINK \l "_Toc136264993" </w:instrText>
      </w:r>
      <w:r>
        <w:rPr>
          <w:highlight w:val="none"/>
        </w:rPr>
        <w:fldChar w:fldCharType="separate"/>
      </w:r>
      <w:r>
        <w:rPr>
          <w:rStyle w:val="18"/>
          <w:rFonts w:cs="Times New Roman"/>
          <w:highlight w:val="none"/>
        </w:rPr>
        <w:t>（一）经验做法</w:t>
      </w:r>
      <w:r>
        <w:rPr>
          <w:rFonts w:cs="Times New Roman"/>
          <w:highlight w:val="none"/>
        </w:rPr>
        <w:tab/>
      </w:r>
      <w:r>
        <w:rPr>
          <w:rFonts w:cs="Times New Roman"/>
          <w:highlight w:val="none"/>
        </w:rPr>
        <w:fldChar w:fldCharType="begin"/>
      </w:r>
      <w:r>
        <w:rPr>
          <w:rFonts w:cs="Times New Roman"/>
          <w:highlight w:val="none"/>
        </w:rPr>
        <w:instrText xml:space="preserve"> PAGEREF _Toc136264993 \h </w:instrText>
      </w:r>
      <w:r>
        <w:rPr>
          <w:rFonts w:cs="Times New Roman"/>
          <w:highlight w:val="none"/>
        </w:rPr>
        <w:fldChar w:fldCharType="separate"/>
      </w:r>
      <w:r>
        <w:rPr>
          <w:rFonts w:cs="Times New Roman"/>
          <w:highlight w:val="none"/>
        </w:rPr>
        <w:t>20</w:t>
      </w:r>
      <w:r>
        <w:rPr>
          <w:rFonts w:cs="Times New Roman"/>
          <w:highlight w:val="none"/>
        </w:rPr>
        <w:fldChar w:fldCharType="end"/>
      </w:r>
      <w:r>
        <w:rPr>
          <w:rFonts w:cs="Times New Roman"/>
          <w:highlight w:val="none"/>
        </w:rPr>
        <w:fldChar w:fldCharType="end"/>
      </w:r>
    </w:p>
    <w:p>
      <w:pPr>
        <w:pStyle w:val="15"/>
        <w:rPr>
          <w:rFonts w:cs="Times New Roman" w:eastAsiaTheme="minorEastAsia"/>
          <w:sz w:val="21"/>
          <w:highlight w:val="none"/>
        </w:rPr>
      </w:pPr>
      <w:r>
        <w:rPr>
          <w:highlight w:val="none"/>
        </w:rPr>
        <w:fldChar w:fldCharType="begin"/>
      </w:r>
      <w:r>
        <w:rPr>
          <w:highlight w:val="none"/>
        </w:rPr>
        <w:instrText xml:space="preserve"> HYPERLINK \l "_Toc136264994" </w:instrText>
      </w:r>
      <w:r>
        <w:rPr>
          <w:highlight w:val="none"/>
        </w:rPr>
        <w:fldChar w:fldCharType="separate"/>
      </w:r>
      <w:r>
        <w:rPr>
          <w:rStyle w:val="18"/>
          <w:rFonts w:cs="Times New Roman"/>
          <w:highlight w:val="none"/>
        </w:rPr>
        <w:t>（二）存在的问题</w:t>
      </w:r>
      <w:r>
        <w:rPr>
          <w:rFonts w:cs="Times New Roman"/>
          <w:highlight w:val="none"/>
        </w:rPr>
        <w:tab/>
      </w:r>
      <w:r>
        <w:rPr>
          <w:rFonts w:cs="Times New Roman"/>
          <w:highlight w:val="none"/>
        </w:rPr>
        <w:fldChar w:fldCharType="begin"/>
      </w:r>
      <w:r>
        <w:rPr>
          <w:rFonts w:cs="Times New Roman"/>
          <w:highlight w:val="none"/>
        </w:rPr>
        <w:instrText xml:space="preserve"> PAGEREF _Toc136264994 \h </w:instrText>
      </w:r>
      <w:r>
        <w:rPr>
          <w:rFonts w:cs="Times New Roman"/>
          <w:highlight w:val="none"/>
        </w:rPr>
        <w:fldChar w:fldCharType="separate"/>
      </w:r>
      <w:r>
        <w:rPr>
          <w:rFonts w:cs="Times New Roman"/>
          <w:highlight w:val="none"/>
        </w:rPr>
        <w:t>21</w:t>
      </w:r>
      <w:r>
        <w:rPr>
          <w:rFonts w:cs="Times New Roman"/>
          <w:highlight w:val="none"/>
        </w:rPr>
        <w:fldChar w:fldCharType="end"/>
      </w:r>
      <w:r>
        <w:rPr>
          <w:rFonts w:cs="Times New Roman"/>
          <w:highlight w:val="none"/>
        </w:rPr>
        <w:fldChar w:fldCharType="end"/>
      </w:r>
    </w:p>
    <w:p>
      <w:pPr>
        <w:pStyle w:val="13"/>
        <w:rPr>
          <w:rFonts w:ascii="Times New Roman" w:cs="Times New Roman" w:eastAsiaTheme="minorEastAsia"/>
          <w:b w:val="0"/>
          <w:bCs w:val="0"/>
          <w:sz w:val="21"/>
          <w:highlight w:val="none"/>
        </w:rPr>
      </w:pPr>
      <w:r>
        <w:rPr>
          <w:highlight w:val="none"/>
        </w:rPr>
        <w:fldChar w:fldCharType="begin"/>
      </w:r>
      <w:r>
        <w:rPr>
          <w:highlight w:val="none"/>
        </w:rPr>
        <w:instrText xml:space="preserve"> HYPERLINK \l "_Toc136264995" </w:instrText>
      </w:r>
      <w:r>
        <w:rPr>
          <w:highlight w:val="none"/>
        </w:rPr>
        <w:fldChar w:fldCharType="separate"/>
      </w:r>
      <w:r>
        <w:rPr>
          <w:rStyle w:val="18"/>
          <w:rFonts w:ascii="Times New Roman" w:cs="Times New Roman"/>
          <w:highlight w:val="none"/>
        </w:rPr>
        <w:t>六、有关建议</w:t>
      </w:r>
      <w:r>
        <w:rPr>
          <w:rFonts w:ascii="Times New Roman" w:cs="Times New Roman"/>
          <w:highlight w:val="none"/>
        </w:rPr>
        <w:tab/>
      </w:r>
      <w:r>
        <w:rPr>
          <w:rFonts w:ascii="Times New Roman" w:cs="Times New Roman"/>
          <w:highlight w:val="none"/>
        </w:rPr>
        <w:fldChar w:fldCharType="begin"/>
      </w:r>
      <w:r>
        <w:rPr>
          <w:rFonts w:ascii="Times New Roman" w:cs="Times New Roman"/>
          <w:highlight w:val="none"/>
        </w:rPr>
        <w:instrText xml:space="preserve"> PAGEREF _Toc136264995 \h </w:instrText>
      </w:r>
      <w:r>
        <w:rPr>
          <w:rFonts w:ascii="Times New Roman" w:cs="Times New Roman"/>
          <w:highlight w:val="none"/>
        </w:rPr>
        <w:fldChar w:fldCharType="separate"/>
      </w:r>
      <w:r>
        <w:rPr>
          <w:rFonts w:ascii="Times New Roman" w:cs="Times New Roman"/>
          <w:highlight w:val="none"/>
        </w:rPr>
        <w:t>22</w:t>
      </w:r>
      <w:r>
        <w:rPr>
          <w:rFonts w:ascii="Times New Roman" w:cs="Times New Roman"/>
          <w:highlight w:val="none"/>
        </w:rPr>
        <w:fldChar w:fldCharType="end"/>
      </w:r>
      <w:r>
        <w:rPr>
          <w:rFonts w:ascii="Times New Roman" w:cs="Times New Roman"/>
          <w:highlight w:val="none"/>
        </w:rPr>
        <w:fldChar w:fldCharType="end"/>
      </w:r>
    </w:p>
    <w:p>
      <w:pPr>
        <w:pStyle w:val="13"/>
        <w:rPr>
          <w:rFonts w:ascii="Times New Roman" w:cs="Times New Roman" w:eastAsiaTheme="minorEastAsia"/>
          <w:b w:val="0"/>
          <w:bCs w:val="0"/>
          <w:sz w:val="21"/>
          <w:highlight w:val="none"/>
        </w:rPr>
      </w:pPr>
      <w:r>
        <w:rPr>
          <w:highlight w:val="none"/>
        </w:rPr>
        <w:fldChar w:fldCharType="begin"/>
      </w:r>
      <w:r>
        <w:rPr>
          <w:highlight w:val="none"/>
        </w:rPr>
        <w:instrText xml:space="preserve"> HYPERLINK \l "_Toc136264996" </w:instrText>
      </w:r>
      <w:r>
        <w:rPr>
          <w:highlight w:val="none"/>
        </w:rPr>
        <w:fldChar w:fldCharType="separate"/>
      </w:r>
      <w:r>
        <w:rPr>
          <w:rStyle w:val="18"/>
          <w:rFonts w:ascii="Times New Roman" w:cs="Times New Roman"/>
          <w:highlight w:val="none"/>
        </w:rPr>
        <w:t>七、其他需要说明的问题</w:t>
      </w:r>
      <w:r>
        <w:rPr>
          <w:rFonts w:ascii="Times New Roman" w:cs="Times New Roman"/>
          <w:highlight w:val="none"/>
        </w:rPr>
        <w:tab/>
      </w:r>
      <w:r>
        <w:rPr>
          <w:rFonts w:ascii="Times New Roman" w:cs="Times New Roman"/>
          <w:highlight w:val="none"/>
        </w:rPr>
        <w:fldChar w:fldCharType="begin"/>
      </w:r>
      <w:r>
        <w:rPr>
          <w:rFonts w:ascii="Times New Roman" w:cs="Times New Roman"/>
          <w:highlight w:val="none"/>
        </w:rPr>
        <w:instrText xml:space="preserve"> PAGEREF _Toc136264996 \h </w:instrText>
      </w:r>
      <w:r>
        <w:rPr>
          <w:rFonts w:ascii="Times New Roman" w:cs="Times New Roman"/>
          <w:highlight w:val="none"/>
        </w:rPr>
        <w:fldChar w:fldCharType="separate"/>
      </w:r>
      <w:r>
        <w:rPr>
          <w:rFonts w:ascii="Times New Roman" w:cs="Times New Roman"/>
          <w:highlight w:val="none"/>
        </w:rPr>
        <w:t>23</w:t>
      </w:r>
      <w:r>
        <w:rPr>
          <w:rFonts w:ascii="Times New Roman" w:cs="Times New Roman"/>
          <w:highlight w:val="none"/>
        </w:rPr>
        <w:fldChar w:fldCharType="end"/>
      </w:r>
      <w:r>
        <w:rPr>
          <w:rFonts w:ascii="Times New Roman" w:cs="Times New Roman"/>
          <w:highlight w:val="none"/>
        </w:rPr>
        <w:fldChar w:fldCharType="end"/>
      </w:r>
    </w:p>
    <w:p>
      <w:pPr>
        <w:pStyle w:val="13"/>
        <w:rPr>
          <w:rFonts w:ascii="Times New Roman" w:cs="Times New Roman" w:eastAsiaTheme="minorEastAsia"/>
          <w:b w:val="0"/>
          <w:bCs w:val="0"/>
          <w:sz w:val="21"/>
          <w:highlight w:val="none"/>
        </w:rPr>
      </w:pPr>
      <w:r>
        <w:rPr>
          <w:highlight w:val="none"/>
        </w:rPr>
        <w:fldChar w:fldCharType="begin"/>
      </w:r>
      <w:r>
        <w:rPr>
          <w:highlight w:val="none"/>
        </w:rPr>
        <w:instrText xml:space="preserve"> HYPERLINK \l "_Toc136264997" </w:instrText>
      </w:r>
      <w:r>
        <w:rPr>
          <w:highlight w:val="none"/>
        </w:rPr>
        <w:fldChar w:fldCharType="separate"/>
      </w:r>
      <w:r>
        <w:rPr>
          <w:rStyle w:val="18"/>
          <w:rFonts w:ascii="Times New Roman" w:cs="Times New Roman"/>
          <w:highlight w:val="none"/>
        </w:rPr>
        <w:t>附件1 项目绩效评价指标体系</w:t>
      </w:r>
      <w:r>
        <w:rPr>
          <w:rFonts w:ascii="Times New Roman" w:cs="Times New Roman"/>
          <w:highlight w:val="none"/>
        </w:rPr>
        <w:tab/>
      </w:r>
      <w:r>
        <w:rPr>
          <w:rFonts w:ascii="Times New Roman" w:cs="Times New Roman"/>
          <w:highlight w:val="none"/>
        </w:rPr>
        <w:fldChar w:fldCharType="begin"/>
      </w:r>
      <w:r>
        <w:rPr>
          <w:rFonts w:ascii="Times New Roman" w:cs="Times New Roman"/>
          <w:highlight w:val="none"/>
        </w:rPr>
        <w:instrText xml:space="preserve"> PAGEREF _Toc136264997 \h </w:instrText>
      </w:r>
      <w:r>
        <w:rPr>
          <w:rFonts w:ascii="Times New Roman" w:cs="Times New Roman"/>
          <w:highlight w:val="none"/>
        </w:rPr>
        <w:fldChar w:fldCharType="separate"/>
      </w:r>
      <w:r>
        <w:rPr>
          <w:rFonts w:ascii="Times New Roman" w:cs="Times New Roman"/>
          <w:highlight w:val="none"/>
        </w:rPr>
        <w:t>24</w:t>
      </w:r>
      <w:r>
        <w:rPr>
          <w:rFonts w:ascii="Times New Roman" w:cs="Times New Roman"/>
          <w:highlight w:val="none"/>
        </w:rPr>
        <w:fldChar w:fldCharType="end"/>
      </w:r>
      <w:r>
        <w:rPr>
          <w:rFonts w:ascii="Times New Roman" w:cs="Times New Roman"/>
          <w:highlight w:val="none"/>
        </w:rPr>
        <w:fldChar w:fldCharType="end"/>
      </w:r>
    </w:p>
    <w:p>
      <w:pPr>
        <w:pStyle w:val="13"/>
        <w:rPr>
          <w:rFonts w:ascii="Times New Roman" w:cs="Times New Roman" w:eastAsiaTheme="minorEastAsia"/>
          <w:b w:val="0"/>
          <w:bCs w:val="0"/>
          <w:sz w:val="21"/>
          <w:highlight w:val="none"/>
        </w:rPr>
      </w:pPr>
      <w:r>
        <w:rPr>
          <w:highlight w:val="none"/>
        </w:rPr>
        <w:fldChar w:fldCharType="begin"/>
      </w:r>
      <w:r>
        <w:rPr>
          <w:highlight w:val="none"/>
        </w:rPr>
        <w:instrText xml:space="preserve"> HYPERLINK \l "_Toc136264998" </w:instrText>
      </w:r>
      <w:r>
        <w:rPr>
          <w:highlight w:val="none"/>
        </w:rPr>
        <w:fldChar w:fldCharType="separate"/>
      </w:r>
      <w:r>
        <w:rPr>
          <w:rStyle w:val="18"/>
          <w:rFonts w:ascii="Times New Roman" w:cs="Times New Roman"/>
          <w:highlight w:val="none"/>
        </w:rPr>
        <w:t>附件2 基础数据表</w:t>
      </w:r>
      <w:r>
        <w:rPr>
          <w:rFonts w:ascii="Times New Roman" w:cs="Times New Roman"/>
          <w:highlight w:val="none"/>
        </w:rPr>
        <w:tab/>
      </w:r>
      <w:r>
        <w:rPr>
          <w:rFonts w:ascii="Times New Roman" w:cs="Times New Roman"/>
          <w:highlight w:val="none"/>
        </w:rPr>
        <w:fldChar w:fldCharType="begin"/>
      </w:r>
      <w:r>
        <w:rPr>
          <w:rFonts w:ascii="Times New Roman" w:cs="Times New Roman"/>
          <w:highlight w:val="none"/>
        </w:rPr>
        <w:instrText xml:space="preserve"> PAGEREF _Toc136264998 \h </w:instrText>
      </w:r>
      <w:r>
        <w:rPr>
          <w:rFonts w:ascii="Times New Roman" w:cs="Times New Roman"/>
          <w:highlight w:val="none"/>
        </w:rPr>
        <w:fldChar w:fldCharType="separate"/>
      </w:r>
      <w:r>
        <w:rPr>
          <w:rFonts w:ascii="Times New Roman" w:cs="Times New Roman"/>
          <w:highlight w:val="none"/>
        </w:rPr>
        <w:t>45</w:t>
      </w:r>
      <w:r>
        <w:rPr>
          <w:rFonts w:ascii="Times New Roman" w:cs="Times New Roman"/>
          <w:highlight w:val="none"/>
        </w:rPr>
        <w:fldChar w:fldCharType="end"/>
      </w:r>
      <w:r>
        <w:rPr>
          <w:rFonts w:ascii="Times New Roman" w:cs="Times New Roman"/>
          <w:highlight w:val="none"/>
        </w:rPr>
        <w:fldChar w:fldCharType="end"/>
      </w:r>
    </w:p>
    <w:p>
      <w:pPr>
        <w:pStyle w:val="13"/>
        <w:rPr>
          <w:rFonts w:ascii="Times New Roman" w:cs="Times New Roman" w:eastAsiaTheme="minorEastAsia"/>
          <w:b w:val="0"/>
          <w:bCs w:val="0"/>
          <w:sz w:val="21"/>
          <w:highlight w:val="none"/>
        </w:rPr>
      </w:pPr>
      <w:r>
        <w:rPr>
          <w:highlight w:val="none"/>
        </w:rPr>
        <w:fldChar w:fldCharType="begin"/>
      </w:r>
      <w:r>
        <w:rPr>
          <w:highlight w:val="none"/>
        </w:rPr>
        <w:instrText xml:space="preserve"> HYPERLINK \l "_Toc136264999" </w:instrText>
      </w:r>
      <w:r>
        <w:rPr>
          <w:highlight w:val="none"/>
        </w:rPr>
        <w:fldChar w:fldCharType="separate"/>
      </w:r>
      <w:r>
        <w:rPr>
          <w:rStyle w:val="18"/>
          <w:rFonts w:ascii="Times New Roman" w:cs="Times New Roman"/>
          <w:highlight w:val="none"/>
        </w:rPr>
        <w:t>附件3 调查问卷分析报告</w:t>
      </w:r>
      <w:r>
        <w:rPr>
          <w:rFonts w:ascii="Times New Roman" w:cs="Times New Roman"/>
          <w:highlight w:val="none"/>
        </w:rPr>
        <w:tab/>
      </w:r>
      <w:r>
        <w:rPr>
          <w:rFonts w:ascii="Times New Roman" w:cs="Times New Roman"/>
          <w:highlight w:val="none"/>
        </w:rPr>
        <w:fldChar w:fldCharType="begin"/>
      </w:r>
      <w:r>
        <w:rPr>
          <w:rFonts w:ascii="Times New Roman" w:cs="Times New Roman"/>
          <w:highlight w:val="none"/>
        </w:rPr>
        <w:instrText xml:space="preserve"> PAGEREF _Toc136264999 \h </w:instrText>
      </w:r>
      <w:r>
        <w:rPr>
          <w:rFonts w:ascii="Times New Roman" w:cs="Times New Roman"/>
          <w:highlight w:val="none"/>
        </w:rPr>
        <w:fldChar w:fldCharType="separate"/>
      </w:r>
      <w:r>
        <w:rPr>
          <w:rFonts w:ascii="Times New Roman" w:cs="Times New Roman"/>
          <w:highlight w:val="none"/>
        </w:rPr>
        <w:t>46</w:t>
      </w:r>
      <w:r>
        <w:rPr>
          <w:rFonts w:ascii="Times New Roman" w:cs="Times New Roman"/>
          <w:highlight w:val="none"/>
        </w:rPr>
        <w:fldChar w:fldCharType="end"/>
      </w:r>
      <w:r>
        <w:rPr>
          <w:rFonts w:ascii="Times New Roman" w:cs="Times New Roman"/>
          <w:highlight w:val="none"/>
        </w:rPr>
        <w:fldChar w:fldCharType="end"/>
      </w:r>
    </w:p>
    <w:p>
      <w:pPr>
        <w:pStyle w:val="13"/>
        <w:rPr>
          <w:rFonts w:ascii="Times New Roman" w:cs="Times New Roman" w:eastAsiaTheme="minorEastAsia"/>
          <w:b w:val="0"/>
          <w:bCs w:val="0"/>
          <w:sz w:val="21"/>
          <w:highlight w:val="none"/>
        </w:rPr>
      </w:pPr>
      <w:r>
        <w:rPr>
          <w:highlight w:val="none"/>
        </w:rPr>
        <w:fldChar w:fldCharType="begin"/>
      </w:r>
      <w:r>
        <w:rPr>
          <w:highlight w:val="none"/>
        </w:rPr>
        <w:instrText xml:space="preserve"> HYPERLINK \l "_Toc136265000" </w:instrText>
      </w:r>
      <w:r>
        <w:rPr>
          <w:highlight w:val="none"/>
        </w:rPr>
        <w:fldChar w:fldCharType="separate"/>
      </w:r>
      <w:r>
        <w:rPr>
          <w:rStyle w:val="18"/>
          <w:rFonts w:ascii="Times New Roman" w:cs="Times New Roman"/>
          <w:highlight w:val="none"/>
        </w:rPr>
        <w:t>附件4 访谈记录</w:t>
      </w:r>
      <w:r>
        <w:rPr>
          <w:rFonts w:ascii="Times New Roman" w:cs="Times New Roman"/>
          <w:highlight w:val="none"/>
        </w:rPr>
        <w:tab/>
      </w:r>
      <w:r>
        <w:rPr>
          <w:rFonts w:ascii="Times New Roman" w:cs="Times New Roman"/>
          <w:highlight w:val="none"/>
        </w:rPr>
        <w:fldChar w:fldCharType="begin"/>
      </w:r>
      <w:r>
        <w:rPr>
          <w:rFonts w:ascii="Times New Roman" w:cs="Times New Roman"/>
          <w:highlight w:val="none"/>
        </w:rPr>
        <w:instrText xml:space="preserve"> PAGEREF _Toc136265000 \h </w:instrText>
      </w:r>
      <w:r>
        <w:rPr>
          <w:rFonts w:ascii="Times New Roman" w:cs="Times New Roman"/>
          <w:highlight w:val="none"/>
        </w:rPr>
        <w:fldChar w:fldCharType="separate"/>
      </w:r>
      <w:r>
        <w:rPr>
          <w:rFonts w:ascii="Times New Roman" w:cs="Times New Roman"/>
          <w:highlight w:val="none"/>
        </w:rPr>
        <w:t>51</w:t>
      </w:r>
      <w:r>
        <w:rPr>
          <w:rFonts w:ascii="Times New Roman" w:cs="Times New Roman"/>
          <w:highlight w:val="none"/>
        </w:rPr>
        <w:fldChar w:fldCharType="end"/>
      </w:r>
      <w:r>
        <w:rPr>
          <w:rFonts w:ascii="Times New Roman" w:cs="Times New Roman"/>
          <w:highlight w:val="none"/>
        </w:rPr>
        <w:fldChar w:fldCharType="end"/>
      </w:r>
    </w:p>
    <w:p>
      <w:pPr>
        <w:pStyle w:val="15"/>
        <w:rPr>
          <w:rFonts w:cs="Times New Roman" w:eastAsiaTheme="minorEastAsia"/>
          <w:sz w:val="21"/>
          <w:highlight w:val="none"/>
        </w:rPr>
      </w:pPr>
      <w:r>
        <w:rPr>
          <w:highlight w:val="none"/>
        </w:rPr>
        <w:fldChar w:fldCharType="begin"/>
      </w:r>
      <w:r>
        <w:rPr>
          <w:highlight w:val="none"/>
        </w:rPr>
        <w:instrText xml:space="preserve"> HYPERLINK \l "_Toc136265001" </w:instrText>
      </w:r>
      <w:r>
        <w:rPr>
          <w:highlight w:val="none"/>
        </w:rPr>
        <w:fldChar w:fldCharType="separate"/>
      </w:r>
      <w:r>
        <w:rPr>
          <w:rStyle w:val="18"/>
          <w:rFonts w:cs="Times New Roman"/>
          <w:bCs/>
          <w:highlight w:val="none"/>
        </w:rPr>
        <w:t>附件4-1 受益单位相关负责人访谈提纲-金源购物广场空气源热泵工程项目</w:t>
      </w:r>
      <w:r>
        <w:rPr>
          <w:rFonts w:cs="Times New Roman"/>
          <w:highlight w:val="none"/>
        </w:rPr>
        <w:tab/>
      </w:r>
      <w:r>
        <w:rPr>
          <w:rFonts w:cs="Times New Roman"/>
          <w:highlight w:val="none"/>
        </w:rPr>
        <w:fldChar w:fldCharType="begin"/>
      </w:r>
      <w:r>
        <w:rPr>
          <w:rFonts w:cs="Times New Roman"/>
          <w:highlight w:val="none"/>
        </w:rPr>
        <w:instrText xml:space="preserve"> PAGEREF _Toc136265001 \h </w:instrText>
      </w:r>
      <w:r>
        <w:rPr>
          <w:rFonts w:cs="Times New Roman"/>
          <w:highlight w:val="none"/>
        </w:rPr>
        <w:fldChar w:fldCharType="separate"/>
      </w:r>
      <w:r>
        <w:rPr>
          <w:rFonts w:cs="Times New Roman"/>
          <w:highlight w:val="none"/>
        </w:rPr>
        <w:t>51</w:t>
      </w:r>
      <w:r>
        <w:rPr>
          <w:rFonts w:cs="Times New Roman"/>
          <w:highlight w:val="none"/>
        </w:rPr>
        <w:fldChar w:fldCharType="end"/>
      </w:r>
      <w:r>
        <w:rPr>
          <w:rFonts w:cs="Times New Roman"/>
          <w:highlight w:val="none"/>
        </w:rPr>
        <w:fldChar w:fldCharType="end"/>
      </w:r>
    </w:p>
    <w:p>
      <w:pPr>
        <w:pStyle w:val="15"/>
        <w:rPr>
          <w:rFonts w:cs="Times New Roman" w:eastAsiaTheme="minorEastAsia"/>
          <w:sz w:val="21"/>
          <w:highlight w:val="none"/>
        </w:rPr>
      </w:pPr>
      <w:r>
        <w:rPr>
          <w:highlight w:val="none"/>
        </w:rPr>
        <w:fldChar w:fldCharType="begin"/>
      </w:r>
      <w:r>
        <w:rPr>
          <w:highlight w:val="none"/>
        </w:rPr>
        <w:instrText xml:space="preserve"> HYPERLINK \l "_Toc136265002" </w:instrText>
      </w:r>
      <w:r>
        <w:rPr>
          <w:highlight w:val="none"/>
        </w:rPr>
        <w:fldChar w:fldCharType="separate"/>
      </w:r>
      <w:r>
        <w:rPr>
          <w:rStyle w:val="18"/>
          <w:rFonts w:cs="Times New Roman"/>
          <w:bCs/>
          <w:highlight w:val="none"/>
        </w:rPr>
        <w:t>附件4-2 受益单位相关负责人访谈提纲-集安边境经济合作区医药健康产业园区建设项目（一期）空气源热泵示范项目</w:t>
      </w:r>
      <w:r>
        <w:rPr>
          <w:rFonts w:cs="Times New Roman"/>
          <w:highlight w:val="none"/>
        </w:rPr>
        <w:tab/>
      </w:r>
      <w:r>
        <w:rPr>
          <w:rFonts w:cs="Times New Roman"/>
          <w:highlight w:val="none"/>
        </w:rPr>
        <w:fldChar w:fldCharType="begin"/>
      </w:r>
      <w:r>
        <w:rPr>
          <w:rFonts w:cs="Times New Roman"/>
          <w:highlight w:val="none"/>
        </w:rPr>
        <w:instrText xml:space="preserve"> PAGEREF _Toc136265002 \h </w:instrText>
      </w:r>
      <w:r>
        <w:rPr>
          <w:rFonts w:cs="Times New Roman"/>
          <w:highlight w:val="none"/>
        </w:rPr>
        <w:fldChar w:fldCharType="separate"/>
      </w:r>
      <w:r>
        <w:rPr>
          <w:rFonts w:cs="Times New Roman"/>
          <w:highlight w:val="none"/>
        </w:rPr>
        <w:t>53</w:t>
      </w:r>
      <w:r>
        <w:rPr>
          <w:rFonts w:cs="Times New Roman"/>
          <w:highlight w:val="none"/>
        </w:rPr>
        <w:fldChar w:fldCharType="end"/>
      </w:r>
      <w:r>
        <w:rPr>
          <w:rFonts w:cs="Times New Roman"/>
          <w:highlight w:val="none"/>
        </w:rPr>
        <w:fldChar w:fldCharType="end"/>
      </w:r>
    </w:p>
    <w:p>
      <w:pPr>
        <w:pStyle w:val="15"/>
        <w:rPr>
          <w:rFonts w:cs="Times New Roman" w:eastAsiaTheme="minorEastAsia"/>
          <w:sz w:val="21"/>
          <w:highlight w:val="none"/>
        </w:rPr>
      </w:pPr>
      <w:r>
        <w:rPr>
          <w:highlight w:val="none"/>
        </w:rPr>
        <w:fldChar w:fldCharType="begin"/>
      </w:r>
      <w:r>
        <w:rPr>
          <w:highlight w:val="none"/>
        </w:rPr>
        <w:instrText xml:space="preserve"> HYPERLINK \l "_Toc136265003" </w:instrText>
      </w:r>
      <w:r>
        <w:rPr>
          <w:highlight w:val="none"/>
        </w:rPr>
        <w:fldChar w:fldCharType="separate"/>
      </w:r>
      <w:r>
        <w:rPr>
          <w:rStyle w:val="18"/>
          <w:rFonts w:cs="Times New Roman"/>
          <w:bCs/>
          <w:highlight w:val="none"/>
        </w:rPr>
        <w:t>附件4-3 受益单位相关负责人访谈提纲-琵岩山高丽汤泉村空气源热泵示范项目</w:t>
      </w:r>
      <w:r>
        <w:rPr>
          <w:rFonts w:cs="Times New Roman"/>
          <w:highlight w:val="none"/>
        </w:rPr>
        <w:tab/>
      </w:r>
      <w:r>
        <w:rPr>
          <w:rFonts w:cs="Times New Roman"/>
          <w:highlight w:val="none"/>
        </w:rPr>
        <w:fldChar w:fldCharType="begin"/>
      </w:r>
      <w:r>
        <w:rPr>
          <w:rFonts w:cs="Times New Roman"/>
          <w:highlight w:val="none"/>
        </w:rPr>
        <w:instrText xml:space="preserve"> PAGEREF _Toc136265003 \h </w:instrText>
      </w:r>
      <w:r>
        <w:rPr>
          <w:rFonts w:cs="Times New Roman"/>
          <w:highlight w:val="none"/>
        </w:rPr>
        <w:fldChar w:fldCharType="separate"/>
      </w:r>
      <w:r>
        <w:rPr>
          <w:rFonts w:cs="Times New Roman"/>
          <w:highlight w:val="none"/>
        </w:rPr>
        <w:t>55</w:t>
      </w:r>
      <w:r>
        <w:rPr>
          <w:rFonts w:cs="Times New Roman"/>
          <w:highlight w:val="none"/>
        </w:rPr>
        <w:fldChar w:fldCharType="end"/>
      </w:r>
      <w:r>
        <w:rPr>
          <w:rFonts w:cs="Times New Roman"/>
          <w:highlight w:val="none"/>
        </w:rPr>
        <w:fldChar w:fldCharType="end"/>
      </w:r>
    </w:p>
    <w:p>
      <w:pPr>
        <w:pStyle w:val="15"/>
        <w:rPr>
          <w:rFonts w:cs="Times New Roman" w:eastAsiaTheme="minorEastAsia"/>
          <w:sz w:val="21"/>
          <w:highlight w:val="none"/>
        </w:rPr>
      </w:pPr>
      <w:r>
        <w:rPr>
          <w:highlight w:val="none"/>
        </w:rPr>
        <w:fldChar w:fldCharType="begin"/>
      </w:r>
      <w:r>
        <w:rPr>
          <w:highlight w:val="none"/>
        </w:rPr>
        <w:instrText xml:space="preserve"> HYPERLINK \l "_Toc136265004" </w:instrText>
      </w:r>
      <w:r>
        <w:rPr>
          <w:highlight w:val="none"/>
        </w:rPr>
        <w:fldChar w:fldCharType="separate"/>
      </w:r>
      <w:r>
        <w:rPr>
          <w:rStyle w:val="18"/>
          <w:rFonts w:cs="Times New Roman"/>
          <w:bCs/>
          <w:highlight w:val="none"/>
        </w:rPr>
        <w:t>附件4-4 受益单位相关负责人访谈提纲-通化医药高新区空气能改造项目（一期）</w:t>
      </w:r>
      <w:r>
        <w:rPr>
          <w:rFonts w:cs="Times New Roman"/>
          <w:highlight w:val="none"/>
        </w:rPr>
        <w:tab/>
      </w:r>
      <w:r>
        <w:rPr>
          <w:rFonts w:cs="Times New Roman"/>
          <w:highlight w:val="none"/>
        </w:rPr>
        <w:fldChar w:fldCharType="begin"/>
      </w:r>
      <w:r>
        <w:rPr>
          <w:rFonts w:cs="Times New Roman"/>
          <w:highlight w:val="none"/>
        </w:rPr>
        <w:instrText xml:space="preserve"> PAGEREF _Toc136265004 \h </w:instrText>
      </w:r>
      <w:r>
        <w:rPr>
          <w:rFonts w:cs="Times New Roman"/>
          <w:highlight w:val="none"/>
        </w:rPr>
        <w:fldChar w:fldCharType="separate"/>
      </w:r>
      <w:r>
        <w:rPr>
          <w:rFonts w:cs="Times New Roman"/>
          <w:highlight w:val="none"/>
        </w:rPr>
        <w:t>57</w:t>
      </w:r>
      <w:r>
        <w:rPr>
          <w:rFonts w:cs="Times New Roman"/>
          <w:highlight w:val="none"/>
        </w:rPr>
        <w:fldChar w:fldCharType="end"/>
      </w:r>
      <w:r>
        <w:rPr>
          <w:rFonts w:cs="Times New Roman"/>
          <w:highlight w:val="none"/>
        </w:rPr>
        <w:fldChar w:fldCharType="end"/>
      </w:r>
    </w:p>
    <w:p>
      <w:pPr>
        <w:ind w:left="-708" w:leftChars="-253" w:firstLine="720"/>
        <w:jc w:val="left"/>
        <w:rPr>
          <w:rFonts w:eastAsia="等线" w:cs="Times New Roman"/>
          <w:sz w:val="36"/>
          <w:szCs w:val="36"/>
          <w:highlight w:val="none"/>
        </w:rPr>
        <w:sectPr>
          <w:headerReference r:id="rId4" w:type="default"/>
          <w:footerReference r:id="rId5" w:type="default"/>
          <w:pgSz w:w="11906" w:h="16838"/>
          <w:pgMar w:top="1440" w:right="1800" w:bottom="1440" w:left="1800" w:header="851" w:footer="992" w:gutter="0"/>
          <w:cols w:space="425" w:num="1"/>
          <w:docGrid w:type="lines" w:linePitch="312" w:charSpace="0"/>
        </w:sectPr>
      </w:pPr>
      <w:r>
        <w:rPr>
          <w:rFonts w:eastAsia="等线" w:cs="Times New Roman"/>
          <w:sz w:val="36"/>
          <w:szCs w:val="36"/>
          <w:highlight w:val="none"/>
        </w:rPr>
        <w:fldChar w:fldCharType="end"/>
      </w:r>
    </w:p>
    <w:p>
      <w:pPr>
        <w:ind w:firstLine="0" w:firstLineChars="0"/>
        <w:jc w:val="center"/>
        <w:rPr>
          <w:rFonts w:eastAsia="黑体" w:cs="Times New Roman"/>
          <w:b/>
          <w:bCs/>
          <w:sz w:val="32"/>
          <w:szCs w:val="32"/>
          <w:highlight w:val="none"/>
        </w:rPr>
      </w:pPr>
      <w:r>
        <w:rPr>
          <w:rFonts w:eastAsia="黑体" w:cs="Times New Roman"/>
          <w:b/>
          <w:bCs/>
          <w:sz w:val="32"/>
          <w:szCs w:val="32"/>
          <w:highlight w:val="none"/>
        </w:rPr>
        <w:t>2021-2023年度吉林省建筑节能奖补资金项目</w:t>
      </w:r>
    </w:p>
    <w:p>
      <w:pPr>
        <w:ind w:firstLine="0" w:firstLineChars="0"/>
        <w:jc w:val="center"/>
        <w:rPr>
          <w:rFonts w:eastAsia="黑体" w:cs="Times New Roman"/>
          <w:b/>
          <w:bCs/>
          <w:sz w:val="32"/>
          <w:szCs w:val="32"/>
          <w:highlight w:val="none"/>
        </w:rPr>
      </w:pPr>
      <w:r>
        <w:rPr>
          <w:rFonts w:eastAsia="黑体" w:cs="Times New Roman"/>
          <w:b/>
          <w:bCs/>
          <w:sz w:val="32"/>
          <w:szCs w:val="32"/>
          <w:highlight w:val="none"/>
        </w:rPr>
        <w:t>绩效评价报告</w:t>
      </w:r>
    </w:p>
    <w:p>
      <w:pPr>
        <w:ind w:firstLine="560"/>
        <w:rPr>
          <w:rFonts w:cs="Times New Roman"/>
          <w:highlight w:val="none"/>
        </w:rPr>
      </w:pPr>
      <w:r>
        <w:rPr>
          <w:rFonts w:cs="Times New Roman"/>
          <w:highlight w:val="none"/>
        </w:rPr>
        <w:t>为贯彻落实《中共吉林省委吉林省人民政府关于全面实施预算绩效管理的实施意见》（吉发〔2019〕10号），根据《吉林省项目支出绩效评价管理暂行办法》（吉财绩〔2020〕711号）等相关规定，</w:t>
      </w:r>
      <w:r>
        <w:rPr>
          <w:rFonts w:hint="eastAsia" w:cs="Times New Roman"/>
          <w:highlight w:val="none"/>
          <w:lang w:eastAsia="zh-CN"/>
        </w:rPr>
        <w:t>我们</w:t>
      </w:r>
      <w:r>
        <w:rPr>
          <w:rFonts w:cs="Times New Roman"/>
          <w:highlight w:val="none"/>
        </w:rPr>
        <w:t>对2021-2023年度吉林省建筑节能奖补资金项目开展绩效评价</w:t>
      </w:r>
      <w:r>
        <w:rPr>
          <w:rFonts w:hint="eastAsia" w:cs="Times New Roman"/>
          <w:highlight w:val="none"/>
          <w:lang w:eastAsia="zh-CN"/>
        </w:rPr>
        <w:t>，</w:t>
      </w:r>
      <w:r>
        <w:rPr>
          <w:rFonts w:cs="Times New Roman"/>
          <w:highlight w:val="none"/>
        </w:rPr>
        <w:t>对项目实施情况、预算执行情况、产出及效益目标实现情况等内容进行了深入分析，并运用前期经委托方确认的评价指标体系及评分标准，以数据采集、实地调研、访谈和问卷调查等方式获得的绩效数据为依据进行评分，完成了本次绩效评价工作。现将有关情况报告如下。</w:t>
      </w:r>
    </w:p>
    <w:p>
      <w:pPr>
        <w:pStyle w:val="4"/>
        <w:rPr>
          <w:rFonts w:cs="Times New Roman"/>
          <w:highlight w:val="none"/>
        </w:rPr>
      </w:pPr>
      <w:bookmarkStart w:id="0" w:name="_Toc136264973"/>
      <w:r>
        <w:rPr>
          <w:rFonts w:cs="Times New Roman"/>
          <w:highlight w:val="none"/>
        </w:rPr>
        <w:t>一、基本情况</w:t>
      </w:r>
      <w:bookmarkEnd w:id="0"/>
    </w:p>
    <w:p>
      <w:pPr>
        <w:pStyle w:val="5"/>
        <w:rPr>
          <w:rFonts w:ascii="Times New Roman" w:hAnsi="Times New Roman" w:cs="Times New Roman"/>
          <w:highlight w:val="none"/>
        </w:rPr>
      </w:pPr>
      <w:bookmarkStart w:id="1" w:name="_Toc136264974"/>
      <w:r>
        <w:rPr>
          <w:rFonts w:ascii="Times New Roman" w:hAnsi="Times New Roman" w:cs="Times New Roman"/>
          <w:highlight w:val="none"/>
        </w:rPr>
        <w:t>（一）项目概况</w:t>
      </w:r>
      <w:bookmarkEnd w:id="1"/>
    </w:p>
    <w:p>
      <w:pPr>
        <w:pStyle w:val="6"/>
        <w:ind w:firstLine="560"/>
        <w:rPr>
          <w:rFonts w:cs="Times New Roman"/>
          <w:highlight w:val="none"/>
        </w:rPr>
      </w:pPr>
      <w:r>
        <w:rPr>
          <w:rFonts w:cs="Times New Roman"/>
          <w:highlight w:val="none"/>
        </w:rPr>
        <w:t>1.项目背景</w:t>
      </w:r>
    </w:p>
    <w:p>
      <w:pPr>
        <w:ind w:firstLine="560"/>
        <w:rPr>
          <w:rFonts w:cs="Times New Roman"/>
          <w:highlight w:val="none"/>
        </w:rPr>
      </w:pPr>
      <w:r>
        <w:rPr>
          <w:rFonts w:cs="Times New Roman"/>
          <w:highlight w:val="none"/>
        </w:rPr>
        <w:t>为贯彻落实习近平</w:t>
      </w:r>
      <w:bookmarkStart w:id="54" w:name="_GoBack"/>
      <w:bookmarkEnd w:id="54"/>
      <w:r>
        <w:rPr>
          <w:rFonts w:cs="Times New Roman"/>
          <w:highlight w:val="none"/>
        </w:rPr>
        <w:t>生态文明思想和党的十九大精神，在全社会开展绿色生活创建行动，2019年国家发展改革委印发《绿色生活创建行动总体方案》。该方案提出通过开展节约型机关、绿色家庭、绿色学校等创建行动，广泛宣传推广简约适度、绿色低碳、文明健康的生活理念和生活方式，建立完善绿色生活的相关政策和管理制度，推动绿色消费，促进绿色发展。到2022年，绿色生活创建行动取得显著成效，生态文明理念更加深入人心，绿色生活方式得到普遍推广，形成崇尚绿色生活的社会氛围。</w:t>
      </w:r>
    </w:p>
    <w:p>
      <w:pPr>
        <w:ind w:firstLine="560"/>
        <w:rPr>
          <w:rFonts w:cs="Times New Roman"/>
          <w:highlight w:val="none"/>
        </w:rPr>
      </w:pPr>
      <w:r>
        <w:rPr>
          <w:rFonts w:cs="Times New Roman"/>
          <w:highlight w:val="none"/>
        </w:rPr>
        <w:t>为贯彻落实绿色生活理念，2020年住建部等国家7部委联合印发了《绿色建筑创建行动方案》，该方案提出绿色建筑创建行动以城镇建筑作为创建对象，在绿色建筑全寿命期内节约资源、保护环境、减少污染，最大限度实现人与自然和谐共生的高质量建筑，到2022年，当年城镇新建建筑中绿色建筑面积占比达到70%，星级绿色建筑持续增加，既有建筑能效水平不断提高，住宅健康性能不断完善，装配化建造方式占比稳步提升，绿色建材应用进一步扩大，绿色住宅使用者监督全面推广，人民群众积极参与绿色建筑创建活动，形成崇尚绿色生活的社会氛围。</w:t>
      </w:r>
    </w:p>
    <w:p>
      <w:pPr>
        <w:ind w:firstLine="560"/>
        <w:rPr>
          <w:rFonts w:cs="Times New Roman"/>
          <w:highlight w:val="none"/>
        </w:rPr>
      </w:pPr>
      <w:r>
        <w:rPr>
          <w:rFonts w:cs="Times New Roman"/>
          <w:highlight w:val="none"/>
        </w:rPr>
        <w:t>2020年12月，吉林省《吉林省绿色建筑创建实施方案》提出，到2022年底，当年城镇新建建筑中绿色建筑面积占比达到70%，到2025年底，当年城镇新建建筑中绿色建筑面积占比达到80%。同时提出了九大工作重点：全面执行绿色建筑标准、改进星级绿色建筑标识管理、提升建筑能效水效水平、推进公共建筑能耗统计、提高住宅健康性能、推广装配式建造方式、推动绿色建材应用、加强绿色建筑技术研发推广、建立绿色住宅使用者监督机制。</w:t>
      </w:r>
    </w:p>
    <w:p>
      <w:pPr>
        <w:pStyle w:val="6"/>
        <w:ind w:firstLine="560"/>
        <w:rPr>
          <w:rFonts w:cs="Times New Roman"/>
          <w:highlight w:val="none"/>
        </w:rPr>
      </w:pPr>
      <w:r>
        <w:rPr>
          <w:rFonts w:cs="Times New Roman"/>
          <w:highlight w:val="none"/>
        </w:rPr>
        <w:t>2. 主要内容及实施情况</w:t>
      </w:r>
    </w:p>
    <w:p>
      <w:pPr>
        <w:ind w:firstLine="560"/>
        <w:rPr>
          <w:rFonts w:cs="Times New Roman"/>
          <w:highlight w:val="none"/>
        </w:rPr>
      </w:pPr>
      <w:r>
        <w:rPr>
          <w:rFonts w:cs="Times New Roman"/>
          <w:highlight w:val="none"/>
        </w:rPr>
        <w:t>2021-2023年度吉林省建筑节能奖补资金支持项目类型包括3个，分别为：可再生能源建筑应用项目（利用土壤源、浅层地下水源、空气源和污水源及工业余热等低温热能热泵技术供热制冷项目）、装配式建筑项目和超低能耗建筑项目。</w:t>
      </w:r>
    </w:p>
    <w:p>
      <w:pPr>
        <w:ind w:firstLine="560"/>
        <w:rPr>
          <w:rFonts w:cs="Times New Roman"/>
          <w:highlight w:val="none"/>
        </w:rPr>
        <w:sectPr>
          <w:footerReference r:id="rId6" w:type="default"/>
          <w:pgSz w:w="11906" w:h="16838"/>
          <w:pgMar w:top="1440" w:right="1800" w:bottom="1440" w:left="1800" w:header="851" w:footer="992" w:gutter="0"/>
          <w:pgNumType w:start="1"/>
          <w:cols w:space="425" w:num="1"/>
          <w:docGrid w:type="lines" w:linePitch="312" w:charSpace="0"/>
        </w:sectPr>
      </w:pPr>
      <w:r>
        <w:rPr>
          <w:rFonts w:cs="Times New Roman"/>
          <w:highlight w:val="none"/>
        </w:rPr>
        <w:t>吉林省建筑节能奖补资金具体支持项目内容如下如表1-1。</w:t>
      </w:r>
    </w:p>
    <w:p>
      <w:pPr>
        <w:ind w:firstLine="198" w:firstLineChars="82"/>
        <w:jc w:val="center"/>
        <w:rPr>
          <w:rFonts w:cs="Times New Roman"/>
          <w:b/>
          <w:bCs/>
          <w:sz w:val="24"/>
          <w:szCs w:val="21"/>
          <w:highlight w:val="none"/>
        </w:rPr>
      </w:pPr>
      <w:r>
        <w:rPr>
          <w:rFonts w:cs="Times New Roman"/>
          <w:b/>
          <w:bCs/>
          <w:sz w:val="24"/>
          <w:szCs w:val="21"/>
          <w:highlight w:val="none"/>
        </w:rPr>
        <w:t>表1-1 吉林省建筑节能奖补资金奖补条件和标准</w:t>
      </w:r>
    </w:p>
    <w:tbl>
      <w:tblPr>
        <w:tblStyle w:val="2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651"/>
        <w:gridCol w:w="3466"/>
        <w:gridCol w:w="3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jc w:val="center"/>
        </w:trPr>
        <w:tc>
          <w:tcPr>
            <w:tcW w:w="450" w:type="dxa"/>
            <w:shd w:val="clear" w:color="auto" w:fill="AEAAAA" w:themeFill="background2" w:themeFillShade="BF"/>
            <w:vAlign w:val="center"/>
          </w:tcPr>
          <w:p>
            <w:pPr>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序号</w:t>
            </w:r>
          </w:p>
        </w:tc>
        <w:tc>
          <w:tcPr>
            <w:tcW w:w="651" w:type="dxa"/>
            <w:shd w:val="clear" w:color="auto" w:fill="AEAAAA" w:themeFill="background2" w:themeFillShade="BF"/>
            <w:vAlign w:val="center"/>
          </w:tcPr>
          <w:p>
            <w:pPr>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项目类型</w:t>
            </w:r>
          </w:p>
        </w:tc>
        <w:tc>
          <w:tcPr>
            <w:tcW w:w="3466" w:type="dxa"/>
            <w:shd w:val="clear" w:color="auto" w:fill="AEAAAA" w:themeFill="background2" w:themeFillShade="BF"/>
            <w:vAlign w:val="center"/>
          </w:tcPr>
          <w:p>
            <w:pPr>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奖补条件</w:t>
            </w:r>
          </w:p>
        </w:tc>
        <w:tc>
          <w:tcPr>
            <w:tcW w:w="3955" w:type="dxa"/>
            <w:shd w:val="clear" w:color="auto" w:fill="AEAAAA" w:themeFill="background2" w:themeFillShade="BF"/>
            <w:vAlign w:val="center"/>
          </w:tcPr>
          <w:p>
            <w:pPr>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奖补标准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jc w:val="center"/>
        </w:trPr>
        <w:tc>
          <w:tcPr>
            <w:tcW w:w="450" w:type="dxa"/>
            <w:vAlign w:val="center"/>
          </w:tcPr>
          <w:p>
            <w:pPr>
              <w:spacing w:line="320" w:lineRule="exact"/>
              <w:ind w:firstLine="0" w:firstLineChars="0"/>
              <w:jc w:val="center"/>
              <w:rPr>
                <w:rFonts w:cs="Times New Roman"/>
                <w:kern w:val="0"/>
                <w:sz w:val="21"/>
                <w:szCs w:val="21"/>
                <w:highlight w:val="none"/>
              </w:rPr>
            </w:pPr>
            <w:r>
              <w:rPr>
                <w:rFonts w:cs="Times New Roman"/>
                <w:kern w:val="0"/>
                <w:sz w:val="21"/>
                <w:szCs w:val="21"/>
                <w:highlight w:val="none"/>
              </w:rPr>
              <w:t>1</w:t>
            </w:r>
          </w:p>
        </w:tc>
        <w:tc>
          <w:tcPr>
            <w:tcW w:w="651" w:type="dxa"/>
            <w:vAlign w:val="center"/>
          </w:tcPr>
          <w:p>
            <w:pPr>
              <w:spacing w:line="320" w:lineRule="exact"/>
              <w:ind w:firstLine="0" w:firstLineChars="0"/>
              <w:jc w:val="center"/>
              <w:rPr>
                <w:rFonts w:cs="Times New Roman"/>
                <w:kern w:val="0"/>
                <w:sz w:val="21"/>
                <w:szCs w:val="21"/>
                <w:highlight w:val="none"/>
              </w:rPr>
            </w:pPr>
            <w:r>
              <w:rPr>
                <w:rFonts w:cs="Times New Roman"/>
                <w:kern w:val="0"/>
                <w:sz w:val="21"/>
                <w:szCs w:val="21"/>
                <w:highlight w:val="none"/>
              </w:rPr>
              <w:t>可再生能源建筑应用项目</w:t>
            </w:r>
          </w:p>
        </w:tc>
        <w:tc>
          <w:tcPr>
            <w:tcW w:w="3466" w:type="dxa"/>
            <w:vAlign w:val="center"/>
          </w:tcPr>
          <w:p>
            <w:pPr>
              <w:spacing w:line="320" w:lineRule="exact"/>
              <w:ind w:firstLine="0" w:firstLineChars="0"/>
              <w:jc w:val="left"/>
              <w:rPr>
                <w:rFonts w:cs="Times New Roman"/>
                <w:kern w:val="0"/>
                <w:sz w:val="21"/>
                <w:szCs w:val="21"/>
                <w:highlight w:val="none"/>
              </w:rPr>
            </w:pPr>
            <w:r>
              <w:rPr>
                <w:rFonts w:cs="Times New Roman"/>
                <w:kern w:val="0"/>
                <w:sz w:val="21"/>
                <w:szCs w:val="21"/>
                <w:highlight w:val="none"/>
              </w:rPr>
              <w:t>可再生能源建筑应用工程须当年实施、当年竣工并投入使用，实施规模原则上不得低于以下要求：</w:t>
            </w:r>
          </w:p>
          <w:p>
            <w:pPr>
              <w:spacing w:line="320" w:lineRule="exact"/>
              <w:ind w:firstLine="0" w:firstLineChars="0"/>
              <w:jc w:val="left"/>
              <w:rPr>
                <w:rFonts w:cs="Times New Roman"/>
                <w:kern w:val="0"/>
                <w:sz w:val="21"/>
                <w:szCs w:val="21"/>
                <w:highlight w:val="none"/>
              </w:rPr>
            </w:pPr>
            <w:r>
              <w:rPr>
                <w:rFonts w:cs="Times New Roman"/>
                <w:kern w:val="0"/>
                <w:sz w:val="21"/>
                <w:szCs w:val="21"/>
                <w:highlight w:val="none"/>
              </w:rPr>
              <w:t>1.地市级的新建居住建筑项目实施规模为40000平方米以上；</w:t>
            </w:r>
          </w:p>
          <w:p>
            <w:pPr>
              <w:spacing w:line="320" w:lineRule="exact"/>
              <w:ind w:firstLine="0" w:firstLineChars="0"/>
              <w:jc w:val="left"/>
              <w:rPr>
                <w:rFonts w:cs="Times New Roman"/>
                <w:kern w:val="0"/>
                <w:sz w:val="21"/>
                <w:szCs w:val="21"/>
                <w:highlight w:val="none"/>
              </w:rPr>
            </w:pPr>
            <w:r>
              <w:rPr>
                <w:rFonts w:cs="Times New Roman"/>
                <w:kern w:val="0"/>
                <w:sz w:val="21"/>
                <w:szCs w:val="21"/>
                <w:highlight w:val="none"/>
              </w:rPr>
              <w:t>2.县（市）级的新建居住建筑项目实施规模为20000平方米以上；</w:t>
            </w:r>
          </w:p>
          <w:p>
            <w:pPr>
              <w:spacing w:line="320" w:lineRule="exact"/>
              <w:ind w:firstLine="0" w:firstLineChars="0"/>
              <w:jc w:val="left"/>
              <w:rPr>
                <w:rFonts w:cs="Times New Roman"/>
                <w:kern w:val="0"/>
                <w:sz w:val="21"/>
                <w:szCs w:val="21"/>
                <w:highlight w:val="none"/>
              </w:rPr>
            </w:pPr>
            <w:r>
              <w:rPr>
                <w:rFonts w:cs="Times New Roman"/>
                <w:kern w:val="0"/>
                <w:sz w:val="21"/>
                <w:szCs w:val="21"/>
                <w:highlight w:val="none"/>
              </w:rPr>
              <w:t>3.公共建筑项目实施规模为10000平方米以上；</w:t>
            </w:r>
          </w:p>
          <w:p>
            <w:pPr>
              <w:spacing w:line="320" w:lineRule="exact"/>
              <w:ind w:firstLine="0" w:firstLineChars="0"/>
              <w:jc w:val="left"/>
              <w:rPr>
                <w:rFonts w:cs="Times New Roman"/>
                <w:kern w:val="0"/>
                <w:sz w:val="21"/>
                <w:szCs w:val="21"/>
                <w:highlight w:val="none"/>
              </w:rPr>
            </w:pPr>
            <w:r>
              <w:rPr>
                <w:rFonts w:cs="Times New Roman"/>
                <w:kern w:val="0"/>
                <w:sz w:val="21"/>
                <w:szCs w:val="21"/>
                <w:highlight w:val="none"/>
              </w:rPr>
              <w:t>学校、医院、养老院等公益性建筑项目不少于3000平方米。</w:t>
            </w:r>
          </w:p>
        </w:tc>
        <w:tc>
          <w:tcPr>
            <w:tcW w:w="3955" w:type="dxa"/>
            <w:vAlign w:val="center"/>
          </w:tcPr>
          <w:p>
            <w:pPr>
              <w:spacing w:line="320" w:lineRule="exact"/>
              <w:ind w:firstLine="0" w:firstLineChars="0"/>
              <w:jc w:val="left"/>
              <w:rPr>
                <w:rFonts w:cs="Times New Roman"/>
                <w:kern w:val="0"/>
                <w:sz w:val="21"/>
                <w:szCs w:val="21"/>
                <w:highlight w:val="none"/>
              </w:rPr>
            </w:pPr>
            <w:r>
              <w:rPr>
                <w:rFonts w:cs="Times New Roman"/>
                <w:kern w:val="0"/>
                <w:sz w:val="21"/>
                <w:szCs w:val="21"/>
                <w:highlight w:val="none"/>
              </w:rPr>
              <w:t>利用土壤源热泵技术供热制冷项目，按照建筑面积每平方米奖补标准不高于40元；利用浅层地下水源热泵技术供热制冷项目，按照建筑面积每平方米奖补标准不高于30元；空气源热泵技术供热制冷项目，按照建筑面积每平方米奖补标准不高于20元;利用污水源及工业余热等低温热能热泵技术供热制冷项目，按照建筑面积每平方米奖补标准不高于15元。单个项目补助限额最多不超过200万元，奖补资金不得超过工程建设总投资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jc w:val="center"/>
        </w:trPr>
        <w:tc>
          <w:tcPr>
            <w:tcW w:w="450" w:type="dxa"/>
            <w:vAlign w:val="center"/>
          </w:tcPr>
          <w:p>
            <w:pPr>
              <w:spacing w:line="320" w:lineRule="exact"/>
              <w:ind w:firstLine="0" w:firstLineChars="0"/>
              <w:jc w:val="center"/>
              <w:rPr>
                <w:rFonts w:cs="Times New Roman"/>
                <w:kern w:val="0"/>
                <w:sz w:val="21"/>
                <w:szCs w:val="21"/>
                <w:highlight w:val="none"/>
              </w:rPr>
            </w:pPr>
            <w:r>
              <w:rPr>
                <w:rFonts w:cs="Times New Roman"/>
                <w:kern w:val="0"/>
                <w:sz w:val="21"/>
                <w:szCs w:val="21"/>
                <w:highlight w:val="none"/>
              </w:rPr>
              <w:t>2</w:t>
            </w:r>
          </w:p>
        </w:tc>
        <w:tc>
          <w:tcPr>
            <w:tcW w:w="651" w:type="dxa"/>
            <w:vAlign w:val="center"/>
          </w:tcPr>
          <w:p>
            <w:pPr>
              <w:spacing w:line="320" w:lineRule="exact"/>
              <w:ind w:firstLine="0" w:firstLineChars="0"/>
              <w:jc w:val="center"/>
              <w:rPr>
                <w:rFonts w:cs="Times New Roman"/>
                <w:kern w:val="0"/>
                <w:sz w:val="21"/>
                <w:szCs w:val="21"/>
                <w:highlight w:val="none"/>
              </w:rPr>
            </w:pPr>
            <w:r>
              <w:rPr>
                <w:rFonts w:cs="Times New Roman"/>
                <w:kern w:val="0"/>
                <w:sz w:val="21"/>
                <w:szCs w:val="21"/>
                <w:highlight w:val="none"/>
              </w:rPr>
              <w:t>装配式建筑项目</w:t>
            </w:r>
          </w:p>
        </w:tc>
        <w:tc>
          <w:tcPr>
            <w:tcW w:w="3466" w:type="dxa"/>
            <w:vAlign w:val="center"/>
          </w:tcPr>
          <w:p>
            <w:pPr>
              <w:spacing w:line="320" w:lineRule="exact"/>
              <w:ind w:firstLine="0" w:firstLineChars="0"/>
              <w:jc w:val="left"/>
              <w:rPr>
                <w:rFonts w:cs="Times New Roman"/>
                <w:kern w:val="0"/>
                <w:sz w:val="21"/>
                <w:szCs w:val="21"/>
                <w:highlight w:val="none"/>
              </w:rPr>
            </w:pPr>
            <w:r>
              <w:rPr>
                <w:rFonts w:cs="Times New Roman"/>
                <w:kern w:val="0"/>
                <w:sz w:val="21"/>
                <w:szCs w:val="21"/>
                <w:highlight w:val="none"/>
              </w:rPr>
              <w:t>住宅项目（PC结构、钢结构）或公建项目（钢结构）应满足《装配式建筑评价标准》（GT/T51129-2017）关于装配式建筑的相关要求，装配率不低于50%。</w:t>
            </w:r>
          </w:p>
        </w:tc>
        <w:tc>
          <w:tcPr>
            <w:tcW w:w="3955" w:type="dxa"/>
            <w:vAlign w:val="center"/>
          </w:tcPr>
          <w:p>
            <w:pPr>
              <w:spacing w:line="320" w:lineRule="exact"/>
              <w:ind w:firstLine="0" w:firstLineChars="0"/>
              <w:jc w:val="left"/>
              <w:rPr>
                <w:rFonts w:cs="Times New Roman"/>
                <w:kern w:val="0"/>
                <w:sz w:val="21"/>
                <w:szCs w:val="21"/>
                <w:highlight w:val="none"/>
              </w:rPr>
            </w:pPr>
            <w:r>
              <w:rPr>
                <w:rFonts w:cs="Times New Roman"/>
                <w:kern w:val="0"/>
                <w:sz w:val="21"/>
                <w:szCs w:val="21"/>
                <w:highlight w:val="none"/>
              </w:rPr>
              <w:t>按建筑面积每平方米奖补40元。单个项目补助限额最多不超过200万元，奖补资金不得超过工程建设总投资的50％。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jc w:val="center"/>
        </w:trPr>
        <w:tc>
          <w:tcPr>
            <w:tcW w:w="450" w:type="dxa"/>
            <w:vAlign w:val="center"/>
          </w:tcPr>
          <w:p>
            <w:pPr>
              <w:spacing w:line="320" w:lineRule="exact"/>
              <w:ind w:firstLine="0" w:firstLineChars="0"/>
              <w:jc w:val="center"/>
              <w:rPr>
                <w:rFonts w:cs="Times New Roman"/>
                <w:kern w:val="0"/>
                <w:sz w:val="21"/>
                <w:szCs w:val="21"/>
                <w:highlight w:val="none"/>
              </w:rPr>
            </w:pPr>
            <w:r>
              <w:rPr>
                <w:rFonts w:cs="Times New Roman"/>
                <w:kern w:val="0"/>
                <w:sz w:val="21"/>
                <w:szCs w:val="21"/>
                <w:highlight w:val="none"/>
              </w:rPr>
              <w:t>3</w:t>
            </w:r>
          </w:p>
        </w:tc>
        <w:tc>
          <w:tcPr>
            <w:tcW w:w="651" w:type="dxa"/>
            <w:vAlign w:val="center"/>
          </w:tcPr>
          <w:p>
            <w:pPr>
              <w:spacing w:line="320" w:lineRule="exact"/>
              <w:ind w:firstLine="0" w:firstLineChars="0"/>
              <w:jc w:val="center"/>
              <w:rPr>
                <w:rFonts w:cs="Times New Roman"/>
                <w:kern w:val="0"/>
                <w:sz w:val="21"/>
                <w:szCs w:val="21"/>
                <w:highlight w:val="none"/>
              </w:rPr>
            </w:pPr>
            <w:r>
              <w:rPr>
                <w:rFonts w:cs="Times New Roman"/>
                <w:kern w:val="0"/>
                <w:sz w:val="21"/>
                <w:szCs w:val="21"/>
                <w:highlight w:val="none"/>
              </w:rPr>
              <w:t>超低能耗建筑项目</w:t>
            </w:r>
          </w:p>
        </w:tc>
        <w:tc>
          <w:tcPr>
            <w:tcW w:w="3466" w:type="dxa"/>
            <w:vAlign w:val="center"/>
          </w:tcPr>
          <w:p>
            <w:pPr>
              <w:spacing w:line="320" w:lineRule="exact"/>
              <w:ind w:firstLine="0" w:firstLineChars="0"/>
              <w:jc w:val="left"/>
              <w:rPr>
                <w:rFonts w:cs="Times New Roman"/>
                <w:kern w:val="0"/>
                <w:sz w:val="21"/>
                <w:szCs w:val="21"/>
                <w:highlight w:val="none"/>
              </w:rPr>
            </w:pPr>
            <w:r>
              <w:rPr>
                <w:rFonts w:cs="Times New Roman"/>
                <w:kern w:val="0"/>
                <w:sz w:val="21"/>
                <w:szCs w:val="21"/>
                <w:highlight w:val="none"/>
              </w:rPr>
              <w:t>项目应满足《近零能耗建筑技术标准》（GB/T51350-2019）关于超低能耗建筑的相关要求。</w:t>
            </w:r>
          </w:p>
        </w:tc>
        <w:tc>
          <w:tcPr>
            <w:tcW w:w="3955" w:type="dxa"/>
            <w:vAlign w:val="center"/>
          </w:tcPr>
          <w:p>
            <w:pPr>
              <w:spacing w:line="320" w:lineRule="exact"/>
              <w:ind w:firstLine="0" w:firstLineChars="0"/>
              <w:jc w:val="left"/>
              <w:rPr>
                <w:rFonts w:cs="Times New Roman"/>
                <w:kern w:val="0"/>
                <w:sz w:val="21"/>
                <w:szCs w:val="21"/>
                <w:highlight w:val="none"/>
              </w:rPr>
            </w:pPr>
            <w:r>
              <w:rPr>
                <w:rFonts w:cs="Times New Roman"/>
                <w:kern w:val="0"/>
                <w:sz w:val="21"/>
                <w:szCs w:val="21"/>
                <w:highlight w:val="none"/>
              </w:rPr>
              <w:t>按建筑面积每平方米奖补600元。单个项目补助限额最多不超过300万元，奖补资金不得超过工程建设总投资的50％。</w:t>
            </w:r>
          </w:p>
        </w:tc>
      </w:tr>
    </w:tbl>
    <w:p>
      <w:pPr>
        <w:ind w:firstLine="560"/>
        <w:rPr>
          <w:rFonts w:cs="Times New Roman"/>
          <w:highlight w:val="none"/>
        </w:rPr>
      </w:pPr>
      <w:r>
        <w:rPr>
          <w:rFonts w:cs="Times New Roman"/>
          <w:highlight w:val="none"/>
        </w:rPr>
        <w:t>（2）实施情况</w:t>
      </w:r>
    </w:p>
    <w:p>
      <w:pPr>
        <w:ind w:firstLine="560"/>
        <w:rPr>
          <w:rFonts w:cs="Times New Roman"/>
          <w:highlight w:val="none"/>
        </w:rPr>
      </w:pPr>
      <w:r>
        <w:rPr>
          <w:rFonts w:cs="Times New Roman"/>
          <w:highlight w:val="none"/>
        </w:rPr>
        <w:t>吉林省建筑节能奖补资金2021-2023年支持项目类型均为可再生能源建筑应用项目，共支持项目13个和省级示范市、县6个。支持项目和示范市、县情况见表1-2。</w:t>
      </w:r>
    </w:p>
    <w:p>
      <w:pPr>
        <w:spacing w:before="60" w:after="60" w:line="240" w:lineRule="auto"/>
        <w:ind w:firstLine="0" w:firstLineChars="0"/>
        <w:jc w:val="center"/>
        <w:rPr>
          <w:rFonts w:cs="Times New Roman"/>
          <w:b/>
          <w:bCs/>
          <w:sz w:val="24"/>
          <w:szCs w:val="21"/>
          <w:highlight w:val="none"/>
        </w:rPr>
      </w:pPr>
      <w:r>
        <w:rPr>
          <w:rFonts w:cs="Times New Roman"/>
          <w:b/>
          <w:bCs/>
          <w:sz w:val="24"/>
          <w:szCs w:val="21"/>
          <w:highlight w:val="none"/>
        </w:rPr>
        <w:t>表1-2 2021-2023年度吉林省建筑节能奖补资金实施情况表</w:t>
      </w:r>
    </w:p>
    <w:tbl>
      <w:tblPr>
        <w:tblStyle w:val="21"/>
        <w:tblW w:w="8316" w:type="dxa"/>
        <w:jc w:val="center"/>
        <w:tblInd w:w="0" w:type="dxa"/>
        <w:tblLayout w:type="fixed"/>
        <w:tblCellMar>
          <w:top w:w="0" w:type="dxa"/>
          <w:left w:w="0" w:type="dxa"/>
          <w:bottom w:w="0" w:type="dxa"/>
          <w:right w:w="0" w:type="dxa"/>
        </w:tblCellMar>
      </w:tblPr>
      <w:tblGrid>
        <w:gridCol w:w="376"/>
        <w:gridCol w:w="685"/>
        <w:gridCol w:w="3974"/>
        <w:gridCol w:w="1633"/>
        <w:gridCol w:w="1648"/>
      </w:tblGrid>
      <w:tr>
        <w:tblPrEx>
          <w:tblLayout w:type="fixed"/>
        </w:tblPrEx>
        <w:trPr>
          <w:trHeight w:val="459" w:hRule="atLeast"/>
          <w:tblHeader/>
          <w:jc w:val="center"/>
        </w:trPr>
        <w:tc>
          <w:tcPr>
            <w:tcW w:w="376" w:type="dxa"/>
            <w:tcBorders>
              <w:top w:val="single" w:color="auto" w:sz="4" w:space="0"/>
              <w:left w:val="single" w:color="auto" w:sz="4" w:space="0"/>
              <w:bottom w:val="single" w:color="auto" w:sz="4" w:space="0"/>
              <w:right w:val="single" w:color="auto" w:sz="4" w:space="0"/>
            </w:tcBorders>
            <w:shd w:val="clear" w:color="000000" w:fill="AEAAAA" w:themeFill="background2" w:themeFillShade="BF"/>
            <w:vAlign w:val="center"/>
          </w:tcPr>
          <w:p>
            <w:pPr>
              <w:widowControl/>
              <w:spacing w:line="320" w:lineRule="exact"/>
              <w:ind w:firstLine="0" w:firstLineChars="0"/>
              <w:jc w:val="center"/>
              <w:rPr>
                <w:rFonts w:cs="Times New Roman"/>
                <w:b/>
                <w:bCs/>
                <w:kern w:val="0"/>
                <w:sz w:val="21"/>
                <w:szCs w:val="21"/>
                <w:highlight w:val="none"/>
              </w:rPr>
            </w:pPr>
            <w:r>
              <w:rPr>
                <w:rFonts w:cs="Times New Roman"/>
                <w:b/>
                <w:bCs/>
                <w:kern w:val="0"/>
                <w:sz w:val="21"/>
                <w:szCs w:val="21"/>
                <w:highlight w:val="none"/>
              </w:rPr>
              <w:t>序号</w:t>
            </w:r>
          </w:p>
        </w:tc>
        <w:tc>
          <w:tcPr>
            <w:tcW w:w="685" w:type="dxa"/>
            <w:tcBorders>
              <w:top w:val="single" w:color="auto" w:sz="4" w:space="0"/>
              <w:left w:val="nil"/>
              <w:bottom w:val="single" w:color="auto" w:sz="4" w:space="0"/>
              <w:right w:val="single" w:color="auto" w:sz="4" w:space="0"/>
            </w:tcBorders>
            <w:shd w:val="clear" w:color="000000" w:fill="AEAAAA" w:themeFill="background2" w:themeFillShade="BF"/>
            <w:vAlign w:val="center"/>
          </w:tcPr>
          <w:p>
            <w:pPr>
              <w:widowControl/>
              <w:spacing w:line="320" w:lineRule="exact"/>
              <w:ind w:firstLine="0" w:firstLineChars="0"/>
              <w:jc w:val="center"/>
              <w:rPr>
                <w:rFonts w:cs="Times New Roman"/>
                <w:b/>
                <w:bCs/>
                <w:kern w:val="0"/>
                <w:sz w:val="21"/>
                <w:szCs w:val="21"/>
                <w:highlight w:val="none"/>
              </w:rPr>
            </w:pPr>
            <w:r>
              <w:rPr>
                <w:rFonts w:cs="Times New Roman"/>
                <w:b/>
                <w:bCs/>
                <w:kern w:val="0"/>
                <w:sz w:val="21"/>
                <w:szCs w:val="21"/>
                <w:highlight w:val="none"/>
              </w:rPr>
              <w:t>所属地区</w:t>
            </w:r>
          </w:p>
        </w:tc>
        <w:tc>
          <w:tcPr>
            <w:tcW w:w="3974" w:type="dxa"/>
            <w:tcBorders>
              <w:top w:val="single" w:color="auto" w:sz="4" w:space="0"/>
              <w:left w:val="nil"/>
              <w:bottom w:val="single" w:color="auto" w:sz="4" w:space="0"/>
              <w:right w:val="single" w:color="auto" w:sz="4" w:space="0"/>
            </w:tcBorders>
            <w:shd w:val="clear" w:color="000000" w:fill="AEAAAA" w:themeFill="background2" w:themeFillShade="BF"/>
            <w:vAlign w:val="center"/>
          </w:tcPr>
          <w:p>
            <w:pPr>
              <w:widowControl/>
              <w:spacing w:line="320" w:lineRule="exact"/>
              <w:ind w:firstLine="0" w:firstLineChars="0"/>
              <w:jc w:val="center"/>
              <w:rPr>
                <w:rFonts w:cs="Times New Roman"/>
                <w:b/>
                <w:bCs/>
                <w:kern w:val="0"/>
                <w:sz w:val="21"/>
                <w:szCs w:val="21"/>
                <w:highlight w:val="none"/>
              </w:rPr>
            </w:pPr>
            <w:r>
              <w:rPr>
                <w:rFonts w:cs="Times New Roman"/>
                <w:b/>
                <w:bCs/>
                <w:kern w:val="0"/>
                <w:sz w:val="21"/>
                <w:szCs w:val="21"/>
                <w:highlight w:val="none"/>
              </w:rPr>
              <w:t>项目名称/示范市县名称</w:t>
            </w:r>
          </w:p>
        </w:tc>
        <w:tc>
          <w:tcPr>
            <w:tcW w:w="1633" w:type="dxa"/>
            <w:tcBorders>
              <w:top w:val="single" w:color="auto" w:sz="4" w:space="0"/>
              <w:left w:val="nil"/>
              <w:bottom w:val="single" w:color="auto" w:sz="4" w:space="0"/>
              <w:right w:val="single" w:color="auto" w:sz="4" w:space="0"/>
            </w:tcBorders>
            <w:shd w:val="clear" w:color="000000" w:fill="AEAAAA" w:themeFill="background2" w:themeFillShade="BF"/>
            <w:vAlign w:val="center"/>
          </w:tcPr>
          <w:p>
            <w:pPr>
              <w:widowControl/>
              <w:spacing w:line="320" w:lineRule="exact"/>
              <w:ind w:firstLine="0" w:firstLineChars="0"/>
              <w:jc w:val="center"/>
              <w:rPr>
                <w:rFonts w:cs="Times New Roman"/>
                <w:b/>
                <w:bCs/>
                <w:kern w:val="0"/>
                <w:sz w:val="21"/>
                <w:szCs w:val="21"/>
                <w:highlight w:val="none"/>
              </w:rPr>
            </w:pPr>
            <w:r>
              <w:rPr>
                <w:rFonts w:cs="Times New Roman"/>
                <w:b/>
                <w:bCs/>
                <w:kern w:val="0"/>
                <w:sz w:val="21"/>
                <w:szCs w:val="21"/>
                <w:highlight w:val="none"/>
              </w:rPr>
              <w:t>应用形式</w:t>
            </w:r>
          </w:p>
        </w:tc>
        <w:tc>
          <w:tcPr>
            <w:tcW w:w="1648" w:type="dxa"/>
            <w:tcBorders>
              <w:top w:val="single" w:color="auto" w:sz="4" w:space="0"/>
              <w:left w:val="nil"/>
              <w:bottom w:val="single" w:color="auto" w:sz="4" w:space="0"/>
              <w:right w:val="single" w:color="auto" w:sz="4" w:space="0"/>
            </w:tcBorders>
            <w:shd w:val="clear" w:color="000000" w:fill="AEAAAA" w:themeFill="background2" w:themeFillShade="BF"/>
            <w:vAlign w:val="center"/>
          </w:tcPr>
          <w:p>
            <w:pPr>
              <w:widowControl/>
              <w:spacing w:line="320" w:lineRule="exact"/>
              <w:ind w:firstLine="0" w:firstLineChars="0"/>
              <w:jc w:val="center"/>
              <w:rPr>
                <w:rFonts w:cs="Times New Roman"/>
                <w:b/>
                <w:bCs/>
                <w:kern w:val="0"/>
                <w:sz w:val="21"/>
                <w:szCs w:val="21"/>
                <w:highlight w:val="none"/>
              </w:rPr>
            </w:pPr>
            <w:r>
              <w:rPr>
                <w:rFonts w:cs="Times New Roman"/>
                <w:b/>
                <w:bCs/>
                <w:kern w:val="0"/>
                <w:sz w:val="21"/>
                <w:szCs w:val="21"/>
                <w:highlight w:val="none"/>
              </w:rPr>
              <w:t>示范面积（万m</w:t>
            </w:r>
            <w:r>
              <w:rPr>
                <w:rFonts w:cs="Times New Roman"/>
                <w:b/>
                <w:bCs/>
                <w:kern w:val="0"/>
                <w:sz w:val="21"/>
                <w:szCs w:val="21"/>
                <w:highlight w:val="none"/>
                <w:vertAlign w:val="superscript"/>
              </w:rPr>
              <w:t>2</w:t>
            </w:r>
            <w:r>
              <w:rPr>
                <w:rFonts w:cs="Times New Roman"/>
                <w:b/>
                <w:bCs/>
                <w:kern w:val="0"/>
                <w:sz w:val="21"/>
                <w:szCs w:val="21"/>
                <w:highlight w:val="none"/>
              </w:rPr>
              <w:t>）</w:t>
            </w:r>
          </w:p>
        </w:tc>
      </w:tr>
      <w:tr>
        <w:tblPrEx>
          <w:tblLayout w:type="fixed"/>
        </w:tblPrEx>
        <w:trPr>
          <w:trHeight w:val="623" w:hRule="atLeast"/>
          <w:jc w:val="center"/>
        </w:trPr>
        <w:tc>
          <w:tcPr>
            <w:tcW w:w="37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一</w:t>
            </w:r>
          </w:p>
        </w:tc>
        <w:tc>
          <w:tcPr>
            <w:tcW w:w="79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2021年</w:t>
            </w:r>
          </w:p>
        </w:tc>
      </w:tr>
      <w:tr>
        <w:tblPrEx>
          <w:tblLayout w:type="fixed"/>
          <w:tblCellMar>
            <w:top w:w="0" w:type="dxa"/>
            <w:left w:w="0" w:type="dxa"/>
            <w:bottom w:w="0" w:type="dxa"/>
            <w:right w:w="0" w:type="dxa"/>
          </w:tblCellMar>
        </w:tblPrEx>
        <w:trPr>
          <w:trHeight w:val="623" w:hRule="atLeast"/>
          <w:jc w:val="center"/>
        </w:trPr>
        <w:tc>
          <w:tcPr>
            <w:tcW w:w="37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1</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吉林</w:t>
            </w:r>
          </w:p>
        </w:tc>
        <w:tc>
          <w:tcPr>
            <w:tcW w:w="397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吉林市船营区总部大厦空气源采暖项目</w:t>
            </w:r>
          </w:p>
        </w:tc>
        <w:tc>
          <w:tcPr>
            <w:tcW w:w="163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空气源热泵</w:t>
            </w:r>
          </w:p>
        </w:tc>
        <w:tc>
          <w:tcPr>
            <w:tcW w:w="16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 xml:space="preserve">1.74 </w:t>
            </w:r>
          </w:p>
        </w:tc>
      </w:tr>
      <w:tr>
        <w:tblPrEx>
          <w:tblLayout w:type="fixed"/>
          <w:tblCellMar>
            <w:top w:w="0" w:type="dxa"/>
            <w:left w:w="0" w:type="dxa"/>
            <w:bottom w:w="0" w:type="dxa"/>
            <w:right w:w="0" w:type="dxa"/>
          </w:tblCellMar>
        </w:tblPrEx>
        <w:trPr>
          <w:trHeight w:val="623" w:hRule="atLeast"/>
          <w:jc w:val="center"/>
        </w:trPr>
        <w:tc>
          <w:tcPr>
            <w:tcW w:w="37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2</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辽源</w:t>
            </w:r>
          </w:p>
        </w:tc>
        <w:tc>
          <w:tcPr>
            <w:tcW w:w="397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辽源市诺丁山文化创意产业园项目（一期）</w:t>
            </w:r>
          </w:p>
        </w:tc>
        <w:tc>
          <w:tcPr>
            <w:tcW w:w="163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空气源热泵</w:t>
            </w:r>
          </w:p>
        </w:tc>
        <w:tc>
          <w:tcPr>
            <w:tcW w:w="16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 xml:space="preserve">1.43 </w:t>
            </w:r>
          </w:p>
        </w:tc>
      </w:tr>
      <w:tr>
        <w:tblPrEx>
          <w:tblLayout w:type="fixed"/>
          <w:tblCellMar>
            <w:top w:w="0" w:type="dxa"/>
            <w:left w:w="0" w:type="dxa"/>
            <w:bottom w:w="0" w:type="dxa"/>
            <w:right w:w="0" w:type="dxa"/>
          </w:tblCellMar>
        </w:tblPrEx>
        <w:trPr>
          <w:trHeight w:val="623" w:hRule="atLeast"/>
          <w:jc w:val="center"/>
        </w:trPr>
        <w:tc>
          <w:tcPr>
            <w:tcW w:w="37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3</w:t>
            </w:r>
          </w:p>
        </w:tc>
        <w:tc>
          <w:tcPr>
            <w:tcW w:w="685" w:type="dxa"/>
            <w:vMerge w:val="restart"/>
            <w:tcBorders>
              <w:top w:val="single" w:color="auto" w:sz="4" w:space="0"/>
              <w:left w:val="single" w:color="auto" w:sz="4" w:space="0"/>
              <w:right w:val="single" w:color="auto" w:sz="4" w:space="0"/>
            </w:tcBorders>
            <w:shd w:val="clear" w:color="auto" w:fill="auto"/>
            <w:vAlign w:val="center"/>
          </w:tcPr>
          <w:p>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图们</w:t>
            </w:r>
          </w:p>
        </w:tc>
        <w:tc>
          <w:tcPr>
            <w:tcW w:w="397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 xml:space="preserve">凉水镇民族联合学校 </w:t>
            </w:r>
          </w:p>
        </w:tc>
        <w:tc>
          <w:tcPr>
            <w:tcW w:w="163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空气源热泵</w:t>
            </w:r>
          </w:p>
        </w:tc>
        <w:tc>
          <w:tcPr>
            <w:tcW w:w="16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 xml:space="preserve">0.67 </w:t>
            </w:r>
          </w:p>
        </w:tc>
      </w:tr>
      <w:tr>
        <w:tblPrEx>
          <w:tblLayout w:type="fixed"/>
          <w:tblCellMar>
            <w:top w:w="0" w:type="dxa"/>
            <w:left w:w="0" w:type="dxa"/>
            <w:bottom w:w="0" w:type="dxa"/>
            <w:right w:w="0" w:type="dxa"/>
          </w:tblCellMar>
        </w:tblPrEx>
        <w:trPr>
          <w:trHeight w:val="623" w:hRule="atLeast"/>
          <w:jc w:val="center"/>
        </w:trPr>
        <w:tc>
          <w:tcPr>
            <w:tcW w:w="37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4</w:t>
            </w:r>
          </w:p>
        </w:tc>
        <w:tc>
          <w:tcPr>
            <w:tcW w:w="685" w:type="dxa"/>
            <w:vMerge w:val="continue"/>
            <w:tcBorders>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eastAsia="仿宋" w:cs="Times New Roman"/>
                <w:kern w:val="0"/>
                <w:sz w:val="21"/>
                <w:szCs w:val="21"/>
                <w:highlight w:val="none"/>
              </w:rPr>
            </w:pPr>
          </w:p>
        </w:tc>
        <w:tc>
          <w:tcPr>
            <w:tcW w:w="397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图们市客运站空气源热泵示范项目</w:t>
            </w:r>
          </w:p>
        </w:tc>
        <w:tc>
          <w:tcPr>
            <w:tcW w:w="163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空气源热泵</w:t>
            </w:r>
          </w:p>
        </w:tc>
        <w:tc>
          <w:tcPr>
            <w:tcW w:w="16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 xml:space="preserve">0.91 </w:t>
            </w:r>
          </w:p>
        </w:tc>
      </w:tr>
      <w:tr>
        <w:tblPrEx>
          <w:tblLayout w:type="fixed"/>
          <w:tblCellMar>
            <w:top w:w="0" w:type="dxa"/>
            <w:left w:w="0" w:type="dxa"/>
            <w:bottom w:w="0" w:type="dxa"/>
            <w:right w:w="0" w:type="dxa"/>
          </w:tblCellMar>
        </w:tblPrEx>
        <w:trPr>
          <w:trHeight w:val="623" w:hRule="atLeast"/>
          <w:jc w:val="center"/>
        </w:trPr>
        <w:tc>
          <w:tcPr>
            <w:tcW w:w="37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5</w:t>
            </w:r>
          </w:p>
        </w:tc>
        <w:tc>
          <w:tcPr>
            <w:tcW w:w="685" w:type="dxa"/>
            <w:vMerge w:val="restart"/>
            <w:tcBorders>
              <w:top w:val="single" w:color="auto" w:sz="4" w:space="0"/>
              <w:left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图们</w:t>
            </w:r>
          </w:p>
        </w:tc>
        <w:tc>
          <w:tcPr>
            <w:tcW w:w="397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图们市凉水镇中心小学（第二中学）空气源热泵示范项目</w:t>
            </w:r>
          </w:p>
        </w:tc>
        <w:tc>
          <w:tcPr>
            <w:tcW w:w="163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空气源热泵</w:t>
            </w:r>
          </w:p>
        </w:tc>
        <w:tc>
          <w:tcPr>
            <w:tcW w:w="16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 xml:space="preserve">0.35 </w:t>
            </w:r>
          </w:p>
        </w:tc>
      </w:tr>
      <w:tr>
        <w:tblPrEx>
          <w:tblLayout w:type="fixed"/>
          <w:tblCellMar>
            <w:top w:w="0" w:type="dxa"/>
            <w:left w:w="0" w:type="dxa"/>
            <w:bottom w:w="0" w:type="dxa"/>
            <w:right w:w="0" w:type="dxa"/>
          </w:tblCellMar>
        </w:tblPrEx>
        <w:trPr>
          <w:trHeight w:val="623" w:hRule="atLeast"/>
          <w:jc w:val="center"/>
        </w:trPr>
        <w:tc>
          <w:tcPr>
            <w:tcW w:w="37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6</w:t>
            </w:r>
          </w:p>
        </w:tc>
        <w:tc>
          <w:tcPr>
            <w:tcW w:w="685" w:type="dxa"/>
            <w:vMerge w:val="continue"/>
            <w:tcBorders>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eastAsia="仿宋" w:cs="Times New Roman"/>
                <w:kern w:val="0"/>
                <w:sz w:val="21"/>
                <w:szCs w:val="21"/>
                <w:highlight w:val="none"/>
              </w:rPr>
            </w:pPr>
          </w:p>
        </w:tc>
        <w:tc>
          <w:tcPr>
            <w:tcW w:w="397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 xml:space="preserve">图们市铁东区基础设施建设配套特勤消防站  </w:t>
            </w:r>
          </w:p>
        </w:tc>
        <w:tc>
          <w:tcPr>
            <w:tcW w:w="163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空气源热泵</w:t>
            </w:r>
          </w:p>
        </w:tc>
        <w:tc>
          <w:tcPr>
            <w:tcW w:w="16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 xml:space="preserve">0.47 </w:t>
            </w:r>
          </w:p>
        </w:tc>
      </w:tr>
      <w:tr>
        <w:tblPrEx>
          <w:tblLayout w:type="fixed"/>
          <w:tblCellMar>
            <w:top w:w="0" w:type="dxa"/>
            <w:left w:w="0" w:type="dxa"/>
            <w:bottom w:w="0" w:type="dxa"/>
            <w:right w:w="0" w:type="dxa"/>
          </w:tblCellMar>
        </w:tblPrEx>
        <w:trPr>
          <w:trHeight w:val="623" w:hRule="atLeast"/>
          <w:jc w:val="center"/>
        </w:trPr>
        <w:tc>
          <w:tcPr>
            <w:tcW w:w="37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7</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集安</w:t>
            </w:r>
          </w:p>
        </w:tc>
        <w:tc>
          <w:tcPr>
            <w:tcW w:w="397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青石、望江移民安置房空气源热泵示范项目</w:t>
            </w:r>
          </w:p>
        </w:tc>
        <w:tc>
          <w:tcPr>
            <w:tcW w:w="163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空气源热泵</w:t>
            </w:r>
          </w:p>
        </w:tc>
        <w:tc>
          <w:tcPr>
            <w:tcW w:w="16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 xml:space="preserve">1.50 </w:t>
            </w:r>
          </w:p>
        </w:tc>
      </w:tr>
      <w:tr>
        <w:tblPrEx>
          <w:tblLayout w:type="fixed"/>
          <w:tblCellMar>
            <w:top w:w="0" w:type="dxa"/>
            <w:left w:w="0" w:type="dxa"/>
            <w:bottom w:w="0" w:type="dxa"/>
            <w:right w:w="0" w:type="dxa"/>
          </w:tblCellMar>
        </w:tblPrEx>
        <w:trPr>
          <w:trHeight w:val="623" w:hRule="atLeast"/>
          <w:jc w:val="center"/>
        </w:trPr>
        <w:tc>
          <w:tcPr>
            <w:tcW w:w="37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8</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珲春</w:t>
            </w:r>
          </w:p>
        </w:tc>
        <w:tc>
          <w:tcPr>
            <w:tcW w:w="397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珲春长白山农贸海鲜批发中心水源热泵示范项目</w:t>
            </w:r>
          </w:p>
        </w:tc>
        <w:tc>
          <w:tcPr>
            <w:tcW w:w="163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地下水源热泵</w:t>
            </w:r>
          </w:p>
        </w:tc>
        <w:tc>
          <w:tcPr>
            <w:tcW w:w="16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 xml:space="preserve">5.68 </w:t>
            </w:r>
          </w:p>
        </w:tc>
      </w:tr>
      <w:tr>
        <w:tblPrEx>
          <w:tblLayout w:type="fixed"/>
          <w:tblCellMar>
            <w:top w:w="0" w:type="dxa"/>
            <w:left w:w="0" w:type="dxa"/>
            <w:bottom w:w="0" w:type="dxa"/>
            <w:right w:w="0" w:type="dxa"/>
          </w:tblCellMar>
        </w:tblPrEx>
        <w:trPr>
          <w:trHeight w:val="623" w:hRule="atLeast"/>
          <w:jc w:val="center"/>
        </w:trPr>
        <w:tc>
          <w:tcPr>
            <w:tcW w:w="37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p>
        </w:tc>
        <w:tc>
          <w:tcPr>
            <w:tcW w:w="46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小计</w:t>
            </w:r>
          </w:p>
        </w:tc>
        <w:tc>
          <w:tcPr>
            <w:tcW w:w="163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b/>
                <w:kern w:val="0"/>
                <w:sz w:val="21"/>
                <w:szCs w:val="21"/>
                <w:highlight w:val="none"/>
              </w:rPr>
            </w:pPr>
          </w:p>
        </w:tc>
        <w:tc>
          <w:tcPr>
            <w:tcW w:w="16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12.74</w:t>
            </w:r>
          </w:p>
        </w:tc>
      </w:tr>
      <w:tr>
        <w:tblPrEx>
          <w:tblLayout w:type="fixed"/>
          <w:tblCellMar>
            <w:top w:w="0" w:type="dxa"/>
            <w:left w:w="0" w:type="dxa"/>
            <w:bottom w:w="0" w:type="dxa"/>
            <w:right w:w="0" w:type="dxa"/>
          </w:tblCellMar>
        </w:tblPrEx>
        <w:trPr>
          <w:trHeight w:val="623" w:hRule="atLeast"/>
          <w:jc w:val="center"/>
        </w:trPr>
        <w:tc>
          <w:tcPr>
            <w:tcW w:w="37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二</w:t>
            </w:r>
          </w:p>
        </w:tc>
        <w:tc>
          <w:tcPr>
            <w:tcW w:w="79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2022年</w:t>
            </w:r>
          </w:p>
        </w:tc>
      </w:tr>
      <w:tr>
        <w:tblPrEx>
          <w:tblLayout w:type="fixed"/>
          <w:tblCellMar>
            <w:top w:w="0" w:type="dxa"/>
            <w:left w:w="0" w:type="dxa"/>
            <w:bottom w:w="0" w:type="dxa"/>
            <w:right w:w="0" w:type="dxa"/>
          </w:tblCellMar>
        </w:tblPrEx>
        <w:trPr>
          <w:trHeight w:val="623" w:hRule="atLeast"/>
          <w:jc w:val="center"/>
        </w:trPr>
        <w:tc>
          <w:tcPr>
            <w:tcW w:w="37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1</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长春市</w:t>
            </w:r>
          </w:p>
        </w:tc>
        <w:tc>
          <w:tcPr>
            <w:tcW w:w="397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长春市</w:t>
            </w:r>
          </w:p>
        </w:tc>
        <w:tc>
          <w:tcPr>
            <w:tcW w:w="163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土壤源热泵、空气源热泵</w:t>
            </w:r>
          </w:p>
        </w:tc>
        <w:tc>
          <w:tcPr>
            <w:tcW w:w="1648" w:type="dxa"/>
            <w:tcBorders>
              <w:top w:val="nil"/>
              <w:left w:val="nil"/>
              <w:bottom w:val="single" w:color="auto" w:sz="4" w:space="0"/>
              <w:right w:val="single" w:color="auto" w:sz="4" w:space="0"/>
            </w:tcBorders>
            <w:shd w:val="clear" w:color="auto" w:fill="FFFFFF" w:themeFill="background1"/>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21.40</w:t>
            </w:r>
          </w:p>
        </w:tc>
      </w:tr>
      <w:tr>
        <w:tblPrEx>
          <w:tblLayout w:type="fixed"/>
          <w:tblCellMar>
            <w:top w:w="0" w:type="dxa"/>
            <w:left w:w="0" w:type="dxa"/>
            <w:bottom w:w="0" w:type="dxa"/>
            <w:right w:w="0" w:type="dxa"/>
          </w:tblCellMar>
        </w:tblPrEx>
        <w:trPr>
          <w:trHeight w:val="623" w:hRule="atLeast"/>
          <w:jc w:val="center"/>
        </w:trPr>
        <w:tc>
          <w:tcPr>
            <w:tcW w:w="37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2</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吉林市</w:t>
            </w:r>
          </w:p>
        </w:tc>
        <w:tc>
          <w:tcPr>
            <w:tcW w:w="397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吉林市</w:t>
            </w:r>
          </w:p>
        </w:tc>
        <w:tc>
          <w:tcPr>
            <w:tcW w:w="163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污水源热泵</w:t>
            </w:r>
          </w:p>
        </w:tc>
        <w:tc>
          <w:tcPr>
            <w:tcW w:w="1648" w:type="dxa"/>
            <w:tcBorders>
              <w:top w:val="nil"/>
              <w:left w:val="nil"/>
              <w:bottom w:val="single" w:color="auto" w:sz="4" w:space="0"/>
              <w:right w:val="single" w:color="auto" w:sz="4" w:space="0"/>
            </w:tcBorders>
            <w:shd w:val="clear" w:color="auto" w:fill="FFFFFF" w:themeFill="background1"/>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19.40</w:t>
            </w:r>
          </w:p>
        </w:tc>
      </w:tr>
      <w:tr>
        <w:tblPrEx>
          <w:tblLayout w:type="fixed"/>
          <w:tblCellMar>
            <w:top w:w="0" w:type="dxa"/>
            <w:left w:w="0" w:type="dxa"/>
            <w:bottom w:w="0" w:type="dxa"/>
            <w:right w:w="0" w:type="dxa"/>
          </w:tblCellMar>
        </w:tblPrEx>
        <w:trPr>
          <w:trHeight w:val="623" w:hRule="atLeast"/>
          <w:jc w:val="center"/>
        </w:trPr>
        <w:tc>
          <w:tcPr>
            <w:tcW w:w="37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3</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安图县</w:t>
            </w:r>
          </w:p>
        </w:tc>
        <w:tc>
          <w:tcPr>
            <w:tcW w:w="397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安图县</w:t>
            </w:r>
          </w:p>
        </w:tc>
        <w:tc>
          <w:tcPr>
            <w:tcW w:w="163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空气源热泵</w:t>
            </w:r>
          </w:p>
        </w:tc>
        <w:tc>
          <w:tcPr>
            <w:tcW w:w="1648" w:type="dxa"/>
            <w:tcBorders>
              <w:top w:val="nil"/>
              <w:left w:val="nil"/>
              <w:bottom w:val="single" w:color="auto" w:sz="4" w:space="0"/>
              <w:right w:val="single" w:color="auto" w:sz="4" w:space="0"/>
            </w:tcBorders>
            <w:shd w:val="clear" w:color="auto" w:fill="FFFFFF" w:themeFill="background1"/>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10.96</w:t>
            </w:r>
          </w:p>
        </w:tc>
      </w:tr>
      <w:tr>
        <w:tblPrEx>
          <w:tblLayout w:type="fixed"/>
          <w:tblCellMar>
            <w:top w:w="0" w:type="dxa"/>
            <w:left w:w="0" w:type="dxa"/>
            <w:bottom w:w="0" w:type="dxa"/>
            <w:right w:w="0" w:type="dxa"/>
          </w:tblCellMar>
        </w:tblPrEx>
        <w:trPr>
          <w:trHeight w:val="623" w:hRule="atLeast"/>
          <w:jc w:val="center"/>
        </w:trPr>
        <w:tc>
          <w:tcPr>
            <w:tcW w:w="37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4</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珲春市</w:t>
            </w:r>
          </w:p>
        </w:tc>
        <w:tc>
          <w:tcPr>
            <w:tcW w:w="397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珲春市</w:t>
            </w:r>
          </w:p>
        </w:tc>
        <w:tc>
          <w:tcPr>
            <w:tcW w:w="163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空气源热泵</w:t>
            </w:r>
          </w:p>
        </w:tc>
        <w:tc>
          <w:tcPr>
            <w:tcW w:w="1648" w:type="dxa"/>
            <w:tcBorders>
              <w:top w:val="nil"/>
              <w:left w:val="nil"/>
              <w:bottom w:val="single" w:color="auto" w:sz="4" w:space="0"/>
              <w:right w:val="single" w:color="auto" w:sz="4" w:space="0"/>
            </w:tcBorders>
            <w:shd w:val="clear" w:color="auto" w:fill="FFFFFF" w:themeFill="background1"/>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9.81</w:t>
            </w:r>
          </w:p>
        </w:tc>
      </w:tr>
      <w:tr>
        <w:tblPrEx>
          <w:tblLayout w:type="fixed"/>
          <w:tblCellMar>
            <w:top w:w="0" w:type="dxa"/>
            <w:left w:w="0" w:type="dxa"/>
            <w:bottom w:w="0" w:type="dxa"/>
            <w:right w:w="0" w:type="dxa"/>
          </w:tblCellMar>
        </w:tblPrEx>
        <w:trPr>
          <w:trHeight w:val="623" w:hRule="atLeast"/>
          <w:jc w:val="center"/>
        </w:trPr>
        <w:tc>
          <w:tcPr>
            <w:tcW w:w="37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5</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敦化市</w:t>
            </w:r>
          </w:p>
        </w:tc>
        <w:tc>
          <w:tcPr>
            <w:tcW w:w="397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敦化市</w:t>
            </w:r>
          </w:p>
        </w:tc>
        <w:tc>
          <w:tcPr>
            <w:tcW w:w="163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地下水源热泵</w:t>
            </w:r>
          </w:p>
        </w:tc>
        <w:tc>
          <w:tcPr>
            <w:tcW w:w="1648" w:type="dxa"/>
            <w:tcBorders>
              <w:top w:val="nil"/>
              <w:left w:val="nil"/>
              <w:bottom w:val="single" w:color="auto" w:sz="4" w:space="0"/>
              <w:right w:val="single" w:color="auto" w:sz="4" w:space="0"/>
            </w:tcBorders>
            <w:shd w:val="clear" w:color="auto" w:fill="FFFFFF" w:themeFill="background1"/>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10.84</w:t>
            </w:r>
          </w:p>
        </w:tc>
      </w:tr>
      <w:tr>
        <w:tblPrEx>
          <w:tblLayout w:type="fixed"/>
          <w:tblCellMar>
            <w:top w:w="0" w:type="dxa"/>
            <w:left w:w="0" w:type="dxa"/>
            <w:bottom w:w="0" w:type="dxa"/>
            <w:right w:w="0" w:type="dxa"/>
          </w:tblCellMar>
        </w:tblPrEx>
        <w:trPr>
          <w:trHeight w:val="623" w:hRule="atLeast"/>
          <w:jc w:val="center"/>
        </w:trPr>
        <w:tc>
          <w:tcPr>
            <w:tcW w:w="37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6</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临江市</w:t>
            </w:r>
          </w:p>
        </w:tc>
        <w:tc>
          <w:tcPr>
            <w:tcW w:w="397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临江市</w:t>
            </w:r>
          </w:p>
        </w:tc>
        <w:tc>
          <w:tcPr>
            <w:tcW w:w="163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空气源热泵</w:t>
            </w:r>
          </w:p>
        </w:tc>
        <w:tc>
          <w:tcPr>
            <w:tcW w:w="1648" w:type="dxa"/>
            <w:tcBorders>
              <w:top w:val="nil"/>
              <w:left w:val="nil"/>
              <w:bottom w:val="single" w:color="auto" w:sz="4" w:space="0"/>
              <w:right w:val="single" w:color="auto" w:sz="4" w:space="0"/>
            </w:tcBorders>
            <w:shd w:val="clear" w:color="auto" w:fill="FFFFFF" w:themeFill="background1"/>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10.50</w:t>
            </w:r>
          </w:p>
        </w:tc>
      </w:tr>
      <w:tr>
        <w:tblPrEx>
          <w:tblLayout w:type="fixed"/>
          <w:tblCellMar>
            <w:top w:w="0" w:type="dxa"/>
            <w:left w:w="0" w:type="dxa"/>
            <w:bottom w:w="0" w:type="dxa"/>
            <w:right w:w="0" w:type="dxa"/>
          </w:tblCellMar>
        </w:tblPrEx>
        <w:trPr>
          <w:trHeight w:val="623" w:hRule="atLeast"/>
          <w:jc w:val="center"/>
        </w:trPr>
        <w:tc>
          <w:tcPr>
            <w:tcW w:w="37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p>
        </w:tc>
        <w:tc>
          <w:tcPr>
            <w:tcW w:w="46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小计</w:t>
            </w:r>
          </w:p>
        </w:tc>
        <w:tc>
          <w:tcPr>
            <w:tcW w:w="163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b/>
                <w:kern w:val="0"/>
                <w:sz w:val="21"/>
                <w:szCs w:val="21"/>
                <w:highlight w:val="none"/>
              </w:rPr>
            </w:pPr>
          </w:p>
        </w:tc>
        <w:tc>
          <w:tcPr>
            <w:tcW w:w="1648" w:type="dxa"/>
            <w:tcBorders>
              <w:top w:val="nil"/>
              <w:left w:val="nil"/>
              <w:bottom w:val="single" w:color="auto" w:sz="4" w:space="0"/>
              <w:right w:val="single" w:color="auto" w:sz="4" w:space="0"/>
            </w:tcBorders>
            <w:shd w:val="clear" w:color="auto" w:fill="FFFFFF" w:themeFill="background1"/>
            <w:vAlign w:val="center"/>
          </w:tcPr>
          <w:p>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82.91</w:t>
            </w:r>
          </w:p>
        </w:tc>
      </w:tr>
      <w:tr>
        <w:tblPrEx>
          <w:tblLayout w:type="fixed"/>
          <w:tblCellMar>
            <w:top w:w="0" w:type="dxa"/>
            <w:left w:w="0" w:type="dxa"/>
            <w:bottom w:w="0" w:type="dxa"/>
            <w:right w:w="0" w:type="dxa"/>
          </w:tblCellMar>
        </w:tblPrEx>
        <w:trPr>
          <w:trHeight w:val="623" w:hRule="atLeast"/>
          <w:jc w:val="center"/>
        </w:trPr>
        <w:tc>
          <w:tcPr>
            <w:tcW w:w="37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三</w:t>
            </w:r>
          </w:p>
        </w:tc>
        <w:tc>
          <w:tcPr>
            <w:tcW w:w="79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2023年</w:t>
            </w:r>
          </w:p>
        </w:tc>
      </w:tr>
      <w:tr>
        <w:tblPrEx>
          <w:tblLayout w:type="fixed"/>
          <w:tblCellMar>
            <w:top w:w="0" w:type="dxa"/>
            <w:left w:w="0" w:type="dxa"/>
            <w:bottom w:w="0" w:type="dxa"/>
            <w:right w:w="0" w:type="dxa"/>
          </w:tblCellMar>
        </w:tblPrEx>
        <w:trPr>
          <w:trHeight w:val="623" w:hRule="atLeast"/>
          <w:jc w:val="center"/>
        </w:trPr>
        <w:tc>
          <w:tcPr>
            <w:tcW w:w="37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1</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sz w:val="21"/>
                <w:szCs w:val="21"/>
                <w:highlight w:val="none"/>
              </w:rPr>
            </w:pPr>
            <w:r>
              <w:rPr>
                <w:rFonts w:cs="Times New Roman"/>
                <w:sz w:val="21"/>
                <w:szCs w:val="21"/>
                <w:highlight w:val="none"/>
              </w:rPr>
              <w:t>集安市</w:t>
            </w:r>
          </w:p>
        </w:tc>
        <w:tc>
          <w:tcPr>
            <w:tcW w:w="397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sz w:val="21"/>
                <w:szCs w:val="21"/>
                <w:highlight w:val="none"/>
              </w:rPr>
            </w:pPr>
            <w:r>
              <w:rPr>
                <w:rFonts w:cs="Times New Roman"/>
                <w:sz w:val="21"/>
                <w:szCs w:val="21"/>
                <w:highlight w:val="none"/>
              </w:rPr>
              <w:t>集安边境经济合作区医药健康产业园区建设项目（一期）</w:t>
            </w:r>
          </w:p>
        </w:tc>
        <w:tc>
          <w:tcPr>
            <w:tcW w:w="163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空气源热泵</w:t>
            </w:r>
          </w:p>
        </w:tc>
        <w:tc>
          <w:tcPr>
            <w:tcW w:w="16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7.60</w:t>
            </w:r>
          </w:p>
        </w:tc>
      </w:tr>
      <w:tr>
        <w:tblPrEx>
          <w:tblLayout w:type="fixed"/>
          <w:tblCellMar>
            <w:top w:w="0" w:type="dxa"/>
            <w:left w:w="0" w:type="dxa"/>
            <w:bottom w:w="0" w:type="dxa"/>
            <w:right w:w="0" w:type="dxa"/>
          </w:tblCellMar>
        </w:tblPrEx>
        <w:trPr>
          <w:trHeight w:val="623" w:hRule="atLeast"/>
          <w:jc w:val="center"/>
        </w:trPr>
        <w:tc>
          <w:tcPr>
            <w:tcW w:w="37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2</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sz w:val="21"/>
                <w:szCs w:val="21"/>
                <w:highlight w:val="none"/>
              </w:rPr>
            </w:pPr>
            <w:r>
              <w:rPr>
                <w:rFonts w:cs="Times New Roman"/>
                <w:sz w:val="21"/>
                <w:szCs w:val="21"/>
                <w:highlight w:val="none"/>
              </w:rPr>
              <w:t>龙井市</w:t>
            </w:r>
          </w:p>
        </w:tc>
        <w:tc>
          <w:tcPr>
            <w:tcW w:w="397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sz w:val="21"/>
                <w:szCs w:val="21"/>
                <w:highlight w:val="none"/>
              </w:rPr>
            </w:pPr>
            <w:r>
              <w:rPr>
                <w:rFonts w:cs="Times New Roman"/>
                <w:sz w:val="21"/>
                <w:szCs w:val="21"/>
                <w:highlight w:val="none"/>
              </w:rPr>
              <w:t>琵岩山高丽汤泉村空气源热泵项目</w:t>
            </w:r>
          </w:p>
        </w:tc>
        <w:tc>
          <w:tcPr>
            <w:tcW w:w="163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空气源热泵</w:t>
            </w:r>
          </w:p>
        </w:tc>
        <w:tc>
          <w:tcPr>
            <w:tcW w:w="16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3.75</w:t>
            </w:r>
          </w:p>
        </w:tc>
      </w:tr>
      <w:tr>
        <w:tblPrEx>
          <w:tblLayout w:type="fixed"/>
          <w:tblCellMar>
            <w:top w:w="0" w:type="dxa"/>
            <w:left w:w="0" w:type="dxa"/>
            <w:bottom w:w="0" w:type="dxa"/>
            <w:right w:w="0" w:type="dxa"/>
          </w:tblCellMar>
        </w:tblPrEx>
        <w:trPr>
          <w:trHeight w:val="623" w:hRule="atLeast"/>
          <w:jc w:val="center"/>
        </w:trPr>
        <w:tc>
          <w:tcPr>
            <w:tcW w:w="37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3</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sz w:val="21"/>
                <w:szCs w:val="21"/>
                <w:highlight w:val="none"/>
              </w:rPr>
            </w:pPr>
            <w:r>
              <w:rPr>
                <w:rFonts w:cs="Times New Roman"/>
                <w:sz w:val="21"/>
                <w:szCs w:val="21"/>
                <w:highlight w:val="none"/>
              </w:rPr>
              <w:t>梨树县</w:t>
            </w:r>
          </w:p>
        </w:tc>
        <w:tc>
          <w:tcPr>
            <w:tcW w:w="397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sz w:val="21"/>
                <w:szCs w:val="21"/>
                <w:highlight w:val="none"/>
              </w:rPr>
            </w:pPr>
            <w:r>
              <w:rPr>
                <w:rFonts w:cs="Times New Roman"/>
                <w:sz w:val="21"/>
                <w:szCs w:val="21"/>
                <w:highlight w:val="none"/>
              </w:rPr>
              <w:t>梨树县公共实训基地建设项目</w:t>
            </w:r>
          </w:p>
        </w:tc>
        <w:tc>
          <w:tcPr>
            <w:tcW w:w="163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土壤源热泵</w:t>
            </w:r>
          </w:p>
        </w:tc>
        <w:tc>
          <w:tcPr>
            <w:tcW w:w="16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0.84</w:t>
            </w:r>
          </w:p>
        </w:tc>
      </w:tr>
      <w:tr>
        <w:tblPrEx>
          <w:tblLayout w:type="fixed"/>
          <w:tblCellMar>
            <w:top w:w="0" w:type="dxa"/>
            <w:left w:w="0" w:type="dxa"/>
            <w:bottom w:w="0" w:type="dxa"/>
            <w:right w:w="0" w:type="dxa"/>
          </w:tblCellMar>
        </w:tblPrEx>
        <w:trPr>
          <w:trHeight w:val="623" w:hRule="atLeast"/>
          <w:jc w:val="center"/>
        </w:trPr>
        <w:tc>
          <w:tcPr>
            <w:tcW w:w="37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4</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sz w:val="21"/>
                <w:szCs w:val="21"/>
                <w:highlight w:val="none"/>
              </w:rPr>
            </w:pPr>
            <w:r>
              <w:rPr>
                <w:rFonts w:cs="Times New Roman"/>
                <w:sz w:val="21"/>
                <w:szCs w:val="21"/>
                <w:highlight w:val="none"/>
              </w:rPr>
              <w:t>通化市</w:t>
            </w:r>
          </w:p>
        </w:tc>
        <w:tc>
          <w:tcPr>
            <w:tcW w:w="397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sz w:val="21"/>
                <w:szCs w:val="21"/>
                <w:highlight w:val="none"/>
              </w:rPr>
            </w:pPr>
            <w:r>
              <w:rPr>
                <w:rFonts w:cs="Times New Roman"/>
                <w:sz w:val="21"/>
                <w:szCs w:val="21"/>
                <w:highlight w:val="none"/>
              </w:rPr>
              <w:t>通化医药高新区空气能改造项目（一期）</w:t>
            </w:r>
          </w:p>
        </w:tc>
        <w:tc>
          <w:tcPr>
            <w:tcW w:w="163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空气源热泵</w:t>
            </w:r>
          </w:p>
        </w:tc>
        <w:tc>
          <w:tcPr>
            <w:tcW w:w="16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3.26</w:t>
            </w:r>
          </w:p>
        </w:tc>
      </w:tr>
      <w:tr>
        <w:tblPrEx>
          <w:tblLayout w:type="fixed"/>
          <w:tblCellMar>
            <w:top w:w="0" w:type="dxa"/>
            <w:left w:w="0" w:type="dxa"/>
            <w:bottom w:w="0" w:type="dxa"/>
            <w:right w:w="0" w:type="dxa"/>
          </w:tblCellMar>
        </w:tblPrEx>
        <w:trPr>
          <w:trHeight w:val="623" w:hRule="atLeast"/>
          <w:jc w:val="center"/>
        </w:trPr>
        <w:tc>
          <w:tcPr>
            <w:tcW w:w="37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5</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sz w:val="21"/>
                <w:szCs w:val="21"/>
                <w:highlight w:val="none"/>
              </w:rPr>
            </w:pPr>
            <w:r>
              <w:rPr>
                <w:rFonts w:cs="Times New Roman"/>
                <w:sz w:val="21"/>
                <w:szCs w:val="21"/>
                <w:highlight w:val="none"/>
              </w:rPr>
              <w:t>扶余市</w:t>
            </w:r>
          </w:p>
        </w:tc>
        <w:tc>
          <w:tcPr>
            <w:tcW w:w="397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sz w:val="21"/>
                <w:szCs w:val="21"/>
                <w:highlight w:val="none"/>
              </w:rPr>
            </w:pPr>
            <w:r>
              <w:rPr>
                <w:rFonts w:cs="Times New Roman"/>
                <w:sz w:val="21"/>
                <w:szCs w:val="21"/>
                <w:highlight w:val="none"/>
              </w:rPr>
              <w:t>扶余市金源购物广场</w:t>
            </w:r>
          </w:p>
        </w:tc>
        <w:tc>
          <w:tcPr>
            <w:tcW w:w="163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空气源热泵</w:t>
            </w:r>
          </w:p>
        </w:tc>
        <w:tc>
          <w:tcPr>
            <w:tcW w:w="16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2.81</w:t>
            </w:r>
          </w:p>
        </w:tc>
      </w:tr>
      <w:tr>
        <w:tblPrEx>
          <w:tblLayout w:type="fixed"/>
          <w:tblCellMar>
            <w:top w:w="0" w:type="dxa"/>
            <w:left w:w="0" w:type="dxa"/>
            <w:bottom w:w="0" w:type="dxa"/>
            <w:right w:w="0" w:type="dxa"/>
          </w:tblCellMar>
        </w:tblPrEx>
        <w:trPr>
          <w:trHeight w:val="623" w:hRule="atLeast"/>
          <w:jc w:val="center"/>
        </w:trPr>
        <w:tc>
          <w:tcPr>
            <w:tcW w:w="37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p>
        </w:tc>
        <w:tc>
          <w:tcPr>
            <w:tcW w:w="46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小计</w:t>
            </w:r>
          </w:p>
        </w:tc>
        <w:tc>
          <w:tcPr>
            <w:tcW w:w="163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b/>
                <w:kern w:val="0"/>
                <w:sz w:val="21"/>
                <w:szCs w:val="21"/>
                <w:highlight w:val="none"/>
              </w:rPr>
            </w:pPr>
          </w:p>
        </w:tc>
        <w:tc>
          <w:tcPr>
            <w:tcW w:w="16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18.26</w:t>
            </w:r>
          </w:p>
        </w:tc>
      </w:tr>
      <w:tr>
        <w:tblPrEx>
          <w:tblLayout w:type="fixed"/>
          <w:tblCellMar>
            <w:top w:w="0" w:type="dxa"/>
            <w:left w:w="0" w:type="dxa"/>
            <w:bottom w:w="0" w:type="dxa"/>
            <w:right w:w="0" w:type="dxa"/>
          </w:tblCellMar>
        </w:tblPrEx>
        <w:trPr>
          <w:trHeight w:val="551" w:hRule="atLeast"/>
          <w:jc w:val="center"/>
        </w:trPr>
        <w:tc>
          <w:tcPr>
            <w:tcW w:w="50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合计</w:t>
            </w:r>
          </w:p>
        </w:tc>
        <w:tc>
          <w:tcPr>
            <w:tcW w:w="163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b/>
                <w:kern w:val="0"/>
                <w:sz w:val="21"/>
                <w:szCs w:val="21"/>
                <w:highlight w:val="none"/>
              </w:rPr>
            </w:pPr>
          </w:p>
        </w:tc>
        <w:tc>
          <w:tcPr>
            <w:tcW w:w="16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108.51</w:t>
            </w:r>
          </w:p>
        </w:tc>
      </w:tr>
    </w:tbl>
    <w:p>
      <w:pPr>
        <w:ind w:firstLine="562"/>
        <w:rPr>
          <w:rFonts w:cs="Times New Roman"/>
          <w:bCs/>
          <w:szCs w:val="32"/>
          <w:highlight w:val="none"/>
        </w:rPr>
      </w:pPr>
      <w:r>
        <w:rPr>
          <w:rFonts w:cs="Times New Roman"/>
          <w:b/>
          <w:bCs/>
          <w:szCs w:val="32"/>
          <w:highlight w:val="none"/>
        </w:rPr>
        <w:t>实施流程：</w:t>
      </w:r>
      <w:r>
        <w:rPr>
          <w:rFonts w:cs="Times New Roman"/>
          <w:bCs/>
          <w:szCs w:val="32"/>
          <w:highlight w:val="none"/>
        </w:rPr>
        <w:t>住房城乡建设厅会同省财政厅发布年度奖补资金项目申报通知，确定当年支持重点，明确申报范围、时间、条件、材料、绩效目标等要求。各市县住建部门根据申报通知要求，认真组织项目申报，对申报项目的程序性、真实性、公平性负责；同级财政部门做好项目申报配合工作。省住房城乡建设厅组织专家或委托第三方中介机构进行评审、论证及实地核实，提出奖补资金分配建议，经省财政厅审核汇签后，按照省政府审批专项资金的审批程序提交省政府党组会审议。</w:t>
      </w:r>
    </w:p>
    <w:p>
      <w:pPr>
        <w:ind w:firstLine="560"/>
        <w:rPr>
          <w:rFonts w:cs="Times New Roman"/>
          <w:highlight w:val="none"/>
        </w:rPr>
      </w:pPr>
      <w:r>
        <w:rPr>
          <w:rFonts w:cs="Times New Roman"/>
          <w:highlight w:val="none"/>
        </w:rPr>
        <w:t>奖补资金采取项目法分配原则，实行“先实施，后拨付”的方式。省财政厅依据省政府党组会议审定意见及省住房城乡建设厅提报的专项验收报告、奖补资金分配建议拨付资金。建设单位使用财政资金开展的建设项目，奖补资金由市县财政局按规定统筹使用；企业全部使用自有资金开展的建设项目，奖补资金由建设单位自行安排使用。</w:t>
      </w:r>
    </w:p>
    <w:p>
      <w:pPr>
        <w:pStyle w:val="6"/>
        <w:ind w:firstLine="560"/>
        <w:rPr>
          <w:rFonts w:cs="Times New Roman"/>
          <w:highlight w:val="none"/>
        </w:rPr>
      </w:pPr>
      <w:r>
        <w:rPr>
          <w:rFonts w:cs="Times New Roman"/>
          <w:highlight w:val="none"/>
        </w:rPr>
        <w:t>3.资金投入和使用情况</w:t>
      </w:r>
    </w:p>
    <w:p>
      <w:pPr>
        <w:ind w:firstLine="560"/>
        <w:rPr>
          <w:rFonts w:cs="Times New Roman"/>
          <w:highlight w:val="none"/>
        </w:rPr>
      </w:pPr>
      <w:r>
        <w:rPr>
          <w:rFonts w:cs="Times New Roman"/>
          <w:highlight w:val="none"/>
        </w:rPr>
        <w:t>2021-2023年度吉林省建筑节能奖补资金整体安排预算2955万元，其中，2021年度安排预算资金310.47万元，共支持8个项目；2022年度安排预算资金2262.53万元，共支持6个示范市、县；2023年度安排预算资金382万元，共支持5个项目。具体建筑节能奖补资金安排执行情况见表1-3。</w:t>
      </w:r>
    </w:p>
    <w:p>
      <w:pPr>
        <w:spacing w:before="60" w:after="60" w:line="240" w:lineRule="auto"/>
        <w:ind w:firstLine="0" w:firstLineChars="0"/>
        <w:jc w:val="center"/>
        <w:rPr>
          <w:rFonts w:cs="Times New Roman"/>
          <w:b/>
          <w:bCs/>
          <w:sz w:val="24"/>
          <w:szCs w:val="21"/>
          <w:highlight w:val="none"/>
        </w:rPr>
      </w:pPr>
      <w:r>
        <w:rPr>
          <w:rFonts w:cs="Times New Roman"/>
          <w:b/>
          <w:bCs/>
          <w:sz w:val="24"/>
          <w:szCs w:val="21"/>
          <w:highlight w:val="none"/>
        </w:rPr>
        <w:t>表1-3  2021-2023年度吉林省建筑节能奖补资金预算安排执行情况表</w:t>
      </w:r>
    </w:p>
    <w:tbl>
      <w:tblPr>
        <w:tblStyle w:val="21"/>
        <w:tblW w:w="8316" w:type="dxa"/>
        <w:jc w:val="center"/>
        <w:tblInd w:w="0" w:type="dxa"/>
        <w:tblLayout w:type="fixed"/>
        <w:tblCellMar>
          <w:top w:w="0" w:type="dxa"/>
          <w:left w:w="0" w:type="dxa"/>
          <w:bottom w:w="0" w:type="dxa"/>
          <w:right w:w="0" w:type="dxa"/>
        </w:tblCellMar>
      </w:tblPr>
      <w:tblGrid>
        <w:gridCol w:w="314"/>
        <w:gridCol w:w="502"/>
        <w:gridCol w:w="2571"/>
        <w:gridCol w:w="1633"/>
        <w:gridCol w:w="1648"/>
        <w:gridCol w:w="1648"/>
      </w:tblGrid>
      <w:tr>
        <w:tblPrEx>
          <w:tblLayout w:type="fixed"/>
          <w:tblCellMar>
            <w:top w:w="0" w:type="dxa"/>
            <w:left w:w="0" w:type="dxa"/>
            <w:bottom w:w="0" w:type="dxa"/>
            <w:right w:w="0" w:type="dxa"/>
          </w:tblCellMar>
        </w:tblPrEx>
        <w:trPr>
          <w:trHeight w:val="459" w:hRule="atLeast"/>
          <w:tblHeader/>
          <w:jc w:val="center"/>
        </w:trPr>
        <w:tc>
          <w:tcPr>
            <w:tcW w:w="314" w:type="dxa"/>
            <w:tcBorders>
              <w:top w:val="single" w:color="auto" w:sz="4" w:space="0"/>
              <w:left w:val="single" w:color="auto" w:sz="4" w:space="0"/>
              <w:bottom w:val="single" w:color="auto" w:sz="4" w:space="0"/>
              <w:right w:val="single" w:color="auto" w:sz="4" w:space="0"/>
            </w:tcBorders>
            <w:shd w:val="clear" w:color="000000" w:fill="AEAAAA" w:themeFill="background2" w:themeFillShade="BF"/>
            <w:vAlign w:val="center"/>
          </w:tcPr>
          <w:p>
            <w:pPr>
              <w:widowControl/>
              <w:spacing w:line="320" w:lineRule="exact"/>
              <w:ind w:firstLine="0" w:firstLineChars="0"/>
              <w:jc w:val="center"/>
              <w:rPr>
                <w:rFonts w:cs="Times New Roman"/>
                <w:b/>
                <w:bCs/>
                <w:kern w:val="0"/>
                <w:sz w:val="21"/>
                <w:szCs w:val="21"/>
                <w:highlight w:val="none"/>
              </w:rPr>
            </w:pPr>
            <w:r>
              <w:rPr>
                <w:rFonts w:cs="Times New Roman"/>
                <w:b/>
                <w:bCs/>
                <w:kern w:val="0"/>
                <w:sz w:val="21"/>
                <w:szCs w:val="21"/>
                <w:highlight w:val="none"/>
              </w:rPr>
              <w:t>序号</w:t>
            </w:r>
          </w:p>
        </w:tc>
        <w:tc>
          <w:tcPr>
            <w:tcW w:w="502" w:type="dxa"/>
            <w:tcBorders>
              <w:top w:val="single" w:color="auto" w:sz="4" w:space="0"/>
              <w:left w:val="nil"/>
              <w:bottom w:val="single" w:color="auto" w:sz="4" w:space="0"/>
              <w:right w:val="single" w:color="auto" w:sz="4" w:space="0"/>
            </w:tcBorders>
            <w:shd w:val="clear" w:color="000000" w:fill="AEAAAA" w:themeFill="background2" w:themeFillShade="BF"/>
            <w:vAlign w:val="center"/>
          </w:tcPr>
          <w:p>
            <w:pPr>
              <w:widowControl/>
              <w:spacing w:line="320" w:lineRule="exact"/>
              <w:ind w:firstLine="0" w:firstLineChars="0"/>
              <w:jc w:val="center"/>
              <w:rPr>
                <w:rFonts w:cs="Times New Roman"/>
                <w:b/>
                <w:bCs/>
                <w:kern w:val="0"/>
                <w:sz w:val="21"/>
                <w:szCs w:val="21"/>
                <w:highlight w:val="none"/>
              </w:rPr>
            </w:pPr>
            <w:r>
              <w:rPr>
                <w:rFonts w:cs="Times New Roman"/>
                <w:b/>
                <w:bCs/>
                <w:kern w:val="0"/>
                <w:sz w:val="21"/>
                <w:szCs w:val="21"/>
                <w:highlight w:val="none"/>
              </w:rPr>
              <w:t>所属地区</w:t>
            </w:r>
          </w:p>
        </w:tc>
        <w:tc>
          <w:tcPr>
            <w:tcW w:w="2571" w:type="dxa"/>
            <w:tcBorders>
              <w:top w:val="single" w:color="auto" w:sz="4" w:space="0"/>
              <w:left w:val="nil"/>
              <w:bottom w:val="single" w:color="auto" w:sz="4" w:space="0"/>
              <w:right w:val="single" w:color="auto" w:sz="4" w:space="0"/>
            </w:tcBorders>
            <w:shd w:val="clear" w:color="000000" w:fill="AEAAAA" w:themeFill="background2" w:themeFillShade="BF"/>
            <w:vAlign w:val="center"/>
          </w:tcPr>
          <w:p>
            <w:pPr>
              <w:widowControl/>
              <w:spacing w:line="320" w:lineRule="exact"/>
              <w:ind w:firstLine="0" w:firstLineChars="0"/>
              <w:jc w:val="center"/>
              <w:rPr>
                <w:rFonts w:cs="Times New Roman"/>
                <w:b/>
                <w:bCs/>
                <w:kern w:val="0"/>
                <w:sz w:val="21"/>
                <w:szCs w:val="21"/>
                <w:highlight w:val="none"/>
              </w:rPr>
            </w:pPr>
            <w:r>
              <w:rPr>
                <w:rFonts w:cs="Times New Roman"/>
                <w:b/>
                <w:bCs/>
                <w:kern w:val="0"/>
                <w:sz w:val="21"/>
                <w:szCs w:val="21"/>
                <w:highlight w:val="none"/>
              </w:rPr>
              <w:t>项目名称/示范市县名称</w:t>
            </w:r>
          </w:p>
        </w:tc>
        <w:tc>
          <w:tcPr>
            <w:tcW w:w="1633" w:type="dxa"/>
            <w:tcBorders>
              <w:top w:val="single" w:color="auto" w:sz="4" w:space="0"/>
              <w:left w:val="nil"/>
              <w:bottom w:val="single" w:color="auto" w:sz="4" w:space="0"/>
              <w:right w:val="single" w:color="auto" w:sz="4" w:space="0"/>
            </w:tcBorders>
            <w:shd w:val="clear" w:color="000000" w:fill="AEAAAA" w:themeFill="background2" w:themeFillShade="BF"/>
            <w:vAlign w:val="center"/>
          </w:tcPr>
          <w:p>
            <w:pPr>
              <w:widowControl/>
              <w:spacing w:line="320" w:lineRule="exact"/>
              <w:ind w:firstLine="0" w:firstLineChars="0"/>
              <w:jc w:val="center"/>
              <w:rPr>
                <w:rFonts w:cs="Times New Roman"/>
                <w:b/>
                <w:bCs/>
                <w:kern w:val="0"/>
                <w:sz w:val="21"/>
                <w:szCs w:val="21"/>
                <w:highlight w:val="none"/>
              </w:rPr>
            </w:pPr>
            <w:r>
              <w:rPr>
                <w:rFonts w:cs="Times New Roman"/>
                <w:b/>
                <w:bCs/>
                <w:kern w:val="0"/>
                <w:sz w:val="21"/>
                <w:szCs w:val="21"/>
                <w:highlight w:val="none"/>
              </w:rPr>
              <w:t>预算金额（万元）</w:t>
            </w:r>
          </w:p>
        </w:tc>
        <w:tc>
          <w:tcPr>
            <w:tcW w:w="1648" w:type="dxa"/>
            <w:tcBorders>
              <w:top w:val="single" w:color="auto" w:sz="4" w:space="0"/>
              <w:left w:val="nil"/>
              <w:bottom w:val="single" w:color="auto" w:sz="4" w:space="0"/>
              <w:right w:val="single" w:color="auto" w:sz="4" w:space="0"/>
            </w:tcBorders>
            <w:shd w:val="clear" w:color="000000" w:fill="AEAAAA" w:themeFill="background2" w:themeFillShade="BF"/>
            <w:vAlign w:val="center"/>
          </w:tcPr>
          <w:p>
            <w:pPr>
              <w:widowControl/>
              <w:spacing w:line="320" w:lineRule="exact"/>
              <w:ind w:firstLine="0" w:firstLineChars="0"/>
              <w:jc w:val="center"/>
              <w:rPr>
                <w:rFonts w:cs="Times New Roman"/>
                <w:b/>
                <w:bCs/>
                <w:kern w:val="0"/>
                <w:sz w:val="21"/>
                <w:szCs w:val="21"/>
                <w:highlight w:val="none"/>
              </w:rPr>
            </w:pPr>
            <w:r>
              <w:rPr>
                <w:rFonts w:cs="Times New Roman"/>
                <w:b/>
                <w:bCs/>
                <w:kern w:val="0"/>
                <w:sz w:val="21"/>
                <w:szCs w:val="21"/>
                <w:highlight w:val="none"/>
              </w:rPr>
              <w:t>实际拨付金额（万元）</w:t>
            </w:r>
          </w:p>
        </w:tc>
        <w:tc>
          <w:tcPr>
            <w:tcW w:w="1648" w:type="dxa"/>
            <w:tcBorders>
              <w:top w:val="single" w:color="auto" w:sz="4" w:space="0"/>
              <w:left w:val="nil"/>
              <w:bottom w:val="single" w:color="auto" w:sz="4" w:space="0"/>
              <w:right w:val="single" w:color="auto" w:sz="4" w:space="0"/>
            </w:tcBorders>
            <w:shd w:val="clear" w:color="000000" w:fill="AEAAAA" w:themeFill="background2" w:themeFillShade="BF"/>
            <w:vAlign w:val="center"/>
          </w:tcPr>
          <w:p>
            <w:pPr>
              <w:widowControl/>
              <w:spacing w:line="320" w:lineRule="exact"/>
              <w:ind w:firstLine="0" w:firstLineChars="0"/>
              <w:jc w:val="center"/>
              <w:rPr>
                <w:rFonts w:cs="Times New Roman"/>
                <w:b/>
                <w:bCs/>
                <w:kern w:val="0"/>
                <w:sz w:val="21"/>
                <w:szCs w:val="21"/>
                <w:highlight w:val="none"/>
              </w:rPr>
            </w:pPr>
            <w:r>
              <w:rPr>
                <w:rFonts w:cs="Times New Roman"/>
                <w:b/>
                <w:bCs/>
                <w:kern w:val="0"/>
                <w:sz w:val="21"/>
                <w:szCs w:val="21"/>
                <w:highlight w:val="none"/>
              </w:rPr>
              <w:t>预算执行率</w:t>
            </w:r>
          </w:p>
        </w:tc>
      </w:tr>
      <w:tr>
        <w:tblPrEx>
          <w:tblLayout w:type="fixed"/>
          <w:tblCellMar>
            <w:top w:w="0" w:type="dxa"/>
            <w:left w:w="0" w:type="dxa"/>
            <w:bottom w:w="0" w:type="dxa"/>
            <w:right w:w="0" w:type="dxa"/>
          </w:tblCellMar>
        </w:tblPrEx>
        <w:trPr>
          <w:trHeight w:val="623" w:hRule="atLeast"/>
          <w:jc w:val="center"/>
        </w:trPr>
        <w:tc>
          <w:tcPr>
            <w:tcW w:w="31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一</w:t>
            </w:r>
          </w:p>
        </w:tc>
        <w:tc>
          <w:tcPr>
            <w:tcW w:w="800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2021年</w:t>
            </w:r>
          </w:p>
        </w:tc>
      </w:tr>
      <w:tr>
        <w:tblPrEx>
          <w:tblLayout w:type="fixed"/>
          <w:tblCellMar>
            <w:top w:w="0" w:type="dxa"/>
            <w:left w:w="0" w:type="dxa"/>
            <w:bottom w:w="0" w:type="dxa"/>
            <w:right w:w="0" w:type="dxa"/>
          </w:tblCellMar>
        </w:tblPrEx>
        <w:trPr>
          <w:trHeight w:val="623" w:hRule="atLeast"/>
          <w:jc w:val="center"/>
        </w:trPr>
        <w:tc>
          <w:tcPr>
            <w:tcW w:w="31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1</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吉林</w:t>
            </w:r>
          </w:p>
        </w:tc>
        <w:tc>
          <w:tcPr>
            <w:tcW w:w="257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吉林市船营区总部大厦空气源采暖项目</w:t>
            </w:r>
          </w:p>
        </w:tc>
        <w:tc>
          <w:tcPr>
            <w:tcW w:w="163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2"/>
                <w:szCs w:val="21"/>
                <w:highlight w:val="none"/>
              </w:rPr>
            </w:pPr>
            <w:r>
              <w:rPr>
                <w:rFonts w:eastAsia="仿宋" w:cs="Times New Roman"/>
                <w:kern w:val="0"/>
                <w:sz w:val="22"/>
                <w:szCs w:val="24"/>
                <w:highlight w:val="none"/>
              </w:rPr>
              <w:t>34.63</w:t>
            </w:r>
          </w:p>
        </w:tc>
        <w:tc>
          <w:tcPr>
            <w:tcW w:w="16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2"/>
                <w:szCs w:val="21"/>
                <w:highlight w:val="none"/>
              </w:rPr>
            </w:pPr>
            <w:r>
              <w:rPr>
                <w:rFonts w:eastAsia="仿宋" w:cs="Times New Roman"/>
                <w:kern w:val="0"/>
                <w:sz w:val="22"/>
                <w:szCs w:val="24"/>
                <w:highlight w:val="none"/>
              </w:rPr>
              <w:t>34.63</w:t>
            </w:r>
          </w:p>
        </w:tc>
        <w:tc>
          <w:tcPr>
            <w:tcW w:w="1648" w:type="dxa"/>
            <w:tcBorders>
              <w:top w:val="nil"/>
              <w:left w:val="nil"/>
              <w:bottom w:val="single" w:color="auto" w:sz="4" w:space="0"/>
              <w:right w:val="single" w:color="auto" w:sz="4" w:space="0"/>
            </w:tcBorders>
            <w:vAlign w:val="center"/>
          </w:tcPr>
          <w:p>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100%</w:t>
            </w:r>
          </w:p>
        </w:tc>
      </w:tr>
      <w:tr>
        <w:tblPrEx>
          <w:tblLayout w:type="fixed"/>
          <w:tblCellMar>
            <w:top w:w="0" w:type="dxa"/>
            <w:left w:w="0" w:type="dxa"/>
            <w:bottom w:w="0" w:type="dxa"/>
            <w:right w:w="0" w:type="dxa"/>
          </w:tblCellMar>
        </w:tblPrEx>
        <w:trPr>
          <w:trHeight w:val="623" w:hRule="atLeast"/>
          <w:jc w:val="center"/>
        </w:trPr>
        <w:tc>
          <w:tcPr>
            <w:tcW w:w="31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辽源</w:t>
            </w:r>
          </w:p>
        </w:tc>
        <w:tc>
          <w:tcPr>
            <w:tcW w:w="257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辽源市诺丁山文化创意产业园项目（一期）</w:t>
            </w:r>
          </w:p>
        </w:tc>
        <w:tc>
          <w:tcPr>
            <w:tcW w:w="163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2"/>
                <w:szCs w:val="21"/>
                <w:highlight w:val="none"/>
              </w:rPr>
            </w:pPr>
            <w:r>
              <w:rPr>
                <w:rFonts w:eastAsia="仿宋" w:cs="Times New Roman"/>
                <w:kern w:val="0"/>
                <w:sz w:val="22"/>
                <w:szCs w:val="24"/>
                <w:highlight w:val="none"/>
              </w:rPr>
              <w:t>28.56</w:t>
            </w:r>
          </w:p>
        </w:tc>
        <w:tc>
          <w:tcPr>
            <w:tcW w:w="16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2"/>
                <w:szCs w:val="21"/>
                <w:highlight w:val="none"/>
              </w:rPr>
            </w:pPr>
            <w:r>
              <w:rPr>
                <w:rFonts w:eastAsia="仿宋" w:cs="Times New Roman"/>
                <w:kern w:val="0"/>
                <w:sz w:val="22"/>
                <w:szCs w:val="24"/>
                <w:highlight w:val="none"/>
              </w:rPr>
              <w:t>28.56</w:t>
            </w:r>
          </w:p>
        </w:tc>
        <w:tc>
          <w:tcPr>
            <w:tcW w:w="1648" w:type="dxa"/>
            <w:tcBorders>
              <w:top w:val="nil"/>
              <w:left w:val="nil"/>
              <w:bottom w:val="single" w:color="auto" w:sz="4" w:space="0"/>
              <w:right w:val="single" w:color="auto" w:sz="4" w:space="0"/>
            </w:tcBorders>
            <w:vAlign w:val="center"/>
          </w:tcPr>
          <w:p>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100%</w:t>
            </w:r>
          </w:p>
        </w:tc>
      </w:tr>
      <w:tr>
        <w:tblPrEx>
          <w:tblLayout w:type="fixed"/>
          <w:tblCellMar>
            <w:top w:w="0" w:type="dxa"/>
            <w:left w:w="0" w:type="dxa"/>
            <w:bottom w:w="0" w:type="dxa"/>
            <w:right w:w="0" w:type="dxa"/>
          </w:tblCellMar>
        </w:tblPrEx>
        <w:trPr>
          <w:trHeight w:val="623" w:hRule="atLeast"/>
          <w:jc w:val="center"/>
        </w:trPr>
        <w:tc>
          <w:tcPr>
            <w:tcW w:w="31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3</w:t>
            </w:r>
          </w:p>
        </w:tc>
        <w:tc>
          <w:tcPr>
            <w:tcW w:w="502" w:type="dxa"/>
            <w:vMerge w:val="restart"/>
            <w:tcBorders>
              <w:top w:val="single" w:color="auto" w:sz="4" w:space="0"/>
              <w:left w:val="single" w:color="auto" w:sz="4" w:space="0"/>
              <w:right w:val="single" w:color="auto" w:sz="4" w:space="0"/>
            </w:tcBorders>
            <w:shd w:val="clear" w:color="auto" w:fill="auto"/>
            <w:vAlign w:val="center"/>
          </w:tcPr>
          <w:p>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图们</w:t>
            </w:r>
          </w:p>
        </w:tc>
        <w:tc>
          <w:tcPr>
            <w:tcW w:w="257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 xml:space="preserve">凉水镇民族联合学校 </w:t>
            </w:r>
          </w:p>
        </w:tc>
        <w:tc>
          <w:tcPr>
            <w:tcW w:w="163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2"/>
                <w:szCs w:val="21"/>
                <w:highlight w:val="none"/>
              </w:rPr>
            </w:pPr>
            <w:r>
              <w:rPr>
                <w:rFonts w:eastAsia="仿宋" w:cs="Times New Roman"/>
                <w:kern w:val="0"/>
                <w:sz w:val="22"/>
                <w:szCs w:val="24"/>
                <w:highlight w:val="none"/>
              </w:rPr>
              <w:t>13.34</w:t>
            </w:r>
          </w:p>
        </w:tc>
        <w:tc>
          <w:tcPr>
            <w:tcW w:w="16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eastAsia="仿宋" w:cs="Times New Roman"/>
                <w:kern w:val="0"/>
                <w:sz w:val="22"/>
                <w:szCs w:val="21"/>
                <w:highlight w:val="none"/>
              </w:rPr>
            </w:pPr>
            <w:r>
              <w:rPr>
                <w:rFonts w:eastAsia="仿宋" w:cs="Times New Roman"/>
                <w:kern w:val="0"/>
                <w:sz w:val="22"/>
                <w:szCs w:val="24"/>
                <w:highlight w:val="none"/>
              </w:rPr>
              <w:t>13.34</w:t>
            </w:r>
          </w:p>
        </w:tc>
        <w:tc>
          <w:tcPr>
            <w:tcW w:w="1648" w:type="dxa"/>
            <w:tcBorders>
              <w:top w:val="nil"/>
              <w:left w:val="nil"/>
              <w:bottom w:val="single" w:color="auto" w:sz="4" w:space="0"/>
              <w:right w:val="single" w:color="auto" w:sz="4" w:space="0"/>
            </w:tcBorders>
            <w:vAlign w:val="center"/>
          </w:tcPr>
          <w:p>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100%</w:t>
            </w:r>
          </w:p>
        </w:tc>
      </w:tr>
      <w:tr>
        <w:tblPrEx>
          <w:tblLayout w:type="fixed"/>
          <w:tblCellMar>
            <w:top w:w="0" w:type="dxa"/>
            <w:left w:w="0" w:type="dxa"/>
            <w:bottom w:w="0" w:type="dxa"/>
            <w:right w:w="0" w:type="dxa"/>
          </w:tblCellMar>
        </w:tblPrEx>
        <w:trPr>
          <w:trHeight w:val="623" w:hRule="atLeast"/>
          <w:jc w:val="center"/>
        </w:trPr>
        <w:tc>
          <w:tcPr>
            <w:tcW w:w="31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4</w:t>
            </w:r>
          </w:p>
        </w:tc>
        <w:tc>
          <w:tcPr>
            <w:tcW w:w="502" w:type="dxa"/>
            <w:vMerge w:val="continue"/>
            <w:tcBorders>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eastAsia="仿宋" w:cs="Times New Roman"/>
                <w:kern w:val="0"/>
                <w:sz w:val="21"/>
                <w:szCs w:val="21"/>
                <w:highlight w:val="none"/>
              </w:rPr>
            </w:pPr>
          </w:p>
        </w:tc>
        <w:tc>
          <w:tcPr>
            <w:tcW w:w="257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图们市客运站空气源热泵示范项目</w:t>
            </w:r>
          </w:p>
        </w:tc>
        <w:tc>
          <w:tcPr>
            <w:tcW w:w="163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2"/>
                <w:szCs w:val="21"/>
                <w:highlight w:val="none"/>
              </w:rPr>
            </w:pPr>
            <w:r>
              <w:rPr>
                <w:rFonts w:eastAsia="仿宋" w:cs="Times New Roman"/>
                <w:kern w:val="0"/>
                <w:sz w:val="22"/>
                <w:szCs w:val="24"/>
                <w:highlight w:val="none"/>
              </w:rPr>
              <w:t>18.11</w:t>
            </w:r>
          </w:p>
        </w:tc>
        <w:tc>
          <w:tcPr>
            <w:tcW w:w="16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eastAsia="仿宋" w:cs="Times New Roman"/>
                <w:kern w:val="0"/>
                <w:sz w:val="22"/>
                <w:szCs w:val="21"/>
                <w:highlight w:val="none"/>
              </w:rPr>
            </w:pPr>
            <w:r>
              <w:rPr>
                <w:rFonts w:eastAsia="仿宋" w:cs="Times New Roman"/>
                <w:kern w:val="0"/>
                <w:sz w:val="22"/>
                <w:szCs w:val="24"/>
                <w:highlight w:val="none"/>
              </w:rPr>
              <w:t>18.11</w:t>
            </w:r>
          </w:p>
        </w:tc>
        <w:tc>
          <w:tcPr>
            <w:tcW w:w="1648" w:type="dxa"/>
            <w:tcBorders>
              <w:top w:val="nil"/>
              <w:left w:val="nil"/>
              <w:bottom w:val="single" w:color="auto" w:sz="4" w:space="0"/>
              <w:right w:val="single" w:color="auto" w:sz="4" w:space="0"/>
            </w:tcBorders>
            <w:vAlign w:val="center"/>
          </w:tcPr>
          <w:p>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100%</w:t>
            </w:r>
          </w:p>
        </w:tc>
      </w:tr>
      <w:tr>
        <w:tblPrEx>
          <w:tblLayout w:type="fixed"/>
          <w:tblCellMar>
            <w:top w:w="0" w:type="dxa"/>
            <w:left w:w="0" w:type="dxa"/>
            <w:bottom w:w="0" w:type="dxa"/>
            <w:right w:w="0" w:type="dxa"/>
          </w:tblCellMar>
        </w:tblPrEx>
        <w:trPr>
          <w:trHeight w:val="623" w:hRule="atLeast"/>
          <w:jc w:val="center"/>
        </w:trPr>
        <w:tc>
          <w:tcPr>
            <w:tcW w:w="31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5</w:t>
            </w:r>
          </w:p>
        </w:tc>
        <w:tc>
          <w:tcPr>
            <w:tcW w:w="502" w:type="dxa"/>
            <w:vMerge w:val="restart"/>
            <w:tcBorders>
              <w:top w:val="single" w:color="auto" w:sz="4" w:space="0"/>
              <w:left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图们</w:t>
            </w:r>
          </w:p>
        </w:tc>
        <w:tc>
          <w:tcPr>
            <w:tcW w:w="257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图们市凉水镇中心小学（第二中学）空气源热泵示范项目</w:t>
            </w:r>
          </w:p>
        </w:tc>
        <w:tc>
          <w:tcPr>
            <w:tcW w:w="163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2"/>
                <w:szCs w:val="21"/>
                <w:highlight w:val="none"/>
              </w:rPr>
            </w:pPr>
            <w:r>
              <w:rPr>
                <w:rFonts w:eastAsia="仿宋" w:cs="Times New Roman"/>
                <w:kern w:val="0"/>
                <w:sz w:val="22"/>
                <w:szCs w:val="24"/>
                <w:highlight w:val="none"/>
              </w:rPr>
              <w:t>6.85</w:t>
            </w:r>
          </w:p>
        </w:tc>
        <w:tc>
          <w:tcPr>
            <w:tcW w:w="16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2"/>
                <w:szCs w:val="21"/>
                <w:highlight w:val="none"/>
              </w:rPr>
            </w:pPr>
            <w:r>
              <w:rPr>
                <w:rFonts w:eastAsia="仿宋" w:cs="Times New Roman"/>
                <w:kern w:val="0"/>
                <w:sz w:val="22"/>
                <w:szCs w:val="24"/>
                <w:highlight w:val="none"/>
              </w:rPr>
              <w:t>6.85</w:t>
            </w:r>
          </w:p>
        </w:tc>
        <w:tc>
          <w:tcPr>
            <w:tcW w:w="1648" w:type="dxa"/>
            <w:tcBorders>
              <w:top w:val="nil"/>
              <w:left w:val="nil"/>
              <w:bottom w:val="single" w:color="auto" w:sz="4" w:space="0"/>
              <w:right w:val="single" w:color="auto" w:sz="4" w:space="0"/>
            </w:tcBorders>
            <w:vAlign w:val="center"/>
          </w:tcPr>
          <w:p>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100%</w:t>
            </w:r>
          </w:p>
        </w:tc>
      </w:tr>
      <w:tr>
        <w:tblPrEx>
          <w:tblLayout w:type="fixed"/>
          <w:tblCellMar>
            <w:top w:w="0" w:type="dxa"/>
            <w:left w:w="0" w:type="dxa"/>
            <w:bottom w:w="0" w:type="dxa"/>
            <w:right w:w="0" w:type="dxa"/>
          </w:tblCellMar>
        </w:tblPrEx>
        <w:trPr>
          <w:trHeight w:val="623" w:hRule="atLeast"/>
          <w:jc w:val="center"/>
        </w:trPr>
        <w:tc>
          <w:tcPr>
            <w:tcW w:w="31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6</w:t>
            </w:r>
          </w:p>
        </w:tc>
        <w:tc>
          <w:tcPr>
            <w:tcW w:w="502" w:type="dxa"/>
            <w:vMerge w:val="continue"/>
            <w:tcBorders>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eastAsia="仿宋" w:cs="Times New Roman"/>
                <w:kern w:val="0"/>
                <w:sz w:val="21"/>
                <w:szCs w:val="21"/>
                <w:highlight w:val="none"/>
              </w:rPr>
            </w:pPr>
          </w:p>
        </w:tc>
        <w:tc>
          <w:tcPr>
            <w:tcW w:w="257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 xml:space="preserve">图们市铁东区基础设施建设配套特勤消防站  </w:t>
            </w:r>
          </w:p>
        </w:tc>
        <w:tc>
          <w:tcPr>
            <w:tcW w:w="163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2"/>
                <w:szCs w:val="21"/>
                <w:highlight w:val="none"/>
              </w:rPr>
            </w:pPr>
            <w:r>
              <w:rPr>
                <w:rFonts w:eastAsia="仿宋" w:cs="Times New Roman"/>
                <w:kern w:val="0"/>
                <w:sz w:val="22"/>
                <w:szCs w:val="24"/>
                <w:highlight w:val="none"/>
              </w:rPr>
              <w:t>9.21</w:t>
            </w:r>
          </w:p>
        </w:tc>
        <w:tc>
          <w:tcPr>
            <w:tcW w:w="16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eastAsia="仿宋" w:cs="Times New Roman"/>
                <w:kern w:val="0"/>
                <w:sz w:val="22"/>
                <w:szCs w:val="21"/>
                <w:highlight w:val="none"/>
              </w:rPr>
            </w:pPr>
            <w:r>
              <w:rPr>
                <w:rFonts w:eastAsia="仿宋" w:cs="Times New Roman"/>
                <w:kern w:val="0"/>
                <w:sz w:val="22"/>
                <w:szCs w:val="24"/>
                <w:highlight w:val="none"/>
              </w:rPr>
              <w:t>9.21</w:t>
            </w:r>
          </w:p>
        </w:tc>
        <w:tc>
          <w:tcPr>
            <w:tcW w:w="1648" w:type="dxa"/>
            <w:tcBorders>
              <w:top w:val="nil"/>
              <w:left w:val="nil"/>
              <w:bottom w:val="single" w:color="auto" w:sz="4" w:space="0"/>
              <w:right w:val="single" w:color="auto" w:sz="4" w:space="0"/>
            </w:tcBorders>
            <w:vAlign w:val="center"/>
          </w:tcPr>
          <w:p>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100%</w:t>
            </w:r>
          </w:p>
        </w:tc>
      </w:tr>
      <w:tr>
        <w:tblPrEx>
          <w:tblLayout w:type="fixed"/>
          <w:tblCellMar>
            <w:top w:w="0" w:type="dxa"/>
            <w:left w:w="0" w:type="dxa"/>
            <w:bottom w:w="0" w:type="dxa"/>
            <w:right w:w="0" w:type="dxa"/>
          </w:tblCellMar>
        </w:tblPrEx>
        <w:trPr>
          <w:trHeight w:val="623" w:hRule="atLeast"/>
          <w:jc w:val="center"/>
        </w:trPr>
        <w:tc>
          <w:tcPr>
            <w:tcW w:w="31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7</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集安</w:t>
            </w:r>
          </w:p>
        </w:tc>
        <w:tc>
          <w:tcPr>
            <w:tcW w:w="257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青石、望江移民安置房空气源热泵示范项目</w:t>
            </w:r>
          </w:p>
        </w:tc>
        <w:tc>
          <w:tcPr>
            <w:tcW w:w="163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2"/>
                <w:szCs w:val="21"/>
                <w:highlight w:val="none"/>
              </w:rPr>
            </w:pPr>
            <w:r>
              <w:rPr>
                <w:rFonts w:eastAsia="仿宋" w:cs="Times New Roman"/>
                <w:kern w:val="0"/>
                <w:sz w:val="22"/>
                <w:szCs w:val="24"/>
                <w:highlight w:val="none"/>
              </w:rPr>
              <w:t>29.82</w:t>
            </w:r>
          </w:p>
        </w:tc>
        <w:tc>
          <w:tcPr>
            <w:tcW w:w="16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eastAsia="仿宋" w:cs="Times New Roman"/>
                <w:kern w:val="0"/>
                <w:sz w:val="22"/>
                <w:szCs w:val="21"/>
                <w:highlight w:val="none"/>
              </w:rPr>
            </w:pPr>
            <w:r>
              <w:rPr>
                <w:rFonts w:eastAsia="仿宋" w:cs="Times New Roman"/>
                <w:kern w:val="0"/>
                <w:sz w:val="22"/>
                <w:szCs w:val="24"/>
                <w:highlight w:val="none"/>
              </w:rPr>
              <w:t>29.82</w:t>
            </w:r>
          </w:p>
        </w:tc>
        <w:tc>
          <w:tcPr>
            <w:tcW w:w="1648" w:type="dxa"/>
            <w:tcBorders>
              <w:top w:val="nil"/>
              <w:left w:val="nil"/>
              <w:bottom w:val="single" w:color="auto" w:sz="4" w:space="0"/>
              <w:right w:val="single" w:color="auto" w:sz="4" w:space="0"/>
            </w:tcBorders>
            <w:vAlign w:val="center"/>
          </w:tcPr>
          <w:p>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100%</w:t>
            </w:r>
          </w:p>
        </w:tc>
      </w:tr>
      <w:tr>
        <w:tblPrEx>
          <w:tblLayout w:type="fixed"/>
          <w:tblCellMar>
            <w:top w:w="0" w:type="dxa"/>
            <w:left w:w="0" w:type="dxa"/>
            <w:bottom w:w="0" w:type="dxa"/>
            <w:right w:w="0" w:type="dxa"/>
          </w:tblCellMar>
        </w:tblPrEx>
        <w:trPr>
          <w:trHeight w:val="623" w:hRule="atLeast"/>
          <w:jc w:val="center"/>
        </w:trPr>
        <w:tc>
          <w:tcPr>
            <w:tcW w:w="31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8</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珲春</w:t>
            </w:r>
          </w:p>
        </w:tc>
        <w:tc>
          <w:tcPr>
            <w:tcW w:w="257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珲春长白山农贸海鲜批发中心水源热泵示范项目</w:t>
            </w:r>
          </w:p>
        </w:tc>
        <w:tc>
          <w:tcPr>
            <w:tcW w:w="163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2"/>
                <w:szCs w:val="21"/>
                <w:highlight w:val="none"/>
              </w:rPr>
            </w:pPr>
            <w:r>
              <w:rPr>
                <w:rFonts w:eastAsia="仿宋" w:cs="Times New Roman"/>
                <w:kern w:val="0"/>
                <w:sz w:val="22"/>
                <w:szCs w:val="24"/>
                <w:highlight w:val="none"/>
              </w:rPr>
              <w:t>168.95</w:t>
            </w:r>
          </w:p>
        </w:tc>
        <w:tc>
          <w:tcPr>
            <w:tcW w:w="16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2"/>
                <w:szCs w:val="21"/>
                <w:highlight w:val="none"/>
              </w:rPr>
            </w:pPr>
            <w:r>
              <w:rPr>
                <w:rFonts w:eastAsia="仿宋" w:cs="Times New Roman"/>
                <w:kern w:val="0"/>
                <w:sz w:val="22"/>
                <w:szCs w:val="24"/>
                <w:highlight w:val="none"/>
              </w:rPr>
              <w:t>168.95</w:t>
            </w:r>
          </w:p>
        </w:tc>
        <w:tc>
          <w:tcPr>
            <w:tcW w:w="1648" w:type="dxa"/>
            <w:tcBorders>
              <w:top w:val="nil"/>
              <w:left w:val="nil"/>
              <w:bottom w:val="single" w:color="auto" w:sz="4" w:space="0"/>
              <w:right w:val="single" w:color="auto" w:sz="4" w:space="0"/>
            </w:tcBorders>
            <w:vAlign w:val="center"/>
          </w:tcPr>
          <w:p>
            <w:pPr>
              <w:widowControl/>
              <w:spacing w:line="320" w:lineRule="exact"/>
              <w:ind w:firstLine="0" w:firstLineChars="0"/>
              <w:jc w:val="center"/>
              <w:rPr>
                <w:rFonts w:eastAsia="仿宋" w:cs="Times New Roman"/>
                <w:kern w:val="0"/>
                <w:sz w:val="21"/>
                <w:szCs w:val="21"/>
                <w:highlight w:val="none"/>
              </w:rPr>
            </w:pPr>
            <w:r>
              <w:rPr>
                <w:rFonts w:eastAsia="仿宋" w:cs="Times New Roman"/>
                <w:kern w:val="0"/>
                <w:sz w:val="21"/>
                <w:szCs w:val="21"/>
                <w:highlight w:val="none"/>
              </w:rPr>
              <w:t>100%</w:t>
            </w:r>
          </w:p>
        </w:tc>
      </w:tr>
      <w:tr>
        <w:tblPrEx>
          <w:tblLayout w:type="fixed"/>
          <w:tblCellMar>
            <w:top w:w="0" w:type="dxa"/>
            <w:left w:w="0" w:type="dxa"/>
            <w:bottom w:w="0" w:type="dxa"/>
            <w:right w:w="0" w:type="dxa"/>
          </w:tblCellMar>
        </w:tblPrEx>
        <w:trPr>
          <w:trHeight w:val="623" w:hRule="atLeast"/>
          <w:jc w:val="center"/>
        </w:trPr>
        <w:tc>
          <w:tcPr>
            <w:tcW w:w="31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p>
        </w:tc>
        <w:tc>
          <w:tcPr>
            <w:tcW w:w="30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小计</w:t>
            </w:r>
          </w:p>
        </w:tc>
        <w:tc>
          <w:tcPr>
            <w:tcW w:w="163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310.47</w:t>
            </w:r>
          </w:p>
        </w:tc>
        <w:tc>
          <w:tcPr>
            <w:tcW w:w="16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310.47</w:t>
            </w:r>
          </w:p>
        </w:tc>
        <w:tc>
          <w:tcPr>
            <w:tcW w:w="1648" w:type="dxa"/>
            <w:tcBorders>
              <w:top w:val="nil"/>
              <w:left w:val="nil"/>
              <w:bottom w:val="single" w:color="auto" w:sz="4" w:space="0"/>
              <w:right w:val="single" w:color="auto" w:sz="4" w:space="0"/>
            </w:tcBorders>
            <w:vAlign w:val="center"/>
          </w:tcPr>
          <w:p>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100%</w:t>
            </w:r>
          </w:p>
        </w:tc>
      </w:tr>
      <w:tr>
        <w:tblPrEx>
          <w:tblLayout w:type="fixed"/>
          <w:tblCellMar>
            <w:top w:w="0" w:type="dxa"/>
            <w:left w:w="0" w:type="dxa"/>
            <w:bottom w:w="0" w:type="dxa"/>
            <w:right w:w="0" w:type="dxa"/>
          </w:tblCellMar>
        </w:tblPrEx>
        <w:trPr>
          <w:trHeight w:val="623" w:hRule="atLeast"/>
          <w:jc w:val="center"/>
        </w:trPr>
        <w:tc>
          <w:tcPr>
            <w:tcW w:w="31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二</w:t>
            </w:r>
          </w:p>
        </w:tc>
        <w:tc>
          <w:tcPr>
            <w:tcW w:w="800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2022年</w:t>
            </w:r>
            <w:r>
              <w:rPr>
                <w:rStyle w:val="20"/>
                <w:rFonts w:cs="Times New Roman"/>
                <w:b/>
                <w:kern w:val="0"/>
                <w:sz w:val="21"/>
                <w:szCs w:val="21"/>
                <w:highlight w:val="none"/>
              </w:rPr>
              <w:footnoteReference w:id="0"/>
            </w:r>
          </w:p>
        </w:tc>
      </w:tr>
      <w:tr>
        <w:tblPrEx>
          <w:tblLayout w:type="fixed"/>
          <w:tblCellMar>
            <w:top w:w="0" w:type="dxa"/>
            <w:left w:w="0" w:type="dxa"/>
            <w:bottom w:w="0" w:type="dxa"/>
            <w:right w:w="0" w:type="dxa"/>
          </w:tblCellMar>
        </w:tblPrEx>
        <w:trPr>
          <w:trHeight w:val="623" w:hRule="atLeast"/>
          <w:jc w:val="center"/>
        </w:trPr>
        <w:tc>
          <w:tcPr>
            <w:tcW w:w="31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1</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长春市</w:t>
            </w:r>
          </w:p>
        </w:tc>
        <w:tc>
          <w:tcPr>
            <w:tcW w:w="257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长春市</w:t>
            </w:r>
          </w:p>
        </w:tc>
        <w:tc>
          <w:tcPr>
            <w:tcW w:w="1633" w:type="dxa"/>
            <w:tcBorders>
              <w:top w:val="nil"/>
              <w:left w:val="nil"/>
              <w:bottom w:val="single" w:color="auto" w:sz="4" w:space="0"/>
              <w:right w:val="single" w:color="auto" w:sz="4" w:space="0"/>
            </w:tcBorders>
            <w:shd w:val="clear" w:color="auto" w:fill="FFFFFF" w:themeFill="background1"/>
            <w:vAlign w:val="center"/>
          </w:tcPr>
          <w:p>
            <w:pPr>
              <w:widowControl/>
              <w:spacing w:line="320" w:lineRule="exact"/>
              <w:ind w:firstLine="0" w:firstLineChars="0"/>
              <w:jc w:val="center"/>
              <w:rPr>
                <w:rFonts w:cs="Times New Roman"/>
                <w:kern w:val="0"/>
                <w:sz w:val="21"/>
                <w:szCs w:val="21"/>
                <w:highlight w:val="none"/>
              </w:rPr>
            </w:pPr>
            <w:r>
              <w:rPr>
                <w:rFonts w:cs="Times New Roman"/>
                <w:sz w:val="22"/>
                <w:highlight w:val="none"/>
              </w:rPr>
              <w:t>509</w:t>
            </w:r>
          </w:p>
        </w:tc>
        <w:tc>
          <w:tcPr>
            <w:tcW w:w="16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sz w:val="22"/>
                <w:highlight w:val="none"/>
              </w:rPr>
              <w:t>509</w:t>
            </w:r>
          </w:p>
        </w:tc>
        <w:tc>
          <w:tcPr>
            <w:tcW w:w="1648" w:type="dxa"/>
            <w:tcBorders>
              <w:top w:val="nil"/>
              <w:left w:val="nil"/>
              <w:bottom w:val="single" w:color="auto" w:sz="4" w:space="0"/>
              <w:right w:val="single" w:color="auto" w:sz="4" w:space="0"/>
            </w:tcBorders>
            <w:vAlign w:val="center"/>
          </w:tcPr>
          <w:p>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100%</w:t>
            </w:r>
          </w:p>
        </w:tc>
      </w:tr>
      <w:tr>
        <w:tblPrEx>
          <w:tblLayout w:type="fixed"/>
          <w:tblCellMar>
            <w:top w:w="0" w:type="dxa"/>
            <w:left w:w="0" w:type="dxa"/>
            <w:bottom w:w="0" w:type="dxa"/>
            <w:right w:w="0" w:type="dxa"/>
          </w:tblCellMar>
        </w:tblPrEx>
        <w:trPr>
          <w:trHeight w:val="623" w:hRule="atLeast"/>
          <w:jc w:val="center"/>
        </w:trPr>
        <w:tc>
          <w:tcPr>
            <w:tcW w:w="31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吉林市</w:t>
            </w:r>
          </w:p>
        </w:tc>
        <w:tc>
          <w:tcPr>
            <w:tcW w:w="257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吉林市</w:t>
            </w:r>
          </w:p>
        </w:tc>
        <w:tc>
          <w:tcPr>
            <w:tcW w:w="1633" w:type="dxa"/>
            <w:tcBorders>
              <w:top w:val="nil"/>
              <w:left w:val="nil"/>
              <w:bottom w:val="single" w:color="auto" w:sz="4" w:space="0"/>
              <w:right w:val="single" w:color="auto" w:sz="4" w:space="0"/>
            </w:tcBorders>
            <w:shd w:val="clear" w:color="auto" w:fill="FFFFFF" w:themeFill="background1"/>
            <w:vAlign w:val="center"/>
          </w:tcPr>
          <w:p>
            <w:pPr>
              <w:widowControl/>
              <w:spacing w:line="320" w:lineRule="exact"/>
              <w:ind w:firstLine="0" w:firstLineChars="0"/>
              <w:jc w:val="center"/>
              <w:rPr>
                <w:rFonts w:cs="Times New Roman"/>
                <w:kern w:val="0"/>
                <w:sz w:val="21"/>
                <w:szCs w:val="21"/>
                <w:highlight w:val="none"/>
              </w:rPr>
            </w:pPr>
            <w:r>
              <w:rPr>
                <w:rFonts w:cs="Times New Roman"/>
                <w:sz w:val="22"/>
                <w:highlight w:val="none"/>
              </w:rPr>
              <w:t>508.9</w:t>
            </w:r>
          </w:p>
        </w:tc>
        <w:tc>
          <w:tcPr>
            <w:tcW w:w="16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sz w:val="22"/>
                <w:highlight w:val="none"/>
              </w:rPr>
              <w:t>508.9</w:t>
            </w:r>
          </w:p>
        </w:tc>
        <w:tc>
          <w:tcPr>
            <w:tcW w:w="1648" w:type="dxa"/>
            <w:tcBorders>
              <w:top w:val="nil"/>
              <w:left w:val="nil"/>
              <w:bottom w:val="single" w:color="auto" w:sz="4" w:space="0"/>
              <w:right w:val="single" w:color="auto" w:sz="4" w:space="0"/>
            </w:tcBorders>
            <w:vAlign w:val="center"/>
          </w:tcPr>
          <w:p>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100%</w:t>
            </w:r>
          </w:p>
        </w:tc>
      </w:tr>
      <w:tr>
        <w:tblPrEx>
          <w:tblLayout w:type="fixed"/>
          <w:tblCellMar>
            <w:top w:w="0" w:type="dxa"/>
            <w:left w:w="0" w:type="dxa"/>
            <w:bottom w:w="0" w:type="dxa"/>
            <w:right w:w="0" w:type="dxa"/>
          </w:tblCellMar>
        </w:tblPrEx>
        <w:trPr>
          <w:trHeight w:val="623" w:hRule="atLeast"/>
          <w:jc w:val="center"/>
        </w:trPr>
        <w:tc>
          <w:tcPr>
            <w:tcW w:w="31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3</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安图县</w:t>
            </w:r>
          </w:p>
        </w:tc>
        <w:tc>
          <w:tcPr>
            <w:tcW w:w="257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安图县</w:t>
            </w:r>
          </w:p>
        </w:tc>
        <w:tc>
          <w:tcPr>
            <w:tcW w:w="1633" w:type="dxa"/>
            <w:tcBorders>
              <w:top w:val="nil"/>
              <w:left w:val="nil"/>
              <w:bottom w:val="single" w:color="auto" w:sz="4" w:space="0"/>
              <w:right w:val="single" w:color="auto" w:sz="4" w:space="0"/>
            </w:tcBorders>
            <w:shd w:val="clear" w:color="auto" w:fill="FFFFFF" w:themeFill="background1"/>
            <w:vAlign w:val="center"/>
          </w:tcPr>
          <w:p>
            <w:pPr>
              <w:widowControl/>
              <w:spacing w:line="320" w:lineRule="exact"/>
              <w:ind w:firstLine="0" w:firstLineChars="0"/>
              <w:jc w:val="center"/>
              <w:rPr>
                <w:rFonts w:cs="Times New Roman"/>
                <w:kern w:val="0"/>
                <w:sz w:val="21"/>
                <w:szCs w:val="21"/>
                <w:highlight w:val="none"/>
              </w:rPr>
            </w:pPr>
            <w:r>
              <w:rPr>
                <w:rFonts w:cs="Times New Roman"/>
                <w:sz w:val="22"/>
                <w:highlight w:val="none"/>
              </w:rPr>
              <w:t>380</w:t>
            </w:r>
          </w:p>
        </w:tc>
        <w:tc>
          <w:tcPr>
            <w:tcW w:w="16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sz w:val="22"/>
                <w:highlight w:val="none"/>
              </w:rPr>
              <w:t>380</w:t>
            </w:r>
          </w:p>
        </w:tc>
        <w:tc>
          <w:tcPr>
            <w:tcW w:w="1648" w:type="dxa"/>
            <w:tcBorders>
              <w:top w:val="nil"/>
              <w:left w:val="nil"/>
              <w:bottom w:val="single" w:color="auto" w:sz="4" w:space="0"/>
              <w:right w:val="single" w:color="auto" w:sz="4" w:space="0"/>
            </w:tcBorders>
            <w:vAlign w:val="center"/>
          </w:tcPr>
          <w:p>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100%</w:t>
            </w:r>
          </w:p>
        </w:tc>
      </w:tr>
      <w:tr>
        <w:tblPrEx>
          <w:tblLayout w:type="fixed"/>
          <w:tblCellMar>
            <w:top w:w="0" w:type="dxa"/>
            <w:left w:w="0" w:type="dxa"/>
            <w:bottom w:w="0" w:type="dxa"/>
            <w:right w:w="0" w:type="dxa"/>
          </w:tblCellMar>
        </w:tblPrEx>
        <w:trPr>
          <w:trHeight w:val="623" w:hRule="atLeast"/>
          <w:jc w:val="center"/>
        </w:trPr>
        <w:tc>
          <w:tcPr>
            <w:tcW w:w="31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4</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珲春市</w:t>
            </w:r>
          </w:p>
        </w:tc>
        <w:tc>
          <w:tcPr>
            <w:tcW w:w="257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珲春市</w:t>
            </w:r>
          </w:p>
        </w:tc>
        <w:tc>
          <w:tcPr>
            <w:tcW w:w="1633" w:type="dxa"/>
            <w:tcBorders>
              <w:top w:val="nil"/>
              <w:left w:val="nil"/>
              <w:bottom w:val="single" w:color="auto" w:sz="4" w:space="0"/>
              <w:right w:val="single" w:color="auto" w:sz="4" w:space="0"/>
            </w:tcBorders>
            <w:shd w:val="clear" w:color="auto" w:fill="FFFFFF" w:themeFill="background1"/>
            <w:vAlign w:val="center"/>
          </w:tcPr>
          <w:p>
            <w:pPr>
              <w:widowControl/>
              <w:spacing w:line="320" w:lineRule="exact"/>
              <w:ind w:firstLine="0" w:firstLineChars="0"/>
              <w:jc w:val="center"/>
              <w:rPr>
                <w:rFonts w:cs="Times New Roman"/>
                <w:kern w:val="0"/>
                <w:sz w:val="21"/>
                <w:szCs w:val="21"/>
                <w:highlight w:val="none"/>
              </w:rPr>
            </w:pPr>
            <w:r>
              <w:rPr>
                <w:rFonts w:cs="Times New Roman"/>
                <w:sz w:val="22"/>
                <w:highlight w:val="none"/>
              </w:rPr>
              <w:t>385</w:t>
            </w:r>
          </w:p>
        </w:tc>
        <w:tc>
          <w:tcPr>
            <w:tcW w:w="16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sz w:val="22"/>
                <w:highlight w:val="none"/>
              </w:rPr>
              <w:t>385</w:t>
            </w:r>
          </w:p>
        </w:tc>
        <w:tc>
          <w:tcPr>
            <w:tcW w:w="1648" w:type="dxa"/>
            <w:tcBorders>
              <w:top w:val="nil"/>
              <w:left w:val="nil"/>
              <w:bottom w:val="single" w:color="auto" w:sz="4" w:space="0"/>
              <w:right w:val="single" w:color="auto" w:sz="4" w:space="0"/>
            </w:tcBorders>
            <w:vAlign w:val="center"/>
          </w:tcPr>
          <w:p>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100%</w:t>
            </w:r>
          </w:p>
        </w:tc>
      </w:tr>
      <w:tr>
        <w:tblPrEx>
          <w:tblLayout w:type="fixed"/>
          <w:tblCellMar>
            <w:top w:w="0" w:type="dxa"/>
            <w:left w:w="0" w:type="dxa"/>
            <w:bottom w:w="0" w:type="dxa"/>
            <w:right w:w="0" w:type="dxa"/>
          </w:tblCellMar>
        </w:tblPrEx>
        <w:trPr>
          <w:trHeight w:val="623" w:hRule="atLeast"/>
          <w:jc w:val="center"/>
        </w:trPr>
        <w:tc>
          <w:tcPr>
            <w:tcW w:w="31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5</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敦化市</w:t>
            </w:r>
          </w:p>
        </w:tc>
        <w:tc>
          <w:tcPr>
            <w:tcW w:w="257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敦化市</w:t>
            </w:r>
          </w:p>
        </w:tc>
        <w:tc>
          <w:tcPr>
            <w:tcW w:w="1633" w:type="dxa"/>
            <w:tcBorders>
              <w:top w:val="nil"/>
              <w:left w:val="nil"/>
              <w:bottom w:val="single" w:color="auto" w:sz="4" w:space="0"/>
              <w:right w:val="single" w:color="auto" w:sz="4" w:space="0"/>
            </w:tcBorders>
            <w:shd w:val="clear" w:color="auto" w:fill="FFFFFF" w:themeFill="background1"/>
            <w:vAlign w:val="center"/>
          </w:tcPr>
          <w:p>
            <w:pPr>
              <w:widowControl/>
              <w:spacing w:line="320" w:lineRule="exact"/>
              <w:ind w:firstLine="0" w:firstLineChars="0"/>
              <w:jc w:val="center"/>
              <w:rPr>
                <w:rFonts w:cs="Times New Roman"/>
                <w:kern w:val="0"/>
                <w:sz w:val="21"/>
                <w:szCs w:val="21"/>
                <w:highlight w:val="none"/>
              </w:rPr>
            </w:pPr>
            <w:r>
              <w:rPr>
                <w:rFonts w:cs="Times New Roman"/>
                <w:sz w:val="22"/>
                <w:highlight w:val="none"/>
              </w:rPr>
              <w:t>239.8</w:t>
            </w:r>
          </w:p>
        </w:tc>
        <w:tc>
          <w:tcPr>
            <w:tcW w:w="16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sz w:val="22"/>
                <w:highlight w:val="none"/>
              </w:rPr>
              <w:t>239.8</w:t>
            </w:r>
          </w:p>
        </w:tc>
        <w:tc>
          <w:tcPr>
            <w:tcW w:w="1648" w:type="dxa"/>
            <w:tcBorders>
              <w:top w:val="nil"/>
              <w:left w:val="nil"/>
              <w:bottom w:val="single" w:color="auto" w:sz="4" w:space="0"/>
              <w:right w:val="single" w:color="auto" w:sz="4" w:space="0"/>
            </w:tcBorders>
            <w:vAlign w:val="center"/>
          </w:tcPr>
          <w:p>
            <w:pPr>
              <w:widowControl/>
              <w:spacing w:line="320" w:lineRule="exact"/>
              <w:ind w:firstLine="0" w:firstLineChars="0"/>
              <w:jc w:val="center"/>
              <w:rPr>
                <w:rFonts w:cs="Times New Roman"/>
                <w:kern w:val="0"/>
                <w:sz w:val="21"/>
                <w:szCs w:val="21"/>
                <w:highlight w:val="none"/>
              </w:rPr>
            </w:pPr>
            <w:r>
              <w:rPr>
                <w:rFonts w:eastAsia="仿宋" w:cs="Times New Roman"/>
                <w:kern w:val="0"/>
                <w:sz w:val="21"/>
                <w:szCs w:val="21"/>
                <w:highlight w:val="none"/>
              </w:rPr>
              <w:t>100%</w:t>
            </w:r>
          </w:p>
        </w:tc>
      </w:tr>
      <w:tr>
        <w:tblPrEx>
          <w:tblLayout w:type="fixed"/>
          <w:tblCellMar>
            <w:top w:w="0" w:type="dxa"/>
            <w:left w:w="0" w:type="dxa"/>
            <w:bottom w:w="0" w:type="dxa"/>
            <w:right w:w="0" w:type="dxa"/>
          </w:tblCellMar>
        </w:tblPrEx>
        <w:trPr>
          <w:trHeight w:val="623" w:hRule="atLeast"/>
          <w:jc w:val="center"/>
        </w:trPr>
        <w:tc>
          <w:tcPr>
            <w:tcW w:w="31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6</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临江市</w:t>
            </w:r>
          </w:p>
        </w:tc>
        <w:tc>
          <w:tcPr>
            <w:tcW w:w="257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临江市</w:t>
            </w:r>
          </w:p>
        </w:tc>
        <w:tc>
          <w:tcPr>
            <w:tcW w:w="1633" w:type="dxa"/>
            <w:tcBorders>
              <w:top w:val="nil"/>
              <w:left w:val="nil"/>
              <w:bottom w:val="single" w:color="auto" w:sz="4" w:space="0"/>
              <w:right w:val="single" w:color="auto" w:sz="4" w:space="0"/>
            </w:tcBorders>
            <w:shd w:val="clear" w:color="auto" w:fill="FFFFFF" w:themeFill="background1"/>
            <w:vAlign w:val="center"/>
          </w:tcPr>
          <w:p>
            <w:pPr>
              <w:widowControl/>
              <w:spacing w:line="320" w:lineRule="exact"/>
              <w:ind w:firstLine="0" w:firstLineChars="0"/>
              <w:jc w:val="center"/>
              <w:rPr>
                <w:rFonts w:cs="Times New Roman"/>
                <w:kern w:val="0"/>
                <w:sz w:val="21"/>
                <w:szCs w:val="21"/>
                <w:highlight w:val="none"/>
              </w:rPr>
            </w:pPr>
            <w:r>
              <w:rPr>
                <w:rFonts w:cs="Times New Roman"/>
                <w:sz w:val="22"/>
                <w:highlight w:val="none"/>
              </w:rPr>
              <w:t>239.83</w:t>
            </w:r>
          </w:p>
        </w:tc>
        <w:tc>
          <w:tcPr>
            <w:tcW w:w="16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sz w:val="22"/>
                <w:highlight w:val="none"/>
              </w:rPr>
              <w:t>239.83</w:t>
            </w:r>
          </w:p>
        </w:tc>
        <w:tc>
          <w:tcPr>
            <w:tcW w:w="1648" w:type="dxa"/>
            <w:tcBorders>
              <w:top w:val="nil"/>
              <w:left w:val="nil"/>
              <w:bottom w:val="single" w:color="auto" w:sz="4" w:space="0"/>
              <w:right w:val="single" w:color="auto" w:sz="4" w:space="0"/>
            </w:tcBorders>
            <w:vAlign w:val="center"/>
          </w:tcPr>
          <w:p>
            <w:pPr>
              <w:widowControl/>
              <w:spacing w:line="320" w:lineRule="exact"/>
              <w:ind w:firstLine="0" w:firstLineChars="0"/>
              <w:jc w:val="center"/>
              <w:rPr>
                <w:rFonts w:cs="Times New Roman"/>
                <w:kern w:val="0"/>
                <w:sz w:val="21"/>
                <w:szCs w:val="21"/>
                <w:highlight w:val="none"/>
              </w:rPr>
            </w:pPr>
            <w:r>
              <w:rPr>
                <w:rFonts w:cs="Times New Roman"/>
                <w:sz w:val="22"/>
                <w:highlight w:val="none"/>
              </w:rPr>
              <w:t>100%</w:t>
            </w:r>
          </w:p>
        </w:tc>
      </w:tr>
      <w:tr>
        <w:tblPrEx>
          <w:tblLayout w:type="fixed"/>
          <w:tblCellMar>
            <w:top w:w="0" w:type="dxa"/>
            <w:left w:w="0" w:type="dxa"/>
            <w:bottom w:w="0" w:type="dxa"/>
            <w:right w:w="0" w:type="dxa"/>
          </w:tblCellMar>
        </w:tblPrEx>
        <w:trPr>
          <w:trHeight w:val="623" w:hRule="atLeast"/>
          <w:jc w:val="center"/>
        </w:trPr>
        <w:tc>
          <w:tcPr>
            <w:tcW w:w="31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p>
        </w:tc>
        <w:tc>
          <w:tcPr>
            <w:tcW w:w="30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小计</w:t>
            </w:r>
          </w:p>
        </w:tc>
        <w:tc>
          <w:tcPr>
            <w:tcW w:w="163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2262.53</w:t>
            </w:r>
          </w:p>
        </w:tc>
        <w:tc>
          <w:tcPr>
            <w:tcW w:w="16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2262.53</w:t>
            </w:r>
          </w:p>
        </w:tc>
        <w:tc>
          <w:tcPr>
            <w:tcW w:w="1648" w:type="dxa"/>
            <w:tcBorders>
              <w:top w:val="nil"/>
              <w:left w:val="nil"/>
              <w:bottom w:val="single" w:color="auto" w:sz="4" w:space="0"/>
              <w:right w:val="single" w:color="auto" w:sz="4" w:space="0"/>
            </w:tcBorders>
            <w:vAlign w:val="center"/>
          </w:tcPr>
          <w:p>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100%</w:t>
            </w:r>
          </w:p>
        </w:tc>
      </w:tr>
      <w:tr>
        <w:tblPrEx>
          <w:tblLayout w:type="fixed"/>
          <w:tblCellMar>
            <w:top w:w="0" w:type="dxa"/>
            <w:left w:w="0" w:type="dxa"/>
            <w:bottom w:w="0" w:type="dxa"/>
            <w:right w:w="0" w:type="dxa"/>
          </w:tblCellMar>
        </w:tblPrEx>
        <w:trPr>
          <w:trHeight w:val="623" w:hRule="atLeast"/>
          <w:jc w:val="center"/>
        </w:trPr>
        <w:tc>
          <w:tcPr>
            <w:tcW w:w="31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三</w:t>
            </w:r>
          </w:p>
        </w:tc>
        <w:tc>
          <w:tcPr>
            <w:tcW w:w="800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2023年</w:t>
            </w:r>
          </w:p>
        </w:tc>
      </w:tr>
      <w:tr>
        <w:tblPrEx>
          <w:tblLayout w:type="fixed"/>
          <w:tblCellMar>
            <w:top w:w="0" w:type="dxa"/>
            <w:left w:w="0" w:type="dxa"/>
            <w:bottom w:w="0" w:type="dxa"/>
            <w:right w:w="0" w:type="dxa"/>
          </w:tblCellMar>
        </w:tblPrEx>
        <w:trPr>
          <w:trHeight w:val="623" w:hRule="atLeast"/>
          <w:jc w:val="center"/>
        </w:trPr>
        <w:tc>
          <w:tcPr>
            <w:tcW w:w="31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1</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sz w:val="21"/>
                <w:szCs w:val="21"/>
                <w:highlight w:val="none"/>
              </w:rPr>
            </w:pPr>
            <w:r>
              <w:rPr>
                <w:rFonts w:cs="Times New Roman"/>
                <w:sz w:val="21"/>
                <w:szCs w:val="21"/>
                <w:highlight w:val="none"/>
              </w:rPr>
              <w:t>集安市</w:t>
            </w:r>
          </w:p>
        </w:tc>
        <w:tc>
          <w:tcPr>
            <w:tcW w:w="257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sz w:val="21"/>
                <w:szCs w:val="21"/>
                <w:highlight w:val="none"/>
              </w:rPr>
            </w:pPr>
            <w:r>
              <w:rPr>
                <w:rFonts w:cs="Times New Roman"/>
                <w:sz w:val="21"/>
                <w:szCs w:val="21"/>
                <w:highlight w:val="none"/>
              </w:rPr>
              <w:t>集安边境经济合作区医药健康产业园区建设项目（一期）</w:t>
            </w:r>
          </w:p>
        </w:tc>
        <w:tc>
          <w:tcPr>
            <w:tcW w:w="163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152</w:t>
            </w:r>
          </w:p>
        </w:tc>
        <w:tc>
          <w:tcPr>
            <w:tcW w:w="16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152</w:t>
            </w:r>
          </w:p>
        </w:tc>
        <w:tc>
          <w:tcPr>
            <w:tcW w:w="1648" w:type="dxa"/>
            <w:tcBorders>
              <w:top w:val="nil"/>
              <w:left w:val="nil"/>
              <w:bottom w:val="single" w:color="auto" w:sz="4" w:space="0"/>
              <w:right w:val="single" w:color="auto" w:sz="4" w:space="0"/>
            </w:tcBorders>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100%</w:t>
            </w:r>
          </w:p>
        </w:tc>
      </w:tr>
      <w:tr>
        <w:tblPrEx>
          <w:tblLayout w:type="fixed"/>
          <w:tblCellMar>
            <w:top w:w="0" w:type="dxa"/>
            <w:left w:w="0" w:type="dxa"/>
            <w:bottom w:w="0" w:type="dxa"/>
            <w:right w:w="0" w:type="dxa"/>
          </w:tblCellMar>
        </w:tblPrEx>
        <w:trPr>
          <w:trHeight w:val="623" w:hRule="atLeast"/>
          <w:jc w:val="center"/>
        </w:trPr>
        <w:tc>
          <w:tcPr>
            <w:tcW w:w="31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sz w:val="21"/>
                <w:szCs w:val="21"/>
                <w:highlight w:val="none"/>
              </w:rPr>
            </w:pPr>
            <w:r>
              <w:rPr>
                <w:rFonts w:cs="Times New Roman"/>
                <w:sz w:val="21"/>
                <w:szCs w:val="21"/>
                <w:highlight w:val="none"/>
              </w:rPr>
              <w:t>龙井市</w:t>
            </w:r>
          </w:p>
        </w:tc>
        <w:tc>
          <w:tcPr>
            <w:tcW w:w="257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sz w:val="21"/>
                <w:szCs w:val="21"/>
                <w:highlight w:val="none"/>
              </w:rPr>
            </w:pPr>
            <w:r>
              <w:rPr>
                <w:rFonts w:cs="Times New Roman"/>
                <w:sz w:val="21"/>
                <w:szCs w:val="21"/>
                <w:highlight w:val="none"/>
              </w:rPr>
              <w:t>琵岩山高丽汤泉村空气源热泵项目</w:t>
            </w:r>
          </w:p>
        </w:tc>
        <w:tc>
          <w:tcPr>
            <w:tcW w:w="163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75</w:t>
            </w:r>
          </w:p>
        </w:tc>
        <w:tc>
          <w:tcPr>
            <w:tcW w:w="16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sz w:val="21"/>
                <w:szCs w:val="21"/>
                <w:highlight w:val="none"/>
              </w:rPr>
            </w:pPr>
            <w:r>
              <w:rPr>
                <w:rFonts w:cs="Times New Roman"/>
                <w:sz w:val="21"/>
                <w:szCs w:val="21"/>
                <w:highlight w:val="none"/>
              </w:rPr>
              <w:t>75</w:t>
            </w:r>
          </w:p>
        </w:tc>
        <w:tc>
          <w:tcPr>
            <w:tcW w:w="1648" w:type="dxa"/>
            <w:tcBorders>
              <w:top w:val="nil"/>
              <w:left w:val="nil"/>
              <w:bottom w:val="single" w:color="auto" w:sz="4" w:space="0"/>
              <w:right w:val="single" w:color="auto" w:sz="4" w:space="0"/>
            </w:tcBorders>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100%</w:t>
            </w:r>
          </w:p>
        </w:tc>
      </w:tr>
      <w:tr>
        <w:tblPrEx>
          <w:tblLayout w:type="fixed"/>
          <w:tblCellMar>
            <w:top w:w="0" w:type="dxa"/>
            <w:left w:w="0" w:type="dxa"/>
            <w:bottom w:w="0" w:type="dxa"/>
            <w:right w:w="0" w:type="dxa"/>
          </w:tblCellMar>
        </w:tblPrEx>
        <w:trPr>
          <w:trHeight w:val="623" w:hRule="atLeast"/>
          <w:jc w:val="center"/>
        </w:trPr>
        <w:tc>
          <w:tcPr>
            <w:tcW w:w="31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3</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sz w:val="21"/>
                <w:szCs w:val="21"/>
                <w:highlight w:val="none"/>
              </w:rPr>
            </w:pPr>
            <w:r>
              <w:rPr>
                <w:rFonts w:cs="Times New Roman"/>
                <w:sz w:val="21"/>
                <w:szCs w:val="21"/>
                <w:highlight w:val="none"/>
              </w:rPr>
              <w:t>梨树县</w:t>
            </w:r>
          </w:p>
        </w:tc>
        <w:tc>
          <w:tcPr>
            <w:tcW w:w="257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sz w:val="21"/>
                <w:szCs w:val="21"/>
                <w:highlight w:val="none"/>
              </w:rPr>
            </w:pPr>
            <w:r>
              <w:rPr>
                <w:rFonts w:cs="Times New Roman"/>
                <w:sz w:val="21"/>
                <w:szCs w:val="21"/>
                <w:highlight w:val="none"/>
              </w:rPr>
              <w:t>梨树县公共实训基地建设项目</w:t>
            </w:r>
          </w:p>
        </w:tc>
        <w:tc>
          <w:tcPr>
            <w:tcW w:w="163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33.6</w:t>
            </w:r>
          </w:p>
        </w:tc>
        <w:tc>
          <w:tcPr>
            <w:tcW w:w="16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sz w:val="21"/>
                <w:szCs w:val="21"/>
                <w:highlight w:val="none"/>
              </w:rPr>
            </w:pPr>
            <w:r>
              <w:rPr>
                <w:rFonts w:cs="Times New Roman"/>
                <w:sz w:val="21"/>
                <w:szCs w:val="21"/>
                <w:highlight w:val="none"/>
              </w:rPr>
              <w:t>33.6</w:t>
            </w:r>
          </w:p>
        </w:tc>
        <w:tc>
          <w:tcPr>
            <w:tcW w:w="1648" w:type="dxa"/>
            <w:tcBorders>
              <w:top w:val="nil"/>
              <w:left w:val="nil"/>
              <w:bottom w:val="single" w:color="auto" w:sz="4" w:space="0"/>
              <w:right w:val="single" w:color="auto" w:sz="4" w:space="0"/>
            </w:tcBorders>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100%</w:t>
            </w:r>
          </w:p>
        </w:tc>
      </w:tr>
      <w:tr>
        <w:tblPrEx>
          <w:tblLayout w:type="fixed"/>
          <w:tblCellMar>
            <w:top w:w="0" w:type="dxa"/>
            <w:left w:w="0" w:type="dxa"/>
            <w:bottom w:w="0" w:type="dxa"/>
            <w:right w:w="0" w:type="dxa"/>
          </w:tblCellMar>
        </w:tblPrEx>
        <w:trPr>
          <w:trHeight w:val="623" w:hRule="atLeast"/>
          <w:jc w:val="center"/>
        </w:trPr>
        <w:tc>
          <w:tcPr>
            <w:tcW w:w="31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4</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sz w:val="21"/>
                <w:szCs w:val="21"/>
                <w:highlight w:val="none"/>
              </w:rPr>
            </w:pPr>
            <w:r>
              <w:rPr>
                <w:rFonts w:cs="Times New Roman"/>
                <w:sz w:val="21"/>
                <w:szCs w:val="21"/>
                <w:highlight w:val="none"/>
              </w:rPr>
              <w:t>通化市</w:t>
            </w:r>
          </w:p>
        </w:tc>
        <w:tc>
          <w:tcPr>
            <w:tcW w:w="257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sz w:val="21"/>
                <w:szCs w:val="21"/>
                <w:highlight w:val="none"/>
              </w:rPr>
            </w:pPr>
            <w:r>
              <w:rPr>
                <w:rFonts w:cs="Times New Roman"/>
                <w:sz w:val="21"/>
                <w:szCs w:val="21"/>
                <w:highlight w:val="none"/>
              </w:rPr>
              <w:t>通化医药高新区空气能改造项目（一期）</w:t>
            </w:r>
          </w:p>
        </w:tc>
        <w:tc>
          <w:tcPr>
            <w:tcW w:w="163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65.2</w:t>
            </w:r>
          </w:p>
        </w:tc>
        <w:tc>
          <w:tcPr>
            <w:tcW w:w="16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sz w:val="21"/>
                <w:szCs w:val="21"/>
                <w:highlight w:val="none"/>
              </w:rPr>
            </w:pPr>
            <w:r>
              <w:rPr>
                <w:rFonts w:cs="Times New Roman"/>
                <w:sz w:val="21"/>
                <w:szCs w:val="21"/>
                <w:highlight w:val="none"/>
              </w:rPr>
              <w:t>65.2</w:t>
            </w:r>
          </w:p>
        </w:tc>
        <w:tc>
          <w:tcPr>
            <w:tcW w:w="1648" w:type="dxa"/>
            <w:tcBorders>
              <w:top w:val="nil"/>
              <w:left w:val="nil"/>
              <w:bottom w:val="single" w:color="auto" w:sz="4" w:space="0"/>
              <w:right w:val="single" w:color="auto" w:sz="4" w:space="0"/>
            </w:tcBorders>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100%</w:t>
            </w:r>
          </w:p>
        </w:tc>
      </w:tr>
      <w:tr>
        <w:tblPrEx>
          <w:tblLayout w:type="fixed"/>
          <w:tblCellMar>
            <w:top w:w="0" w:type="dxa"/>
            <w:left w:w="0" w:type="dxa"/>
            <w:bottom w:w="0" w:type="dxa"/>
            <w:right w:w="0" w:type="dxa"/>
          </w:tblCellMar>
        </w:tblPrEx>
        <w:trPr>
          <w:trHeight w:val="623" w:hRule="atLeast"/>
          <w:jc w:val="center"/>
        </w:trPr>
        <w:tc>
          <w:tcPr>
            <w:tcW w:w="31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5</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sz w:val="21"/>
                <w:szCs w:val="21"/>
                <w:highlight w:val="none"/>
              </w:rPr>
            </w:pPr>
            <w:r>
              <w:rPr>
                <w:rFonts w:cs="Times New Roman"/>
                <w:sz w:val="21"/>
                <w:szCs w:val="21"/>
                <w:highlight w:val="none"/>
              </w:rPr>
              <w:t>扶余市</w:t>
            </w:r>
          </w:p>
        </w:tc>
        <w:tc>
          <w:tcPr>
            <w:tcW w:w="257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sz w:val="21"/>
                <w:szCs w:val="21"/>
                <w:highlight w:val="none"/>
              </w:rPr>
            </w:pPr>
            <w:r>
              <w:rPr>
                <w:rFonts w:cs="Times New Roman"/>
                <w:sz w:val="21"/>
                <w:szCs w:val="21"/>
                <w:highlight w:val="none"/>
              </w:rPr>
              <w:t>扶余市金源购物广场</w:t>
            </w:r>
          </w:p>
        </w:tc>
        <w:tc>
          <w:tcPr>
            <w:tcW w:w="163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r>
              <w:rPr>
                <w:rFonts w:cs="Times New Roman"/>
                <w:sz w:val="21"/>
                <w:szCs w:val="21"/>
                <w:highlight w:val="none"/>
              </w:rPr>
              <w:t>56.2</w:t>
            </w:r>
          </w:p>
        </w:tc>
        <w:tc>
          <w:tcPr>
            <w:tcW w:w="16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sz w:val="21"/>
                <w:szCs w:val="21"/>
                <w:highlight w:val="none"/>
              </w:rPr>
            </w:pPr>
            <w:r>
              <w:rPr>
                <w:rFonts w:cs="Times New Roman"/>
                <w:sz w:val="21"/>
                <w:szCs w:val="21"/>
                <w:highlight w:val="none"/>
              </w:rPr>
              <w:t>56.2</w:t>
            </w:r>
          </w:p>
        </w:tc>
        <w:tc>
          <w:tcPr>
            <w:tcW w:w="1648" w:type="dxa"/>
            <w:tcBorders>
              <w:top w:val="nil"/>
              <w:left w:val="nil"/>
              <w:bottom w:val="single" w:color="auto" w:sz="4" w:space="0"/>
              <w:right w:val="single" w:color="auto" w:sz="4" w:space="0"/>
            </w:tcBorders>
            <w:vAlign w:val="center"/>
          </w:tcPr>
          <w:p>
            <w:pPr>
              <w:widowControl/>
              <w:spacing w:line="320" w:lineRule="exact"/>
              <w:ind w:firstLine="0" w:firstLineChars="0"/>
              <w:jc w:val="center"/>
              <w:rPr>
                <w:rFonts w:cs="Times New Roman"/>
                <w:kern w:val="0"/>
                <w:sz w:val="21"/>
                <w:szCs w:val="21"/>
                <w:highlight w:val="none"/>
              </w:rPr>
            </w:pPr>
            <w:r>
              <w:rPr>
                <w:rFonts w:cs="Times New Roman"/>
                <w:kern w:val="0"/>
                <w:sz w:val="21"/>
                <w:szCs w:val="21"/>
                <w:highlight w:val="none"/>
              </w:rPr>
              <w:t>100%</w:t>
            </w:r>
          </w:p>
        </w:tc>
      </w:tr>
      <w:tr>
        <w:tblPrEx>
          <w:tblLayout w:type="fixed"/>
          <w:tblCellMar>
            <w:top w:w="0" w:type="dxa"/>
            <w:left w:w="0" w:type="dxa"/>
            <w:bottom w:w="0" w:type="dxa"/>
            <w:right w:w="0" w:type="dxa"/>
          </w:tblCellMar>
        </w:tblPrEx>
        <w:trPr>
          <w:trHeight w:val="623" w:hRule="atLeast"/>
          <w:jc w:val="center"/>
        </w:trPr>
        <w:tc>
          <w:tcPr>
            <w:tcW w:w="31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1"/>
                <w:szCs w:val="21"/>
                <w:highlight w:val="none"/>
              </w:rPr>
            </w:pPr>
          </w:p>
        </w:tc>
        <w:tc>
          <w:tcPr>
            <w:tcW w:w="30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小计</w:t>
            </w:r>
          </w:p>
        </w:tc>
        <w:tc>
          <w:tcPr>
            <w:tcW w:w="163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382</w:t>
            </w:r>
          </w:p>
        </w:tc>
        <w:tc>
          <w:tcPr>
            <w:tcW w:w="16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382</w:t>
            </w:r>
          </w:p>
        </w:tc>
        <w:tc>
          <w:tcPr>
            <w:tcW w:w="1648" w:type="dxa"/>
            <w:tcBorders>
              <w:top w:val="nil"/>
              <w:left w:val="nil"/>
              <w:bottom w:val="single" w:color="auto" w:sz="4" w:space="0"/>
              <w:right w:val="single" w:color="auto" w:sz="4" w:space="0"/>
            </w:tcBorders>
            <w:vAlign w:val="center"/>
          </w:tcPr>
          <w:p>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100%</w:t>
            </w:r>
          </w:p>
        </w:tc>
      </w:tr>
      <w:tr>
        <w:tblPrEx>
          <w:tblLayout w:type="fixed"/>
          <w:tblCellMar>
            <w:top w:w="0" w:type="dxa"/>
            <w:left w:w="0" w:type="dxa"/>
            <w:bottom w:w="0" w:type="dxa"/>
            <w:right w:w="0" w:type="dxa"/>
          </w:tblCellMar>
        </w:tblPrEx>
        <w:trPr>
          <w:trHeight w:val="551" w:hRule="atLeast"/>
          <w:jc w:val="center"/>
        </w:trPr>
        <w:tc>
          <w:tcPr>
            <w:tcW w:w="33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合计</w:t>
            </w:r>
          </w:p>
        </w:tc>
        <w:tc>
          <w:tcPr>
            <w:tcW w:w="1633"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2955</w:t>
            </w:r>
          </w:p>
        </w:tc>
        <w:tc>
          <w:tcPr>
            <w:tcW w:w="16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2955</w:t>
            </w:r>
          </w:p>
        </w:tc>
        <w:tc>
          <w:tcPr>
            <w:tcW w:w="1648" w:type="dxa"/>
            <w:tcBorders>
              <w:top w:val="nil"/>
              <w:left w:val="nil"/>
              <w:bottom w:val="single" w:color="auto" w:sz="4" w:space="0"/>
              <w:right w:val="single" w:color="auto" w:sz="4" w:space="0"/>
            </w:tcBorders>
            <w:vAlign w:val="center"/>
          </w:tcPr>
          <w:p>
            <w:pPr>
              <w:widowControl/>
              <w:spacing w:line="320" w:lineRule="exact"/>
              <w:ind w:firstLine="0" w:firstLineChars="0"/>
              <w:jc w:val="center"/>
              <w:rPr>
                <w:rFonts w:cs="Times New Roman"/>
                <w:b/>
                <w:kern w:val="0"/>
                <w:sz w:val="21"/>
                <w:szCs w:val="21"/>
                <w:highlight w:val="none"/>
              </w:rPr>
            </w:pPr>
            <w:r>
              <w:rPr>
                <w:rFonts w:cs="Times New Roman"/>
                <w:b/>
                <w:kern w:val="0"/>
                <w:sz w:val="21"/>
                <w:szCs w:val="21"/>
                <w:highlight w:val="none"/>
              </w:rPr>
              <w:t>100%</w:t>
            </w:r>
          </w:p>
        </w:tc>
      </w:tr>
    </w:tbl>
    <w:p>
      <w:pPr>
        <w:pStyle w:val="5"/>
        <w:rPr>
          <w:rFonts w:ascii="Times New Roman" w:hAnsi="Times New Roman" w:cs="Times New Roman"/>
          <w:highlight w:val="none"/>
        </w:rPr>
      </w:pPr>
      <w:bookmarkStart w:id="2" w:name="_Toc136264975"/>
      <w:r>
        <w:rPr>
          <w:rFonts w:ascii="Times New Roman" w:hAnsi="Times New Roman" w:cs="Times New Roman"/>
          <w:highlight w:val="none"/>
        </w:rPr>
        <w:t>（二）项目绩效目标</w:t>
      </w:r>
      <w:bookmarkEnd w:id="2"/>
    </w:p>
    <w:p>
      <w:pPr>
        <w:pStyle w:val="6"/>
        <w:ind w:firstLine="560"/>
        <w:rPr>
          <w:rFonts w:cs="Times New Roman"/>
          <w:highlight w:val="none"/>
        </w:rPr>
      </w:pPr>
      <w:r>
        <w:rPr>
          <w:rFonts w:cs="Times New Roman"/>
          <w:highlight w:val="none"/>
        </w:rPr>
        <w:t>1.总体绩效目标</w:t>
      </w:r>
    </w:p>
    <w:p>
      <w:pPr>
        <w:ind w:firstLine="560"/>
        <w:rPr>
          <w:rFonts w:cs="Times New Roman"/>
          <w:highlight w:val="none"/>
        </w:rPr>
      </w:pPr>
      <w:r>
        <w:rPr>
          <w:rFonts w:cs="Times New Roman"/>
          <w:highlight w:val="none"/>
        </w:rPr>
        <w:t>根据《吉林省绿色建筑创建实施方案》等材料，评价工作组梳理出项目绩效的目标为：促进吉林省建筑节能高质量发展，提高建筑节能能效，全省城镇新建建筑中绿色建筑面积占比持续提高，到2023年底，全省新建绿色建筑比例达到90%，施工阶段执行绿色建筑标准比率不断提高，提高公众对绿色建筑的认知度、认同度，形成崇尚绿色生活的社会氛围。</w:t>
      </w:r>
    </w:p>
    <w:p>
      <w:pPr>
        <w:pStyle w:val="6"/>
        <w:ind w:firstLine="560"/>
        <w:rPr>
          <w:rFonts w:cs="Times New Roman"/>
          <w:highlight w:val="none"/>
        </w:rPr>
      </w:pPr>
      <w:r>
        <w:rPr>
          <w:rFonts w:cs="Times New Roman"/>
          <w:highlight w:val="none"/>
        </w:rPr>
        <w:t>2.阶段性绩效目标</w:t>
      </w:r>
    </w:p>
    <w:p>
      <w:pPr>
        <w:ind w:firstLine="560"/>
        <w:rPr>
          <w:rFonts w:cs="Times New Roman"/>
          <w:highlight w:val="none"/>
        </w:rPr>
      </w:pPr>
      <w:r>
        <w:rPr>
          <w:rFonts w:cs="Times New Roman"/>
          <w:highlight w:val="none"/>
        </w:rPr>
        <w:t>评价工作组根据年度工作总结、计划以及专项资金绩效目标申报表等材料，梳理出项目实施期内各年度绩效目标为：</w:t>
      </w:r>
    </w:p>
    <w:p>
      <w:pPr>
        <w:ind w:firstLine="560"/>
        <w:rPr>
          <w:rFonts w:cs="Times New Roman"/>
          <w:highlight w:val="none"/>
        </w:rPr>
      </w:pPr>
      <w:r>
        <w:rPr>
          <w:rFonts w:cs="Times New Roman"/>
          <w:highlight w:val="none"/>
        </w:rPr>
        <w:t>（1）2021年绩效目标</w:t>
      </w:r>
    </w:p>
    <w:p>
      <w:pPr>
        <w:ind w:firstLine="560"/>
        <w:rPr>
          <w:rFonts w:cs="Times New Roman"/>
          <w:highlight w:val="none"/>
        </w:rPr>
      </w:pPr>
      <w:r>
        <w:rPr>
          <w:rFonts w:cs="Times New Roman"/>
          <w:highlight w:val="none"/>
        </w:rPr>
        <w:t>建设可再生能源建筑示范面积12.74万平方米，每年可节约标煤0.26万吨，减排二氧化碳0.64万吨。</w:t>
      </w:r>
    </w:p>
    <w:p>
      <w:pPr>
        <w:ind w:firstLine="560"/>
        <w:rPr>
          <w:rFonts w:cs="Times New Roman"/>
          <w:highlight w:val="none"/>
        </w:rPr>
      </w:pPr>
      <w:r>
        <w:rPr>
          <w:rFonts w:cs="Times New Roman"/>
          <w:highlight w:val="none"/>
        </w:rPr>
        <w:t>（2）2022年绩效目标</w:t>
      </w:r>
    </w:p>
    <w:p>
      <w:pPr>
        <w:ind w:firstLine="560"/>
        <w:rPr>
          <w:rFonts w:cs="Times New Roman"/>
          <w:highlight w:val="none"/>
        </w:rPr>
      </w:pPr>
      <w:r>
        <w:rPr>
          <w:rFonts w:cs="Times New Roman"/>
          <w:highlight w:val="none"/>
        </w:rPr>
        <w:t>建设可再生能源建筑示范面积82.91万平方米，每年可节约标煤1.53万吨，减排二氧化碳3.78万吨，减排二氧化硫0.03万吨。</w:t>
      </w:r>
    </w:p>
    <w:p>
      <w:pPr>
        <w:ind w:firstLine="560"/>
        <w:rPr>
          <w:rFonts w:cs="Times New Roman"/>
          <w:highlight w:val="none"/>
        </w:rPr>
      </w:pPr>
      <w:r>
        <w:rPr>
          <w:rFonts w:cs="Times New Roman"/>
          <w:highlight w:val="none"/>
        </w:rPr>
        <w:t>（3）2023年绩效目标</w:t>
      </w:r>
    </w:p>
    <w:p>
      <w:pPr>
        <w:ind w:firstLine="560"/>
        <w:rPr>
          <w:rFonts w:cs="Times New Roman"/>
          <w:highlight w:val="none"/>
        </w:rPr>
      </w:pPr>
      <w:r>
        <w:rPr>
          <w:rFonts w:cs="Times New Roman"/>
          <w:highlight w:val="none"/>
        </w:rPr>
        <w:t>建设可再生能源建筑示范面积18.26万平方米，每年可节约标煤0.37万吨，减排二氧化碳0.92万吨，减排二氧化硫0.01万吨。</w:t>
      </w:r>
    </w:p>
    <w:p>
      <w:pPr>
        <w:pStyle w:val="4"/>
        <w:rPr>
          <w:rFonts w:cs="Times New Roman"/>
          <w:highlight w:val="none"/>
        </w:rPr>
      </w:pPr>
      <w:bookmarkStart w:id="3" w:name="_Toc136264976"/>
      <w:r>
        <w:rPr>
          <w:rFonts w:cs="Times New Roman"/>
          <w:highlight w:val="none"/>
        </w:rPr>
        <w:t>二、绩效评价工作开展情况</w:t>
      </w:r>
      <w:bookmarkEnd w:id="3"/>
    </w:p>
    <w:p>
      <w:pPr>
        <w:pStyle w:val="5"/>
        <w:rPr>
          <w:rFonts w:ascii="Times New Roman" w:hAnsi="Times New Roman" w:cs="Times New Roman"/>
          <w:highlight w:val="none"/>
        </w:rPr>
      </w:pPr>
      <w:bookmarkStart w:id="4" w:name="_Toc136264977"/>
      <w:r>
        <w:rPr>
          <w:rFonts w:ascii="Times New Roman" w:hAnsi="Times New Roman" w:cs="Times New Roman"/>
          <w:highlight w:val="none"/>
        </w:rPr>
        <w:t>（一）绩效评价目的</w:t>
      </w:r>
      <w:bookmarkEnd w:id="4"/>
    </w:p>
    <w:p>
      <w:pPr>
        <w:ind w:firstLine="560"/>
        <w:rPr>
          <w:rFonts w:cs="Times New Roman"/>
          <w:highlight w:val="none"/>
        </w:rPr>
      </w:pPr>
      <w:r>
        <w:rPr>
          <w:rFonts w:cs="Times New Roman"/>
          <w:highlight w:val="none"/>
        </w:rPr>
        <w:t>财政支出绩效评价是提高公共服务质量、提升公共支出有效性的手段，通过指标设计和量化分析检验公共支出效果。本次评价从决策、过程、产出和效益等方面，综合考察专项资金实施情况、取得的成绩及效益，分析项目管理、资金管理等方面存在的问题，并提出针对性建议。</w:t>
      </w:r>
    </w:p>
    <w:p>
      <w:pPr>
        <w:ind w:firstLine="560"/>
        <w:rPr>
          <w:rFonts w:cs="Times New Roman"/>
          <w:highlight w:val="none"/>
        </w:rPr>
      </w:pPr>
      <w:r>
        <w:rPr>
          <w:rFonts w:cs="Times New Roman"/>
          <w:highlight w:val="none"/>
        </w:rPr>
        <w:t>通过开展绩效评价工作，主要从政府专项资金投入的角度对项目管理、实施情况进行分析，全面考察专项资金决策管理情况、预期目标完成情况以及效益目标实现程度，重点关注项目的目标完成情况，取得社会效益及经济效益情况。通过评价建筑节能奖补资专项资金的使用效率，发现资金分配、拨付、使用过程存在的问题，分析影响项目目标完成的因素，为进一步提高资金的使用效益，规范项目遴选和管理等提供相应的意见和改进建议，为财政资金的安排和政策调整提供决策依据。</w:t>
      </w:r>
    </w:p>
    <w:p>
      <w:pPr>
        <w:pStyle w:val="5"/>
        <w:rPr>
          <w:rFonts w:ascii="Times New Roman" w:hAnsi="Times New Roman" w:cs="Times New Roman"/>
          <w:highlight w:val="none"/>
        </w:rPr>
      </w:pPr>
      <w:bookmarkStart w:id="5" w:name="_Toc136264978"/>
      <w:r>
        <w:rPr>
          <w:rFonts w:ascii="Times New Roman" w:hAnsi="Times New Roman" w:cs="Times New Roman"/>
          <w:highlight w:val="none"/>
        </w:rPr>
        <w:t>（二）评价对象和范围</w:t>
      </w:r>
      <w:bookmarkEnd w:id="5"/>
    </w:p>
    <w:p>
      <w:pPr>
        <w:ind w:firstLine="560"/>
        <w:rPr>
          <w:rFonts w:cs="Times New Roman"/>
          <w:highlight w:val="none"/>
        </w:rPr>
      </w:pPr>
      <w:r>
        <w:rPr>
          <w:rFonts w:cs="Times New Roman"/>
          <w:highlight w:val="none"/>
        </w:rPr>
        <w:t>项目评价对象为2021-2023年度吉林省建筑节能奖补资金2955万元。评价范围包括13个项目和6个示范市、县。</w:t>
      </w:r>
    </w:p>
    <w:p>
      <w:pPr>
        <w:pStyle w:val="5"/>
        <w:rPr>
          <w:rFonts w:ascii="Times New Roman" w:hAnsi="Times New Roman" w:cs="Times New Roman"/>
          <w:highlight w:val="none"/>
        </w:rPr>
      </w:pPr>
      <w:bookmarkStart w:id="6" w:name="_Toc136264979"/>
      <w:r>
        <w:rPr>
          <w:rFonts w:ascii="Times New Roman" w:hAnsi="Times New Roman" w:cs="Times New Roman"/>
          <w:highlight w:val="none"/>
        </w:rPr>
        <w:t>（三）评价原则</w:t>
      </w:r>
      <w:bookmarkEnd w:id="6"/>
    </w:p>
    <w:p>
      <w:pPr>
        <w:ind w:firstLine="560"/>
        <w:rPr>
          <w:rFonts w:cs="Times New Roman"/>
          <w:highlight w:val="none"/>
        </w:rPr>
      </w:pPr>
      <w:r>
        <w:rPr>
          <w:rFonts w:cs="Times New Roman"/>
          <w:highlight w:val="none"/>
        </w:rPr>
        <w:t>评价组根据项目特点，参照《财政支出绩效评价管理办法》（财预〔2020〕10号）和《吉林省项目支出绩效评价管理暂行办法》（吉财绩〔2020〕711号）的要求，按照经济性、效率性、效益性和公平性的原则，从决策、过程、产出和效益四个维度设计指标体系并开展评价。</w:t>
      </w:r>
    </w:p>
    <w:p>
      <w:pPr>
        <w:pStyle w:val="5"/>
        <w:rPr>
          <w:rFonts w:ascii="Times New Roman" w:hAnsi="Times New Roman" w:cs="Times New Roman"/>
          <w:highlight w:val="none"/>
        </w:rPr>
      </w:pPr>
      <w:bookmarkStart w:id="7" w:name="_Toc136264980"/>
      <w:r>
        <w:rPr>
          <w:rFonts w:ascii="Times New Roman" w:hAnsi="Times New Roman" w:cs="Times New Roman"/>
          <w:highlight w:val="none"/>
        </w:rPr>
        <w:t>（四）评价指标体系</w:t>
      </w:r>
      <w:bookmarkEnd w:id="7"/>
    </w:p>
    <w:p>
      <w:pPr>
        <w:ind w:firstLine="560"/>
        <w:rPr>
          <w:rFonts w:cs="Times New Roman"/>
          <w:highlight w:val="none"/>
        </w:rPr>
      </w:pPr>
      <w:r>
        <w:rPr>
          <w:rFonts w:cs="Times New Roman"/>
          <w:highlight w:val="none"/>
        </w:rPr>
        <w:t>根据《财政部关于印发〈项目支出绩效评价管理办法〉的通知》（财预〔2020〕10号）、《关于全面实施预算绩效管理的意见》（中发〔2018〕34号）等文件要求，按照“决策-过程-产出-效益”的逻辑思路对绩效目标进行了细化分解，参考匹配性与适应性原则，结合计划标准、历史标准等制定指标的目标值，设置形成绩效评价指标体系。指标体系框架由4个大类组成，包括4项一级指标、14项二级指标及26项三级指标，具体指标详见附件1，指标框架如下：</w:t>
      </w:r>
    </w:p>
    <w:p>
      <w:pPr>
        <w:pStyle w:val="6"/>
        <w:ind w:firstLine="560"/>
        <w:rPr>
          <w:rFonts w:cs="Times New Roman"/>
          <w:highlight w:val="none"/>
        </w:rPr>
      </w:pPr>
      <w:r>
        <w:rPr>
          <w:rFonts w:cs="Times New Roman"/>
          <w:highlight w:val="none"/>
        </w:rPr>
        <w:t>1.决策指标</w:t>
      </w:r>
    </w:p>
    <w:p>
      <w:pPr>
        <w:ind w:firstLine="560"/>
        <w:rPr>
          <w:rFonts w:cs="Times New Roman"/>
          <w:highlight w:val="none"/>
        </w:rPr>
      </w:pPr>
      <w:r>
        <w:rPr>
          <w:rFonts w:cs="Times New Roman"/>
          <w:highlight w:val="none"/>
        </w:rPr>
        <w:t>权重分20分，重点评价本项目在决策方面的科学性、合理性；立项依据是否充分合理，项目实施内容是否与国家相关政策内容相关；项目目标是否与国家、省级相关政策或规划目标一致并符合实际需求；预算编制是否符合相关政策要求。</w:t>
      </w:r>
    </w:p>
    <w:p>
      <w:pPr>
        <w:pStyle w:val="6"/>
        <w:ind w:firstLine="560"/>
        <w:rPr>
          <w:rFonts w:cs="Times New Roman"/>
          <w:highlight w:val="none"/>
        </w:rPr>
      </w:pPr>
      <w:r>
        <w:rPr>
          <w:rFonts w:cs="Times New Roman"/>
          <w:highlight w:val="none"/>
        </w:rPr>
        <w:t>2.过程指标</w:t>
      </w:r>
    </w:p>
    <w:p>
      <w:pPr>
        <w:ind w:firstLine="560"/>
        <w:rPr>
          <w:rFonts w:cs="Times New Roman"/>
          <w:highlight w:val="none"/>
        </w:rPr>
      </w:pPr>
      <w:r>
        <w:rPr>
          <w:rFonts w:cs="Times New Roman"/>
          <w:highlight w:val="none"/>
        </w:rPr>
        <w:t>权重分20分，从项目实施过程中管理制度的建设和执行层面予以考察。重点评价预算执行情况，资金使用、资金拨付流程是否符合资金管理制度规定；是否建立了健全管理制度；业务实施和资金使用过程中是否进行了有效的监管措施。</w:t>
      </w:r>
    </w:p>
    <w:p>
      <w:pPr>
        <w:pStyle w:val="6"/>
        <w:ind w:firstLine="560"/>
        <w:rPr>
          <w:rFonts w:cs="Times New Roman"/>
          <w:highlight w:val="none"/>
        </w:rPr>
      </w:pPr>
      <w:r>
        <w:rPr>
          <w:rFonts w:cs="Times New Roman"/>
          <w:highlight w:val="none"/>
        </w:rPr>
        <w:t>3.产出指标</w:t>
      </w:r>
    </w:p>
    <w:p>
      <w:pPr>
        <w:ind w:firstLine="560"/>
        <w:rPr>
          <w:rFonts w:cs="Times New Roman"/>
          <w:highlight w:val="none"/>
        </w:rPr>
      </w:pPr>
      <w:r>
        <w:rPr>
          <w:rFonts w:cs="Times New Roman"/>
          <w:highlight w:val="none"/>
        </w:rPr>
        <w:t>权重分30分，重点围绕项目产出指标。从产出数量、质量、时效及成本四个方面进行考察。围绕示范面积完成率、示范市县完成率、项目质量达标率等方面重点开展。</w:t>
      </w:r>
    </w:p>
    <w:p>
      <w:pPr>
        <w:pStyle w:val="6"/>
        <w:ind w:firstLine="560"/>
        <w:rPr>
          <w:rFonts w:cs="Times New Roman"/>
          <w:highlight w:val="none"/>
        </w:rPr>
      </w:pPr>
      <w:r>
        <w:rPr>
          <w:rFonts w:cs="Times New Roman"/>
          <w:highlight w:val="none"/>
        </w:rPr>
        <w:t>4.效益指标</w:t>
      </w:r>
    </w:p>
    <w:p>
      <w:pPr>
        <w:ind w:firstLine="560"/>
        <w:rPr>
          <w:rFonts w:cs="Times New Roman"/>
          <w:highlight w:val="none"/>
        </w:rPr>
      </w:pPr>
      <w:r>
        <w:rPr>
          <w:rFonts w:cs="Times New Roman"/>
          <w:highlight w:val="none"/>
        </w:rPr>
        <w:t>权重分30分，重点围绕经济效益、社会效益、生态效益、可持续影响和满意度方面进行考察。重点考察项目取暖和制冷成本、人居环境冷暖保障情况、城镇绿色建筑占新建建筑比例、二氧化碳减排量、标准煤节约量、受益人群项目的满意度等情况。</w:t>
      </w:r>
    </w:p>
    <w:p>
      <w:pPr>
        <w:pStyle w:val="5"/>
        <w:rPr>
          <w:rFonts w:ascii="Times New Roman" w:hAnsi="Times New Roman" w:cs="Times New Roman"/>
          <w:highlight w:val="none"/>
        </w:rPr>
      </w:pPr>
      <w:bookmarkStart w:id="8" w:name="_Toc136264981"/>
      <w:r>
        <w:rPr>
          <w:rFonts w:ascii="Times New Roman" w:hAnsi="Times New Roman" w:cs="Times New Roman"/>
          <w:highlight w:val="none"/>
        </w:rPr>
        <w:t>（五）评价方法</w:t>
      </w:r>
      <w:bookmarkEnd w:id="8"/>
    </w:p>
    <w:p>
      <w:pPr>
        <w:pStyle w:val="6"/>
        <w:ind w:firstLine="560"/>
        <w:rPr>
          <w:rFonts w:cs="Times New Roman"/>
          <w:highlight w:val="none"/>
        </w:rPr>
      </w:pPr>
      <w:r>
        <w:rPr>
          <w:rFonts w:cs="Times New Roman"/>
          <w:highlight w:val="none"/>
        </w:rPr>
        <w:t>1.比较法</w:t>
      </w:r>
    </w:p>
    <w:p>
      <w:pPr>
        <w:ind w:firstLine="560"/>
        <w:rPr>
          <w:rFonts w:cs="Times New Roman"/>
          <w:highlight w:val="none"/>
        </w:rPr>
      </w:pPr>
      <w:r>
        <w:rPr>
          <w:rFonts w:cs="Times New Roman"/>
          <w:highlight w:val="none"/>
        </w:rPr>
        <w:t>通过对比项目的资金情况和预期目标、效益情况、对比项目实际实施成果与项目目标等，以此考察项目实施产出是否达标，为评价资金实施效果提供依据。</w:t>
      </w:r>
    </w:p>
    <w:p>
      <w:pPr>
        <w:pStyle w:val="6"/>
        <w:ind w:firstLine="560"/>
        <w:rPr>
          <w:rFonts w:cs="Times New Roman"/>
          <w:highlight w:val="none"/>
        </w:rPr>
      </w:pPr>
      <w:r>
        <w:rPr>
          <w:rFonts w:cs="Times New Roman"/>
          <w:highlight w:val="none"/>
        </w:rPr>
        <w:t>2.公众评判法</w:t>
      </w:r>
    </w:p>
    <w:p>
      <w:pPr>
        <w:ind w:firstLine="560"/>
        <w:rPr>
          <w:rFonts w:cs="Times New Roman"/>
          <w:highlight w:val="none"/>
        </w:rPr>
      </w:pPr>
      <w:r>
        <w:rPr>
          <w:rFonts w:cs="Times New Roman"/>
          <w:highlight w:val="none"/>
        </w:rPr>
        <w:t>通过受益方进行调查问卷以及项目负责人访谈等方式，综合公众意见及访谈情况来评价绩效目标实现程度。</w:t>
      </w:r>
    </w:p>
    <w:p>
      <w:pPr>
        <w:pStyle w:val="6"/>
        <w:ind w:firstLine="560"/>
        <w:rPr>
          <w:rFonts w:cs="Times New Roman"/>
          <w:highlight w:val="none"/>
        </w:rPr>
      </w:pPr>
      <w:r>
        <w:rPr>
          <w:rFonts w:cs="Times New Roman"/>
          <w:highlight w:val="none"/>
        </w:rPr>
        <w:t>3.综合评价法</w:t>
      </w:r>
    </w:p>
    <w:p>
      <w:pPr>
        <w:ind w:firstLine="560"/>
        <w:rPr>
          <w:rFonts w:cs="Times New Roman"/>
          <w:highlight w:val="none"/>
        </w:rPr>
      </w:pPr>
      <w:r>
        <w:rPr>
          <w:rFonts w:cs="Times New Roman"/>
          <w:highlight w:val="none"/>
        </w:rPr>
        <w:t>通过访谈、问卷调查等方式，综合定性、定量指标评估，灵活运用因素分析、公众评判、比较法等方法，从决策、过程、产出、效果四个方面对项目绩效情况进行评估。</w:t>
      </w:r>
    </w:p>
    <w:p>
      <w:pPr>
        <w:pStyle w:val="5"/>
        <w:rPr>
          <w:rFonts w:ascii="Times New Roman" w:hAnsi="Times New Roman" w:cs="Times New Roman"/>
          <w:highlight w:val="none"/>
        </w:rPr>
      </w:pPr>
      <w:bookmarkStart w:id="9" w:name="_Toc136264982"/>
      <w:r>
        <w:rPr>
          <w:rFonts w:ascii="Times New Roman" w:hAnsi="Times New Roman" w:cs="Times New Roman"/>
          <w:highlight w:val="none"/>
        </w:rPr>
        <w:t>（六）评价标准</w:t>
      </w:r>
      <w:bookmarkEnd w:id="9"/>
    </w:p>
    <w:p>
      <w:pPr>
        <w:ind w:firstLine="560"/>
        <w:rPr>
          <w:rFonts w:cs="Times New Roman"/>
          <w:highlight w:val="none"/>
        </w:rPr>
      </w:pPr>
      <w:r>
        <w:rPr>
          <w:rFonts w:cs="Times New Roman"/>
          <w:highlight w:val="none"/>
        </w:rPr>
        <w:t>评价标准是依据绩效评价基本原理，分别按照计划标准、行业标准、历史标准等制定。</w:t>
      </w:r>
    </w:p>
    <w:p>
      <w:pPr>
        <w:ind w:firstLine="560"/>
        <w:rPr>
          <w:rFonts w:cs="Times New Roman"/>
          <w:highlight w:val="none"/>
        </w:rPr>
      </w:pPr>
      <w:r>
        <w:rPr>
          <w:rFonts w:cs="Times New Roman"/>
          <w:highlight w:val="none"/>
        </w:rPr>
        <w:t>计划标准：指以预先制定的目标、计划、预算、定额等作为评价标准。</w:t>
      </w:r>
    </w:p>
    <w:p>
      <w:pPr>
        <w:ind w:firstLine="560"/>
        <w:rPr>
          <w:rFonts w:cs="Times New Roman"/>
          <w:highlight w:val="none"/>
        </w:rPr>
      </w:pPr>
      <w:r>
        <w:rPr>
          <w:rFonts w:cs="Times New Roman"/>
          <w:highlight w:val="none"/>
        </w:rPr>
        <w:t>行业标准：指参照国家公布的行业指标数据制定的评价标准。</w:t>
      </w:r>
    </w:p>
    <w:p>
      <w:pPr>
        <w:ind w:firstLine="560"/>
        <w:rPr>
          <w:rFonts w:cs="Times New Roman"/>
          <w:highlight w:val="none"/>
        </w:rPr>
      </w:pPr>
      <w:r>
        <w:rPr>
          <w:rFonts w:cs="Times New Roman"/>
          <w:highlight w:val="none"/>
        </w:rPr>
        <w:t>历史标准：指参照历史数据制定的评价标准，为体现绩效改进的原则，在可实现的条件下应当确定相对较高的评价标准。</w:t>
      </w:r>
    </w:p>
    <w:p>
      <w:pPr>
        <w:pStyle w:val="5"/>
        <w:rPr>
          <w:rFonts w:ascii="Times New Roman" w:hAnsi="Times New Roman" w:cs="Times New Roman"/>
          <w:highlight w:val="none"/>
        </w:rPr>
      </w:pPr>
      <w:bookmarkStart w:id="10" w:name="_Toc136264983"/>
      <w:r>
        <w:rPr>
          <w:rFonts w:ascii="Times New Roman" w:hAnsi="Times New Roman" w:cs="Times New Roman"/>
          <w:highlight w:val="none"/>
        </w:rPr>
        <w:t>（七）绩效评价工作过程</w:t>
      </w:r>
      <w:bookmarkEnd w:id="10"/>
    </w:p>
    <w:p>
      <w:pPr>
        <w:pStyle w:val="29"/>
        <w:ind w:firstLine="560"/>
        <w:rPr>
          <w:highlight w:val="none"/>
        </w:rPr>
      </w:pPr>
      <w:r>
        <w:rPr>
          <w:highlight w:val="none"/>
        </w:rPr>
        <w:t>为保证科学合理地安排本次项目绩效评价工作，保证项目绩效评价工作有序完成，要求项目绩效评价实施分为前期准备、过程实施、形成报告三个阶段，具体安排详见表2-1。</w:t>
      </w:r>
    </w:p>
    <w:p>
      <w:pPr>
        <w:pStyle w:val="31"/>
        <w:rPr>
          <w:highlight w:val="none"/>
        </w:rPr>
      </w:pPr>
      <w:r>
        <w:rPr>
          <w:highlight w:val="none"/>
        </w:rPr>
        <w:t>表2-1 2021-2023年度吉林省建筑节能奖补资金项目绩效评价时间安排表</w:t>
      </w:r>
    </w:p>
    <w:tbl>
      <w:tblPr>
        <w:tblStyle w:val="22"/>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4526"/>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04" w:type="dxa"/>
            <w:shd w:val="clear" w:color="auto" w:fill="AEAAAA" w:themeFill="background2" w:themeFillShade="BF"/>
            <w:vAlign w:val="center"/>
          </w:tcPr>
          <w:p>
            <w:pPr>
              <w:pStyle w:val="33"/>
              <w:rPr>
                <w:rStyle w:val="17"/>
                <w:rFonts w:cs="Times New Roman"/>
                <w:bCs w:val="0"/>
                <w:color w:val="auto"/>
                <w:highlight w:val="none"/>
              </w:rPr>
            </w:pPr>
            <w:r>
              <w:rPr>
                <w:rStyle w:val="17"/>
                <w:rFonts w:cs="Times New Roman"/>
                <w:bCs w:val="0"/>
                <w:color w:val="auto"/>
                <w:highlight w:val="none"/>
              </w:rPr>
              <w:t>序号</w:t>
            </w:r>
          </w:p>
        </w:tc>
        <w:tc>
          <w:tcPr>
            <w:tcW w:w="992" w:type="dxa"/>
            <w:shd w:val="clear" w:color="auto" w:fill="AEAAAA" w:themeFill="background2" w:themeFillShade="BF"/>
            <w:vAlign w:val="center"/>
          </w:tcPr>
          <w:p>
            <w:pPr>
              <w:pStyle w:val="33"/>
              <w:rPr>
                <w:rStyle w:val="17"/>
                <w:rFonts w:cs="Times New Roman"/>
                <w:bCs w:val="0"/>
                <w:color w:val="auto"/>
                <w:highlight w:val="none"/>
              </w:rPr>
            </w:pPr>
            <w:r>
              <w:rPr>
                <w:rStyle w:val="17"/>
                <w:rFonts w:cs="Times New Roman"/>
                <w:bCs w:val="0"/>
                <w:color w:val="auto"/>
                <w:highlight w:val="none"/>
              </w:rPr>
              <w:t>阶段</w:t>
            </w:r>
          </w:p>
        </w:tc>
        <w:tc>
          <w:tcPr>
            <w:tcW w:w="4526" w:type="dxa"/>
            <w:shd w:val="clear" w:color="auto" w:fill="AEAAAA" w:themeFill="background2" w:themeFillShade="BF"/>
            <w:vAlign w:val="center"/>
          </w:tcPr>
          <w:p>
            <w:pPr>
              <w:pStyle w:val="33"/>
              <w:rPr>
                <w:rStyle w:val="17"/>
                <w:rFonts w:cs="Times New Roman"/>
                <w:bCs w:val="0"/>
                <w:color w:val="auto"/>
                <w:highlight w:val="none"/>
              </w:rPr>
            </w:pPr>
            <w:r>
              <w:rPr>
                <w:rStyle w:val="17"/>
                <w:rFonts w:cs="Times New Roman"/>
                <w:bCs w:val="0"/>
                <w:color w:val="auto"/>
                <w:highlight w:val="none"/>
              </w:rPr>
              <w:t>内容</w:t>
            </w:r>
          </w:p>
        </w:tc>
        <w:tc>
          <w:tcPr>
            <w:tcW w:w="2074" w:type="dxa"/>
            <w:shd w:val="clear" w:color="auto" w:fill="AEAAAA" w:themeFill="background2" w:themeFillShade="BF"/>
            <w:vAlign w:val="center"/>
          </w:tcPr>
          <w:p>
            <w:pPr>
              <w:pStyle w:val="33"/>
              <w:rPr>
                <w:rStyle w:val="17"/>
                <w:rFonts w:cs="Times New Roman"/>
                <w:bCs w:val="0"/>
                <w:color w:val="auto"/>
                <w:highlight w:val="none"/>
              </w:rPr>
            </w:pPr>
            <w:r>
              <w:rPr>
                <w:rStyle w:val="17"/>
                <w:rFonts w:cs="Times New Roman"/>
                <w:bCs w:val="0"/>
                <w:color w:val="auto"/>
                <w:highlight w:val="none"/>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04" w:type="dxa"/>
            <w:vAlign w:val="center"/>
          </w:tcPr>
          <w:p>
            <w:pPr>
              <w:pStyle w:val="33"/>
              <w:rPr>
                <w:rFonts w:cs="Times New Roman"/>
                <w:color w:val="auto"/>
                <w:highlight w:val="none"/>
              </w:rPr>
            </w:pPr>
            <w:r>
              <w:rPr>
                <w:rFonts w:cs="Times New Roman"/>
                <w:color w:val="auto"/>
                <w:highlight w:val="none"/>
              </w:rPr>
              <w:t>1</w:t>
            </w:r>
          </w:p>
        </w:tc>
        <w:tc>
          <w:tcPr>
            <w:tcW w:w="992" w:type="dxa"/>
            <w:vMerge w:val="restart"/>
            <w:vAlign w:val="center"/>
          </w:tcPr>
          <w:p>
            <w:pPr>
              <w:pStyle w:val="33"/>
              <w:rPr>
                <w:rFonts w:cs="Times New Roman"/>
                <w:color w:val="auto"/>
                <w:highlight w:val="none"/>
              </w:rPr>
            </w:pPr>
            <w:r>
              <w:rPr>
                <w:rFonts w:cs="Times New Roman"/>
                <w:color w:val="auto"/>
                <w:highlight w:val="none"/>
              </w:rPr>
              <w:t>前期准备阶段</w:t>
            </w:r>
          </w:p>
        </w:tc>
        <w:tc>
          <w:tcPr>
            <w:tcW w:w="4526" w:type="dxa"/>
            <w:vAlign w:val="center"/>
          </w:tcPr>
          <w:p>
            <w:pPr>
              <w:pStyle w:val="33"/>
              <w:rPr>
                <w:rFonts w:cs="Times New Roman"/>
                <w:color w:val="auto"/>
                <w:highlight w:val="none"/>
              </w:rPr>
            </w:pPr>
            <w:r>
              <w:rPr>
                <w:rFonts w:cs="Times New Roman"/>
                <w:color w:val="auto"/>
                <w:highlight w:val="none"/>
              </w:rPr>
              <w:t>前期资料收集及调研</w:t>
            </w:r>
          </w:p>
        </w:tc>
        <w:tc>
          <w:tcPr>
            <w:tcW w:w="2074" w:type="dxa"/>
            <w:vMerge w:val="restart"/>
            <w:vAlign w:val="center"/>
          </w:tcPr>
          <w:p>
            <w:pPr>
              <w:pStyle w:val="33"/>
              <w:rPr>
                <w:rFonts w:cs="Times New Roman"/>
                <w:color w:val="auto"/>
                <w:highlight w:val="none"/>
              </w:rPr>
            </w:pPr>
            <w:r>
              <w:rPr>
                <w:rFonts w:cs="Times New Roman"/>
                <w:color w:val="auto"/>
                <w:highlight w:val="none"/>
              </w:rPr>
              <w:t>2023年4月23日-4月27日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04" w:type="dxa"/>
            <w:vAlign w:val="center"/>
          </w:tcPr>
          <w:p>
            <w:pPr>
              <w:pStyle w:val="33"/>
              <w:rPr>
                <w:rFonts w:cs="Times New Roman"/>
                <w:color w:val="auto"/>
                <w:highlight w:val="none"/>
              </w:rPr>
            </w:pPr>
            <w:r>
              <w:rPr>
                <w:rFonts w:cs="Times New Roman"/>
                <w:color w:val="auto"/>
                <w:highlight w:val="none"/>
              </w:rPr>
              <w:t>2</w:t>
            </w:r>
          </w:p>
        </w:tc>
        <w:tc>
          <w:tcPr>
            <w:tcW w:w="992" w:type="dxa"/>
            <w:vMerge w:val="continue"/>
            <w:vAlign w:val="center"/>
          </w:tcPr>
          <w:p>
            <w:pPr>
              <w:pStyle w:val="33"/>
              <w:rPr>
                <w:rFonts w:cs="Times New Roman"/>
                <w:color w:val="auto"/>
                <w:highlight w:val="none"/>
              </w:rPr>
            </w:pPr>
          </w:p>
        </w:tc>
        <w:tc>
          <w:tcPr>
            <w:tcW w:w="4526" w:type="dxa"/>
            <w:vAlign w:val="center"/>
          </w:tcPr>
          <w:p>
            <w:pPr>
              <w:pStyle w:val="33"/>
              <w:rPr>
                <w:rFonts w:cs="Times New Roman"/>
                <w:color w:val="auto"/>
                <w:highlight w:val="none"/>
              </w:rPr>
            </w:pPr>
            <w:r>
              <w:rPr>
                <w:rFonts w:cs="Times New Roman"/>
                <w:color w:val="auto"/>
                <w:highlight w:val="none"/>
              </w:rPr>
              <w:t>形成评价指标体系初稿</w:t>
            </w:r>
          </w:p>
        </w:tc>
        <w:tc>
          <w:tcPr>
            <w:tcW w:w="2074" w:type="dxa"/>
            <w:vMerge w:val="continue"/>
            <w:vAlign w:val="center"/>
          </w:tcPr>
          <w:p>
            <w:pPr>
              <w:pStyle w:val="33"/>
              <w:rPr>
                <w:rFonts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04" w:type="dxa"/>
            <w:vAlign w:val="center"/>
          </w:tcPr>
          <w:p>
            <w:pPr>
              <w:pStyle w:val="33"/>
              <w:rPr>
                <w:rFonts w:cs="Times New Roman"/>
                <w:color w:val="auto"/>
                <w:highlight w:val="none"/>
              </w:rPr>
            </w:pPr>
            <w:r>
              <w:rPr>
                <w:rFonts w:cs="Times New Roman"/>
                <w:color w:val="auto"/>
                <w:highlight w:val="none"/>
              </w:rPr>
              <w:t>3</w:t>
            </w:r>
          </w:p>
        </w:tc>
        <w:tc>
          <w:tcPr>
            <w:tcW w:w="992" w:type="dxa"/>
            <w:vMerge w:val="continue"/>
            <w:vAlign w:val="center"/>
          </w:tcPr>
          <w:p>
            <w:pPr>
              <w:pStyle w:val="33"/>
              <w:rPr>
                <w:rFonts w:cs="Times New Roman"/>
                <w:color w:val="auto"/>
                <w:highlight w:val="none"/>
              </w:rPr>
            </w:pPr>
          </w:p>
        </w:tc>
        <w:tc>
          <w:tcPr>
            <w:tcW w:w="4526" w:type="dxa"/>
            <w:vAlign w:val="center"/>
          </w:tcPr>
          <w:p>
            <w:pPr>
              <w:pStyle w:val="33"/>
              <w:rPr>
                <w:rFonts w:cs="Times New Roman"/>
                <w:color w:val="auto"/>
                <w:highlight w:val="none"/>
              </w:rPr>
            </w:pPr>
            <w:r>
              <w:rPr>
                <w:rFonts w:cs="Times New Roman"/>
                <w:color w:val="auto"/>
                <w:highlight w:val="none"/>
              </w:rPr>
              <w:t>评价指标体系质控及定稿</w:t>
            </w:r>
          </w:p>
        </w:tc>
        <w:tc>
          <w:tcPr>
            <w:tcW w:w="2074" w:type="dxa"/>
            <w:vMerge w:val="continue"/>
            <w:vAlign w:val="center"/>
          </w:tcPr>
          <w:p>
            <w:pPr>
              <w:pStyle w:val="33"/>
              <w:rPr>
                <w:rFonts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04" w:type="dxa"/>
            <w:vAlign w:val="center"/>
          </w:tcPr>
          <w:p>
            <w:pPr>
              <w:pStyle w:val="33"/>
              <w:rPr>
                <w:rFonts w:cs="Times New Roman"/>
                <w:color w:val="auto"/>
                <w:highlight w:val="none"/>
              </w:rPr>
            </w:pPr>
            <w:r>
              <w:rPr>
                <w:rFonts w:cs="Times New Roman"/>
                <w:color w:val="auto"/>
                <w:highlight w:val="none"/>
              </w:rPr>
              <w:t>4</w:t>
            </w:r>
          </w:p>
        </w:tc>
        <w:tc>
          <w:tcPr>
            <w:tcW w:w="992" w:type="dxa"/>
            <w:vMerge w:val="restart"/>
            <w:vAlign w:val="center"/>
          </w:tcPr>
          <w:p>
            <w:pPr>
              <w:pStyle w:val="33"/>
              <w:rPr>
                <w:rFonts w:cs="Times New Roman"/>
                <w:color w:val="auto"/>
                <w:highlight w:val="none"/>
              </w:rPr>
            </w:pPr>
            <w:r>
              <w:rPr>
                <w:rFonts w:cs="Times New Roman"/>
                <w:color w:val="auto"/>
                <w:highlight w:val="none"/>
              </w:rPr>
              <w:t>过程实施阶段</w:t>
            </w:r>
          </w:p>
        </w:tc>
        <w:tc>
          <w:tcPr>
            <w:tcW w:w="4526" w:type="dxa"/>
            <w:vAlign w:val="center"/>
          </w:tcPr>
          <w:p>
            <w:pPr>
              <w:pStyle w:val="33"/>
              <w:rPr>
                <w:rFonts w:cs="Times New Roman"/>
                <w:color w:val="auto"/>
                <w:highlight w:val="none"/>
              </w:rPr>
            </w:pPr>
            <w:r>
              <w:rPr>
                <w:rFonts w:cs="Times New Roman"/>
                <w:color w:val="auto"/>
                <w:highlight w:val="none"/>
              </w:rPr>
              <w:t>数据采集、资料收集</w:t>
            </w:r>
          </w:p>
        </w:tc>
        <w:tc>
          <w:tcPr>
            <w:tcW w:w="2074" w:type="dxa"/>
            <w:vMerge w:val="restart"/>
            <w:vAlign w:val="center"/>
          </w:tcPr>
          <w:p>
            <w:pPr>
              <w:pStyle w:val="33"/>
              <w:rPr>
                <w:rFonts w:cs="Times New Roman"/>
                <w:color w:val="auto"/>
                <w:highlight w:val="none"/>
              </w:rPr>
            </w:pPr>
            <w:r>
              <w:rPr>
                <w:rFonts w:cs="Times New Roman"/>
                <w:color w:val="auto"/>
                <w:highlight w:val="none"/>
              </w:rPr>
              <w:t>2023年4月28日-5月15日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04" w:type="dxa"/>
            <w:vAlign w:val="center"/>
          </w:tcPr>
          <w:p>
            <w:pPr>
              <w:pStyle w:val="33"/>
              <w:rPr>
                <w:rFonts w:cs="Times New Roman"/>
                <w:color w:val="auto"/>
                <w:highlight w:val="none"/>
              </w:rPr>
            </w:pPr>
            <w:r>
              <w:rPr>
                <w:rFonts w:cs="Times New Roman"/>
                <w:color w:val="auto"/>
                <w:highlight w:val="none"/>
              </w:rPr>
              <w:t>5</w:t>
            </w:r>
          </w:p>
        </w:tc>
        <w:tc>
          <w:tcPr>
            <w:tcW w:w="992" w:type="dxa"/>
            <w:vMerge w:val="continue"/>
            <w:vAlign w:val="center"/>
          </w:tcPr>
          <w:p>
            <w:pPr>
              <w:pStyle w:val="33"/>
              <w:rPr>
                <w:rFonts w:cs="Times New Roman"/>
                <w:color w:val="auto"/>
                <w:highlight w:val="none"/>
              </w:rPr>
            </w:pPr>
          </w:p>
        </w:tc>
        <w:tc>
          <w:tcPr>
            <w:tcW w:w="4526" w:type="dxa"/>
            <w:vAlign w:val="center"/>
          </w:tcPr>
          <w:p>
            <w:pPr>
              <w:pStyle w:val="33"/>
              <w:rPr>
                <w:rFonts w:cs="Times New Roman"/>
                <w:color w:val="auto"/>
                <w:highlight w:val="none"/>
              </w:rPr>
            </w:pPr>
            <w:r>
              <w:rPr>
                <w:rFonts w:cs="Times New Roman"/>
                <w:color w:val="auto"/>
                <w:highlight w:val="none"/>
              </w:rPr>
              <w:t>现场调研、问卷调查、访谈及数据核查</w:t>
            </w:r>
          </w:p>
        </w:tc>
        <w:tc>
          <w:tcPr>
            <w:tcW w:w="2074" w:type="dxa"/>
            <w:vMerge w:val="continue"/>
            <w:vAlign w:val="center"/>
          </w:tcPr>
          <w:p>
            <w:pPr>
              <w:pStyle w:val="33"/>
              <w:rPr>
                <w:rFonts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04" w:type="dxa"/>
            <w:vAlign w:val="center"/>
          </w:tcPr>
          <w:p>
            <w:pPr>
              <w:pStyle w:val="33"/>
              <w:rPr>
                <w:rFonts w:cs="Times New Roman"/>
                <w:color w:val="auto"/>
                <w:highlight w:val="none"/>
              </w:rPr>
            </w:pPr>
            <w:r>
              <w:rPr>
                <w:rFonts w:cs="Times New Roman"/>
                <w:color w:val="auto"/>
                <w:highlight w:val="none"/>
              </w:rPr>
              <w:t>6</w:t>
            </w:r>
          </w:p>
        </w:tc>
        <w:tc>
          <w:tcPr>
            <w:tcW w:w="992" w:type="dxa"/>
            <w:vMerge w:val="restart"/>
            <w:vAlign w:val="center"/>
          </w:tcPr>
          <w:p>
            <w:pPr>
              <w:pStyle w:val="33"/>
              <w:rPr>
                <w:rFonts w:cs="Times New Roman"/>
                <w:color w:val="auto"/>
                <w:highlight w:val="none"/>
              </w:rPr>
            </w:pPr>
            <w:r>
              <w:rPr>
                <w:rFonts w:cs="Times New Roman"/>
                <w:color w:val="auto"/>
                <w:highlight w:val="none"/>
              </w:rPr>
              <w:t>形成报告阶段</w:t>
            </w:r>
          </w:p>
        </w:tc>
        <w:tc>
          <w:tcPr>
            <w:tcW w:w="4526" w:type="dxa"/>
            <w:vAlign w:val="center"/>
          </w:tcPr>
          <w:p>
            <w:pPr>
              <w:pStyle w:val="33"/>
              <w:rPr>
                <w:rFonts w:cs="Times New Roman"/>
                <w:color w:val="auto"/>
                <w:highlight w:val="none"/>
              </w:rPr>
            </w:pPr>
            <w:r>
              <w:rPr>
                <w:rFonts w:cs="Times New Roman"/>
                <w:color w:val="auto"/>
                <w:highlight w:val="none"/>
              </w:rPr>
              <w:t>报告撰写并形成初稿</w:t>
            </w:r>
          </w:p>
        </w:tc>
        <w:tc>
          <w:tcPr>
            <w:tcW w:w="2074" w:type="dxa"/>
            <w:vMerge w:val="restart"/>
            <w:vAlign w:val="center"/>
          </w:tcPr>
          <w:p>
            <w:pPr>
              <w:pStyle w:val="33"/>
              <w:rPr>
                <w:rFonts w:cs="Times New Roman"/>
                <w:color w:val="auto"/>
                <w:highlight w:val="none"/>
              </w:rPr>
            </w:pPr>
            <w:r>
              <w:rPr>
                <w:rFonts w:cs="Times New Roman"/>
                <w:color w:val="auto"/>
                <w:highlight w:val="none"/>
              </w:rPr>
              <w:t>2023年5月16日-5月31日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04" w:type="dxa"/>
            <w:vAlign w:val="center"/>
          </w:tcPr>
          <w:p>
            <w:pPr>
              <w:pStyle w:val="33"/>
              <w:rPr>
                <w:rFonts w:cs="Times New Roman"/>
                <w:color w:val="auto"/>
                <w:highlight w:val="none"/>
              </w:rPr>
            </w:pPr>
            <w:r>
              <w:rPr>
                <w:rFonts w:cs="Times New Roman"/>
                <w:color w:val="auto"/>
                <w:highlight w:val="none"/>
              </w:rPr>
              <w:t>7</w:t>
            </w:r>
          </w:p>
        </w:tc>
        <w:tc>
          <w:tcPr>
            <w:tcW w:w="992" w:type="dxa"/>
            <w:vMerge w:val="continue"/>
            <w:vAlign w:val="center"/>
          </w:tcPr>
          <w:p>
            <w:pPr>
              <w:pStyle w:val="33"/>
              <w:rPr>
                <w:rFonts w:cs="Times New Roman"/>
                <w:color w:val="auto"/>
                <w:highlight w:val="none"/>
              </w:rPr>
            </w:pPr>
          </w:p>
        </w:tc>
        <w:tc>
          <w:tcPr>
            <w:tcW w:w="4526" w:type="dxa"/>
            <w:vAlign w:val="center"/>
          </w:tcPr>
          <w:p>
            <w:pPr>
              <w:pStyle w:val="33"/>
              <w:rPr>
                <w:rFonts w:cs="Times New Roman"/>
                <w:color w:val="auto"/>
                <w:highlight w:val="none"/>
              </w:rPr>
            </w:pPr>
            <w:r>
              <w:rPr>
                <w:rFonts w:cs="Times New Roman"/>
                <w:color w:val="auto"/>
                <w:highlight w:val="none"/>
              </w:rPr>
              <w:t>报告质控、预算单位意见征询及定稿</w:t>
            </w:r>
          </w:p>
        </w:tc>
        <w:tc>
          <w:tcPr>
            <w:tcW w:w="2074" w:type="dxa"/>
            <w:vMerge w:val="continue"/>
            <w:vAlign w:val="center"/>
          </w:tcPr>
          <w:p>
            <w:pPr>
              <w:pStyle w:val="33"/>
              <w:rPr>
                <w:rFonts w:cs="Times New Roman"/>
                <w:color w:val="auto"/>
                <w:highlight w:val="none"/>
              </w:rPr>
            </w:pPr>
          </w:p>
        </w:tc>
      </w:tr>
    </w:tbl>
    <w:p>
      <w:pPr>
        <w:pStyle w:val="4"/>
        <w:rPr>
          <w:rFonts w:cs="Times New Roman"/>
          <w:highlight w:val="none"/>
        </w:rPr>
      </w:pPr>
      <w:bookmarkStart w:id="11" w:name="_Toc136264984"/>
      <w:r>
        <w:rPr>
          <w:rFonts w:cs="Times New Roman"/>
          <w:highlight w:val="none"/>
        </w:rPr>
        <w:t>三、综合评价情况及评价结论</w:t>
      </w:r>
      <w:bookmarkEnd w:id="11"/>
    </w:p>
    <w:p>
      <w:pPr>
        <w:pStyle w:val="5"/>
        <w:rPr>
          <w:rFonts w:ascii="Times New Roman" w:hAnsi="Times New Roman" w:cs="Times New Roman"/>
          <w:highlight w:val="none"/>
        </w:rPr>
      </w:pPr>
      <w:bookmarkStart w:id="12" w:name="_Toc136264985"/>
      <w:r>
        <w:rPr>
          <w:rFonts w:ascii="Times New Roman" w:hAnsi="Times New Roman" w:cs="Times New Roman"/>
          <w:highlight w:val="none"/>
        </w:rPr>
        <w:t>（一）综合评价情况</w:t>
      </w:r>
      <w:bookmarkEnd w:id="12"/>
    </w:p>
    <w:p>
      <w:pPr>
        <w:ind w:firstLine="560"/>
        <w:rPr>
          <w:rFonts w:cs="Times New Roman"/>
          <w:highlight w:val="none"/>
        </w:rPr>
      </w:pPr>
      <w:r>
        <w:rPr>
          <w:rFonts w:cs="Times New Roman"/>
          <w:highlight w:val="none"/>
        </w:rPr>
        <w:t>根据《关于印发〈吉林省项目支出绩效评价管理暂行办法〉的通知》（吉财绩〔2020〕711号），本次绩效评价结果采取评分与评级相结合的方式确定，总分值为100分。绩效评级分为：90（含）-100分为优、80（含）-90分（不含）为良、70（含）-80分（不含）为中、60（含）-70分（不含）为低、60分以下为差。</w:t>
      </w:r>
    </w:p>
    <w:p>
      <w:pPr>
        <w:ind w:firstLine="560"/>
        <w:rPr>
          <w:rFonts w:cs="Times New Roman"/>
          <w:highlight w:val="none"/>
        </w:rPr>
      </w:pPr>
      <w:r>
        <w:rPr>
          <w:rFonts w:cs="Times New Roman"/>
          <w:highlight w:val="none"/>
        </w:rPr>
        <w:t>依据项目资料以及评价组设计的评价指标体系，2021-2023年度吉林省建筑节能奖补资金项目绩效评价综合得分90.87分，绩效评级为“优”。2021-2023年度吉林省建筑节能奖补资金项目绩效评价得分情况详见下表3-1，各三级指标评分情况详见附件1。</w:t>
      </w:r>
    </w:p>
    <w:p>
      <w:pPr>
        <w:pStyle w:val="31"/>
        <w:rPr>
          <w:highlight w:val="none"/>
        </w:rPr>
      </w:pPr>
      <w:r>
        <w:rPr>
          <w:highlight w:val="none"/>
        </w:rPr>
        <w:t>表3-1 2021-2023年度吉林省建筑节能奖补资金项目得分情况</w:t>
      </w:r>
    </w:p>
    <w:tbl>
      <w:tblPr>
        <w:tblStyle w:val="2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4"/>
        <w:gridCol w:w="1890"/>
        <w:gridCol w:w="1718"/>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blHeader/>
          <w:jc w:val="center"/>
        </w:trPr>
        <w:tc>
          <w:tcPr>
            <w:tcW w:w="2744" w:type="dxa"/>
            <w:shd w:val="clear" w:color="auto" w:fill="AEAAAA" w:themeFill="background2" w:themeFillShade="BF"/>
            <w:vAlign w:val="center"/>
          </w:tcPr>
          <w:p>
            <w:pPr>
              <w:pStyle w:val="33"/>
              <w:rPr>
                <w:rStyle w:val="17"/>
                <w:rFonts w:cs="Times New Roman"/>
                <w:bCs w:val="0"/>
                <w:color w:val="auto"/>
                <w:highlight w:val="none"/>
              </w:rPr>
            </w:pPr>
            <w:r>
              <w:rPr>
                <w:rStyle w:val="17"/>
                <w:rFonts w:cs="Times New Roman"/>
                <w:bCs w:val="0"/>
                <w:color w:val="auto"/>
                <w:highlight w:val="none"/>
              </w:rPr>
              <w:t>指标</w:t>
            </w:r>
          </w:p>
        </w:tc>
        <w:tc>
          <w:tcPr>
            <w:tcW w:w="1890" w:type="dxa"/>
            <w:shd w:val="clear" w:color="auto" w:fill="AEAAAA" w:themeFill="background2" w:themeFillShade="BF"/>
            <w:vAlign w:val="center"/>
          </w:tcPr>
          <w:p>
            <w:pPr>
              <w:pStyle w:val="33"/>
              <w:rPr>
                <w:rStyle w:val="17"/>
                <w:rFonts w:cs="Times New Roman"/>
                <w:bCs w:val="0"/>
                <w:color w:val="auto"/>
                <w:highlight w:val="none"/>
              </w:rPr>
            </w:pPr>
            <w:r>
              <w:rPr>
                <w:rStyle w:val="17"/>
                <w:rFonts w:cs="Times New Roman"/>
                <w:bCs w:val="0"/>
                <w:color w:val="auto"/>
                <w:highlight w:val="none"/>
              </w:rPr>
              <w:t>权重</w:t>
            </w:r>
          </w:p>
        </w:tc>
        <w:tc>
          <w:tcPr>
            <w:tcW w:w="1718" w:type="dxa"/>
            <w:shd w:val="clear" w:color="auto" w:fill="AEAAAA" w:themeFill="background2" w:themeFillShade="BF"/>
            <w:vAlign w:val="center"/>
          </w:tcPr>
          <w:p>
            <w:pPr>
              <w:pStyle w:val="33"/>
              <w:rPr>
                <w:rStyle w:val="17"/>
                <w:rFonts w:cs="Times New Roman"/>
                <w:bCs w:val="0"/>
                <w:color w:val="auto"/>
                <w:highlight w:val="none"/>
              </w:rPr>
            </w:pPr>
            <w:r>
              <w:rPr>
                <w:rStyle w:val="17"/>
                <w:rFonts w:cs="Times New Roman"/>
                <w:bCs w:val="0"/>
                <w:color w:val="auto"/>
                <w:highlight w:val="none"/>
              </w:rPr>
              <w:t>得分</w:t>
            </w:r>
          </w:p>
        </w:tc>
        <w:tc>
          <w:tcPr>
            <w:tcW w:w="2170" w:type="dxa"/>
            <w:shd w:val="clear" w:color="auto" w:fill="AEAAAA" w:themeFill="background2" w:themeFillShade="BF"/>
            <w:vAlign w:val="center"/>
          </w:tcPr>
          <w:p>
            <w:pPr>
              <w:pStyle w:val="33"/>
              <w:rPr>
                <w:rStyle w:val="17"/>
                <w:rFonts w:cs="Times New Roman"/>
                <w:bCs w:val="0"/>
                <w:color w:val="auto"/>
                <w:highlight w:val="none"/>
              </w:rPr>
            </w:pPr>
            <w:r>
              <w:rPr>
                <w:rStyle w:val="17"/>
                <w:rFonts w:cs="Times New Roman"/>
                <w:bCs w:val="0"/>
                <w:color w:val="auto"/>
                <w:highlight w:val="none"/>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744" w:type="dxa"/>
            <w:shd w:val="clear" w:color="auto" w:fill="FFFFFF" w:themeFill="background1"/>
            <w:vAlign w:val="center"/>
          </w:tcPr>
          <w:p>
            <w:pPr>
              <w:pStyle w:val="33"/>
              <w:jc w:val="left"/>
              <w:rPr>
                <w:rStyle w:val="17"/>
                <w:rFonts w:cs="Times New Roman"/>
                <w:bCs w:val="0"/>
                <w:color w:val="auto"/>
                <w:highlight w:val="none"/>
              </w:rPr>
            </w:pPr>
            <w:r>
              <w:rPr>
                <w:rStyle w:val="17"/>
                <w:rFonts w:cs="Times New Roman"/>
                <w:bCs w:val="0"/>
                <w:color w:val="auto"/>
                <w:highlight w:val="none"/>
              </w:rPr>
              <w:t>A项目决策</w:t>
            </w:r>
          </w:p>
        </w:tc>
        <w:tc>
          <w:tcPr>
            <w:tcW w:w="1890" w:type="dxa"/>
            <w:shd w:val="clear" w:color="auto" w:fill="FFFFFF" w:themeFill="background1"/>
            <w:vAlign w:val="center"/>
          </w:tcPr>
          <w:p>
            <w:pPr>
              <w:pStyle w:val="33"/>
              <w:rPr>
                <w:rFonts w:cs="Times New Roman"/>
                <w:b/>
                <w:bCs w:val="0"/>
                <w:color w:val="auto"/>
                <w:highlight w:val="none"/>
              </w:rPr>
            </w:pPr>
            <w:r>
              <w:rPr>
                <w:rFonts w:cs="Times New Roman"/>
                <w:b/>
                <w:bCs w:val="0"/>
                <w:color w:val="auto"/>
                <w:highlight w:val="none"/>
              </w:rPr>
              <w:t>20.00</w:t>
            </w:r>
          </w:p>
        </w:tc>
        <w:tc>
          <w:tcPr>
            <w:tcW w:w="1718" w:type="dxa"/>
            <w:shd w:val="clear" w:color="auto" w:fill="FFFFFF" w:themeFill="background1"/>
            <w:vAlign w:val="center"/>
          </w:tcPr>
          <w:p>
            <w:pPr>
              <w:pStyle w:val="33"/>
              <w:rPr>
                <w:rFonts w:cs="Times New Roman"/>
                <w:b/>
                <w:bCs w:val="0"/>
                <w:color w:val="auto"/>
                <w:highlight w:val="none"/>
              </w:rPr>
            </w:pPr>
            <w:r>
              <w:rPr>
                <w:rFonts w:cs="Times New Roman"/>
                <w:b/>
                <w:bCs w:val="0"/>
                <w:color w:val="auto"/>
                <w:highlight w:val="none"/>
              </w:rPr>
              <w:t>16.20</w:t>
            </w:r>
          </w:p>
        </w:tc>
        <w:tc>
          <w:tcPr>
            <w:tcW w:w="2170" w:type="dxa"/>
            <w:shd w:val="clear" w:color="auto" w:fill="FFFFFF" w:themeFill="background1"/>
            <w:vAlign w:val="center"/>
          </w:tcPr>
          <w:p>
            <w:pPr>
              <w:pStyle w:val="33"/>
              <w:rPr>
                <w:rFonts w:cs="Times New Roman"/>
                <w:b/>
                <w:bCs w:val="0"/>
                <w:color w:val="auto"/>
                <w:highlight w:val="none"/>
              </w:rPr>
            </w:pPr>
            <w:r>
              <w:rPr>
                <w:rFonts w:cs="Times New Roman"/>
                <w:b/>
                <w:bCs w:val="0"/>
                <w:color w:val="auto"/>
                <w:highlight w:val="none"/>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744" w:type="dxa"/>
            <w:shd w:val="clear" w:color="auto" w:fill="FFFFFF" w:themeFill="background1"/>
            <w:vAlign w:val="center"/>
          </w:tcPr>
          <w:p>
            <w:pPr>
              <w:pStyle w:val="33"/>
              <w:jc w:val="left"/>
              <w:rPr>
                <w:rFonts w:cs="Times New Roman"/>
                <w:color w:val="auto"/>
                <w:highlight w:val="none"/>
              </w:rPr>
            </w:pPr>
            <w:r>
              <w:rPr>
                <w:rFonts w:cs="Times New Roman"/>
                <w:color w:val="auto"/>
                <w:highlight w:val="none"/>
              </w:rPr>
              <w:t>A1项目立项</w:t>
            </w:r>
          </w:p>
        </w:tc>
        <w:tc>
          <w:tcPr>
            <w:tcW w:w="1890" w:type="dxa"/>
            <w:shd w:val="clear" w:color="auto" w:fill="FFFFFF" w:themeFill="background1"/>
            <w:vAlign w:val="center"/>
          </w:tcPr>
          <w:p>
            <w:pPr>
              <w:pStyle w:val="33"/>
              <w:rPr>
                <w:rFonts w:cs="Times New Roman"/>
                <w:color w:val="auto"/>
                <w:highlight w:val="none"/>
              </w:rPr>
            </w:pPr>
            <w:r>
              <w:rPr>
                <w:rFonts w:cs="Times New Roman"/>
                <w:color w:val="auto"/>
                <w:highlight w:val="none"/>
              </w:rPr>
              <w:t>8.00</w:t>
            </w:r>
          </w:p>
        </w:tc>
        <w:tc>
          <w:tcPr>
            <w:tcW w:w="1718" w:type="dxa"/>
            <w:shd w:val="clear" w:color="auto" w:fill="FFFFFF" w:themeFill="background1"/>
            <w:vAlign w:val="center"/>
          </w:tcPr>
          <w:p>
            <w:pPr>
              <w:pStyle w:val="33"/>
              <w:rPr>
                <w:rFonts w:cs="Times New Roman"/>
                <w:color w:val="auto"/>
                <w:highlight w:val="none"/>
              </w:rPr>
            </w:pPr>
            <w:r>
              <w:rPr>
                <w:rFonts w:cs="Times New Roman"/>
                <w:color w:val="auto"/>
                <w:highlight w:val="none"/>
              </w:rPr>
              <w:t>8.00</w:t>
            </w:r>
          </w:p>
        </w:tc>
        <w:tc>
          <w:tcPr>
            <w:tcW w:w="2170" w:type="dxa"/>
            <w:shd w:val="clear" w:color="auto" w:fill="FFFFFF" w:themeFill="background1"/>
            <w:vAlign w:val="center"/>
          </w:tcPr>
          <w:p>
            <w:pPr>
              <w:pStyle w:val="33"/>
              <w:rPr>
                <w:rFonts w:cs="Times New Roman"/>
                <w:color w:val="auto"/>
                <w:highlight w:val="none"/>
              </w:rPr>
            </w:pPr>
            <w:r>
              <w:rPr>
                <w:rFonts w:cs="Times New Roman"/>
                <w:color w:val="auto"/>
                <w:highlight w:val="non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744" w:type="dxa"/>
            <w:shd w:val="clear" w:color="auto" w:fill="FFFFFF" w:themeFill="background1"/>
            <w:vAlign w:val="center"/>
          </w:tcPr>
          <w:p>
            <w:pPr>
              <w:pStyle w:val="33"/>
              <w:jc w:val="left"/>
              <w:rPr>
                <w:rFonts w:cs="Times New Roman"/>
                <w:color w:val="auto"/>
                <w:highlight w:val="none"/>
              </w:rPr>
            </w:pPr>
            <w:r>
              <w:rPr>
                <w:rFonts w:cs="Times New Roman"/>
                <w:color w:val="auto"/>
                <w:highlight w:val="none"/>
              </w:rPr>
              <w:t>A2绩效目标</w:t>
            </w:r>
          </w:p>
        </w:tc>
        <w:tc>
          <w:tcPr>
            <w:tcW w:w="1890" w:type="dxa"/>
            <w:shd w:val="clear" w:color="auto" w:fill="FFFFFF" w:themeFill="background1"/>
            <w:vAlign w:val="center"/>
          </w:tcPr>
          <w:p>
            <w:pPr>
              <w:pStyle w:val="33"/>
              <w:rPr>
                <w:rFonts w:cs="Times New Roman"/>
                <w:color w:val="auto"/>
                <w:highlight w:val="none"/>
              </w:rPr>
            </w:pPr>
            <w:r>
              <w:rPr>
                <w:rFonts w:cs="Times New Roman"/>
                <w:color w:val="auto"/>
                <w:highlight w:val="none"/>
              </w:rPr>
              <w:t>6.00</w:t>
            </w:r>
          </w:p>
        </w:tc>
        <w:tc>
          <w:tcPr>
            <w:tcW w:w="1718" w:type="dxa"/>
            <w:shd w:val="clear" w:color="auto" w:fill="FFFFFF" w:themeFill="background1"/>
            <w:vAlign w:val="center"/>
          </w:tcPr>
          <w:p>
            <w:pPr>
              <w:pStyle w:val="33"/>
              <w:rPr>
                <w:rFonts w:cs="Times New Roman"/>
                <w:color w:val="auto"/>
                <w:highlight w:val="none"/>
              </w:rPr>
            </w:pPr>
            <w:r>
              <w:rPr>
                <w:rFonts w:cs="Times New Roman"/>
                <w:color w:val="auto"/>
                <w:highlight w:val="none"/>
              </w:rPr>
              <w:t>2.20</w:t>
            </w:r>
          </w:p>
        </w:tc>
        <w:tc>
          <w:tcPr>
            <w:tcW w:w="2170" w:type="dxa"/>
            <w:shd w:val="clear" w:color="auto" w:fill="FFFFFF" w:themeFill="background1"/>
            <w:vAlign w:val="center"/>
          </w:tcPr>
          <w:p>
            <w:pPr>
              <w:pStyle w:val="33"/>
              <w:rPr>
                <w:rFonts w:cs="Times New Roman"/>
                <w:color w:val="auto"/>
                <w:highlight w:val="none"/>
              </w:rPr>
            </w:pPr>
            <w:r>
              <w:rPr>
                <w:rFonts w:cs="Times New Roman"/>
                <w:color w:val="auto"/>
                <w:highlight w:val="none"/>
              </w:rPr>
              <w:t>36.67%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744" w:type="dxa"/>
            <w:shd w:val="clear" w:color="auto" w:fill="FFFFFF" w:themeFill="background1"/>
            <w:vAlign w:val="center"/>
          </w:tcPr>
          <w:p>
            <w:pPr>
              <w:pStyle w:val="33"/>
              <w:jc w:val="left"/>
              <w:rPr>
                <w:rFonts w:cs="Times New Roman"/>
                <w:color w:val="auto"/>
                <w:highlight w:val="none"/>
              </w:rPr>
            </w:pPr>
            <w:r>
              <w:rPr>
                <w:rFonts w:cs="Times New Roman"/>
                <w:color w:val="auto"/>
                <w:highlight w:val="none"/>
              </w:rPr>
              <w:t>A3资金投入</w:t>
            </w:r>
          </w:p>
        </w:tc>
        <w:tc>
          <w:tcPr>
            <w:tcW w:w="1890" w:type="dxa"/>
            <w:shd w:val="clear" w:color="auto" w:fill="FFFFFF" w:themeFill="background1"/>
            <w:vAlign w:val="center"/>
          </w:tcPr>
          <w:p>
            <w:pPr>
              <w:pStyle w:val="33"/>
              <w:rPr>
                <w:rFonts w:cs="Times New Roman"/>
                <w:color w:val="auto"/>
                <w:highlight w:val="none"/>
              </w:rPr>
            </w:pPr>
            <w:r>
              <w:rPr>
                <w:rFonts w:cs="Times New Roman"/>
                <w:color w:val="auto"/>
                <w:highlight w:val="none"/>
              </w:rPr>
              <w:t>6.00</w:t>
            </w:r>
          </w:p>
        </w:tc>
        <w:tc>
          <w:tcPr>
            <w:tcW w:w="1718" w:type="dxa"/>
            <w:shd w:val="clear" w:color="auto" w:fill="FFFFFF" w:themeFill="background1"/>
            <w:vAlign w:val="center"/>
          </w:tcPr>
          <w:p>
            <w:pPr>
              <w:pStyle w:val="33"/>
              <w:rPr>
                <w:rFonts w:cs="Times New Roman"/>
                <w:color w:val="auto"/>
                <w:highlight w:val="none"/>
              </w:rPr>
            </w:pPr>
            <w:r>
              <w:rPr>
                <w:rFonts w:cs="Times New Roman"/>
                <w:color w:val="auto"/>
                <w:highlight w:val="none"/>
              </w:rPr>
              <w:t>6.00</w:t>
            </w:r>
          </w:p>
        </w:tc>
        <w:tc>
          <w:tcPr>
            <w:tcW w:w="2170" w:type="dxa"/>
            <w:shd w:val="clear" w:color="auto" w:fill="FFFFFF" w:themeFill="background1"/>
            <w:vAlign w:val="center"/>
          </w:tcPr>
          <w:p>
            <w:pPr>
              <w:pStyle w:val="33"/>
              <w:rPr>
                <w:rFonts w:cs="Times New Roman"/>
                <w:color w:val="auto"/>
                <w:highlight w:val="none"/>
              </w:rPr>
            </w:pPr>
            <w:r>
              <w:rPr>
                <w:rFonts w:cs="Times New Roman"/>
                <w:color w:val="auto"/>
                <w:highlight w:val="non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744" w:type="dxa"/>
            <w:shd w:val="clear" w:color="auto" w:fill="FFFFFF" w:themeFill="background1"/>
            <w:vAlign w:val="center"/>
          </w:tcPr>
          <w:p>
            <w:pPr>
              <w:pStyle w:val="33"/>
              <w:jc w:val="left"/>
              <w:rPr>
                <w:rStyle w:val="17"/>
                <w:rFonts w:cs="Times New Roman"/>
                <w:bCs w:val="0"/>
                <w:color w:val="auto"/>
                <w:highlight w:val="none"/>
              </w:rPr>
            </w:pPr>
            <w:r>
              <w:rPr>
                <w:rStyle w:val="17"/>
                <w:rFonts w:cs="Times New Roman"/>
                <w:bCs w:val="0"/>
                <w:color w:val="auto"/>
                <w:highlight w:val="none"/>
              </w:rPr>
              <w:t>B项目过程</w:t>
            </w:r>
          </w:p>
        </w:tc>
        <w:tc>
          <w:tcPr>
            <w:tcW w:w="1890" w:type="dxa"/>
            <w:shd w:val="clear" w:color="auto" w:fill="FFFFFF" w:themeFill="background1"/>
            <w:vAlign w:val="center"/>
          </w:tcPr>
          <w:p>
            <w:pPr>
              <w:pStyle w:val="33"/>
              <w:rPr>
                <w:rFonts w:cs="Times New Roman"/>
                <w:b/>
                <w:bCs w:val="0"/>
                <w:color w:val="auto"/>
                <w:highlight w:val="none"/>
              </w:rPr>
            </w:pPr>
            <w:r>
              <w:rPr>
                <w:rFonts w:cs="Times New Roman"/>
                <w:b/>
                <w:bCs w:val="0"/>
                <w:color w:val="auto"/>
                <w:highlight w:val="none"/>
              </w:rPr>
              <w:t>20.00</w:t>
            </w:r>
          </w:p>
        </w:tc>
        <w:tc>
          <w:tcPr>
            <w:tcW w:w="1718" w:type="dxa"/>
            <w:shd w:val="clear" w:color="auto" w:fill="FFFFFF" w:themeFill="background1"/>
            <w:vAlign w:val="center"/>
          </w:tcPr>
          <w:p>
            <w:pPr>
              <w:pStyle w:val="33"/>
              <w:rPr>
                <w:rFonts w:cs="Times New Roman"/>
                <w:b/>
                <w:bCs w:val="0"/>
                <w:color w:val="auto"/>
                <w:highlight w:val="none"/>
              </w:rPr>
            </w:pPr>
            <w:r>
              <w:rPr>
                <w:rFonts w:cs="Times New Roman"/>
                <w:b/>
                <w:bCs w:val="0"/>
                <w:color w:val="auto"/>
                <w:highlight w:val="none"/>
              </w:rPr>
              <w:t>20.00</w:t>
            </w:r>
          </w:p>
        </w:tc>
        <w:tc>
          <w:tcPr>
            <w:tcW w:w="2170" w:type="dxa"/>
            <w:shd w:val="clear" w:color="auto" w:fill="FFFFFF" w:themeFill="background1"/>
            <w:vAlign w:val="center"/>
          </w:tcPr>
          <w:p>
            <w:pPr>
              <w:pStyle w:val="33"/>
              <w:rPr>
                <w:rFonts w:cs="Times New Roman"/>
                <w:b/>
                <w:bCs w:val="0"/>
                <w:color w:val="auto"/>
                <w:highlight w:val="none"/>
              </w:rPr>
            </w:pPr>
            <w:r>
              <w:rPr>
                <w:rFonts w:cs="Times New Roman"/>
                <w:b/>
                <w:bCs w:val="0"/>
                <w:color w:val="auto"/>
                <w:highlight w:val="non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744" w:type="dxa"/>
            <w:shd w:val="clear" w:color="auto" w:fill="FFFFFF" w:themeFill="background1"/>
            <w:vAlign w:val="center"/>
          </w:tcPr>
          <w:p>
            <w:pPr>
              <w:pStyle w:val="33"/>
              <w:jc w:val="left"/>
              <w:rPr>
                <w:rFonts w:cs="Times New Roman"/>
                <w:color w:val="auto"/>
                <w:highlight w:val="none"/>
              </w:rPr>
            </w:pPr>
            <w:r>
              <w:rPr>
                <w:rFonts w:cs="Times New Roman"/>
                <w:color w:val="auto"/>
                <w:highlight w:val="none"/>
              </w:rPr>
              <w:t>B1资金管理</w:t>
            </w:r>
          </w:p>
        </w:tc>
        <w:tc>
          <w:tcPr>
            <w:tcW w:w="1890" w:type="dxa"/>
            <w:shd w:val="clear" w:color="auto" w:fill="FFFFFF" w:themeFill="background1"/>
            <w:vAlign w:val="center"/>
          </w:tcPr>
          <w:p>
            <w:pPr>
              <w:pStyle w:val="33"/>
              <w:rPr>
                <w:rFonts w:cs="Times New Roman"/>
                <w:color w:val="auto"/>
                <w:highlight w:val="none"/>
              </w:rPr>
            </w:pPr>
            <w:r>
              <w:rPr>
                <w:rFonts w:cs="Times New Roman"/>
                <w:color w:val="auto"/>
                <w:highlight w:val="none"/>
              </w:rPr>
              <w:t>11.00</w:t>
            </w:r>
          </w:p>
        </w:tc>
        <w:tc>
          <w:tcPr>
            <w:tcW w:w="1718" w:type="dxa"/>
            <w:shd w:val="clear" w:color="auto" w:fill="FFFFFF" w:themeFill="background1"/>
            <w:vAlign w:val="center"/>
          </w:tcPr>
          <w:p>
            <w:pPr>
              <w:pStyle w:val="33"/>
              <w:rPr>
                <w:rFonts w:cs="Times New Roman"/>
                <w:color w:val="auto"/>
                <w:highlight w:val="none"/>
              </w:rPr>
            </w:pPr>
            <w:r>
              <w:rPr>
                <w:rFonts w:cs="Times New Roman"/>
                <w:color w:val="auto"/>
                <w:highlight w:val="none"/>
              </w:rPr>
              <w:t>11.00</w:t>
            </w:r>
          </w:p>
        </w:tc>
        <w:tc>
          <w:tcPr>
            <w:tcW w:w="2170" w:type="dxa"/>
            <w:shd w:val="clear" w:color="auto" w:fill="FFFFFF" w:themeFill="background1"/>
          </w:tcPr>
          <w:p>
            <w:pPr>
              <w:pStyle w:val="33"/>
              <w:rPr>
                <w:rFonts w:cs="Times New Roman"/>
                <w:color w:val="auto"/>
                <w:highlight w:val="none"/>
              </w:rPr>
            </w:pPr>
            <w:r>
              <w:rPr>
                <w:rFonts w:cs="Times New Roman"/>
                <w:color w:val="auto"/>
                <w:highlight w:val="non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744" w:type="dxa"/>
            <w:shd w:val="clear" w:color="auto" w:fill="FFFFFF" w:themeFill="background1"/>
            <w:vAlign w:val="center"/>
          </w:tcPr>
          <w:p>
            <w:pPr>
              <w:pStyle w:val="33"/>
              <w:jc w:val="left"/>
              <w:rPr>
                <w:rFonts w:cs="Times New Roman"/>
                <w:color w:val="auto"/>
                <w:highlight w:val="none"/>
              </w:rPr>
            </w:pPr>
            <w:r>
              <w:rPr>
                <w:rFonts w:cs="Times New Roman"/>
                <w:color w:val="auto"/>
                <w:highlight w:val="none"/>
              </w:rPr>
              <w:t>B2组织实施</w:t>
            </w:r>
          </w:p>
        </w:tc>
        <w:tc>
          <w:tcPr>
            <w:tcW w:w="1890" w:type="dxa"/>
            <w:shd w:val="clear" w:color="auto" w:fill="FFFFFF" w:themeFill="background1"/>
            <w:vAlign w:val="center"/>
          </w:tcPr>
          <w:p>
            <w:pPr>
              <w:pStyle w:val="33"/>
              <w:rPr>
                <w:rFonts w:cs="Times New Roman"/>
                <w:color w:val="auto"/>
                <w:highlight w:val="none"/>
              </w:rPr>
            </w:pPr>
            <w:r>
              <w:rPr>
                <w:rFonts w:cs="Times New Roman"/>
                <w:color w:val="auto"/>
                <w:highlight w:val="none"/>
              </w:rPr>
              <w:t>9.00</w:t>
            </w:r>
          </w:p>
        </w:tc>
        <w:tc>
          <w:tcPr>
            <w:tcW w:w="1718" w:type="dxa"/>
            <w:shd w:val="clear" w:color="auto" w:fill="FFFFFF" w:themeFill="background1"/>
            <w:vAlign w:val="center"/>
          </w:tcPr>
          <w:p>
            <w:pPr>
              <w:pStyle w:val="33"/>
              <w:rPr>
                <w:rFonts w:cs="Times New Roman"/>
                <w:color w:val="auto"/>
                <w:highlight w:val="none"/>
              </w:rPr>
            </w:pPr>
            <w:r>
              <w:rPr>
                <w:rFonts w:cs="Times New Roman"/>
                <w:color w:val="auto"/>
                <w:highlight w:val="none"/>
              </w:rPr>
              <w:t>9.00</w:t>
            </w:r>
          </w:p>
        </w:tc>
        <w:tc>
          <w:tcPr>
            <w:tcW w:w="2170" w:type="dxa"/>
            <w:shd w:val="clear" w:color="auto" w:fill="FFFFFF" w:themeFill="background1"/>
          </w:tcPr>
          <w:p>
            <w:pPr>
              <w:pStyle w:val="33"/>
              <w:rPr>
                <w:rFonts w:cs="Times New Roman"/>
                <w:color w:val="auto"/>
                <w:highlight w:val="none"/>
              </w:rPr>
            </w:pPr>
            <w:r>
              <w:rPr>
                <w:rFonts w:cs="Times New Roman"/>
                <w:color w:val="auto"/>
                <w:highlight w:val="non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744" w:type="dxa"/>
            <w:shd w:val="clear" w:color="auto" w:fill="FFFFFF" w:themeFill="background1"/>
            <w:vAlign w:val="center"/>
          </w:tcPr>
          <w:p>
            <w:pPr>
              <w:pStyle w:val="33"/>
              <w:jc w:val="left"/>
              <w:rPr>
                <w:rStyle w:val="17"/>
                <w:rFonts w:cs="Times New Roman"/>
                <w:bCs w:val="0"/>
                <w:color w:val="auto"/>
                <w:highlight w:val="none"/>
              </w:rPr>
            </w:pPr>
            <w:r>
              <w:rPr>
                <w:rStyle w:val="17"/>
                <w:rFonts w:cs="Times New Roman"/>
                <w:bCs w:val="0"/>
                <w:color w:val="auto"/>
                <w:highlight w:val="none"/>
              </w:rPr>
              <w:t>C项目产出</w:t>
            </w:r>
          </w:p>
        </w:tc>
        <w:tc>
          <w:tcPr>
            <w:tcW w:w="1890" w:type="dxa"/>
            <w:shd w:val="clear" w:color="auto" w:fill="FFFFFF" w:themeFill="background1"/>
            <w:vAlign w:val="center"/>
          </w:tcPr>
          <w:p>
            <w:pPr>
              <w:pStyle w:val="33"/>
              <w:rPr>
                <w:rFonts w:cs="Times New Roman"/>
                <w:b/>
                <w:bCs w:val="0"/>
                <w:color w:val="auto"/>
                <w:highlight w:val="none"/>
              </w:rPr>
            </w:pPr>
            <w:r>
              <w:rPr>
                <w:rFonts w:cs="Times New Roman"/>
                <w:b/>
                <w:bCs w:val="0"/>
                <w:color w:val="auto"/>
                <w:highlight w:val="none"/>
              </w:rPr>
              <w:t>30.00</w:t>
            </w:r>
          </w:p>
        </w:tc>
        <w:tc>
          <w:tcPr>
            <w:tcW w:w="1718" w:type="dxa"/>
            <w:shd w:val="clear" w:color="auto" w:fill="FFFFFF" w:themeFill="background1"/>
            <w:vAlign w:val="center"/>
          </w:tcPr>
          <w:p>
            <w:pPr>
              <w:pStyle w:val="33"/>
              <w:rPr>
                <w:rFonts w:cs="Times New Roman"/>
                <w:b/>
                <w:bCs w:val="0"/>
                <w:color w:val="auto"/>
                <w:highlight w:val="none"/>
              </w:rPr>
            </w:pPr>
            <w:r>
              <w:rPr>
                <w:rFonts w:cs="Times New Roman"/>
                <w:b/>
                <w:bCs w:val="0"/>
                <w:color w:val="auto"/>
                <w:highlight w:val="none"/>
              </w:rPr>
              <w:t>24.67</w:t>
            </w:r>
          </w:p>
        </w:tc>
        <w:tc>
          <w:tcPr>
            <w:tcW w:w="2170" w:type="dxa"/>
            <w:shd w:val="clear" w:color="auto" w:fill="FFFFFF" w:themeFill="background1"/>
            <w:vAlign w:val="center"/>
          </w:tcPr>
          <w:p>
            <w:pPr>
              <w:pStyle w:val="33"/>
              <w:rPr>
                <w:rFonts w:cs="Times New Roman"/>
                <w:b/>
                <w:bCs w:val="0"/>
                <w:color w:val="auto"/>
                <w:highlight w:val="none"/>
              </w:rPr>
            </w:pPr>
            <w:r>
              <w:rPr>
                <w:rFonts w:cs="Times New Roman"/>
                <w:b/>
                <w:bCs w:val="0"/>
                <w:color w:val="auto"/>
                <w:highlight w:val="none"/>
              </w:rPr>
              <w:t>82.23%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744" w:type="dxa"/>
            <w:shd w:val="clear" w:color="auto" w:fill="FFFFFF" w:themeFill="background1"/>
            <w:vAlign w:val="center"/>
          </w:tcPr>
          <w:p>
            <w:pPr>
              <w:pStyle w:val="33"/>
              <w:jc w:val="left"/>
              <w:rPr>
                <w:rFonts w:cs="Times New Roman"/>
                <w:color w:val="auto"/>
                <w:highlight w:val="none"/>
              </w:rPr>
            </w:pPr>
            <w:r>
              <w:rPr>
                <w:rFonts w:cs="Times New Roman"/>
                <w:color w:val="auto"/>
                <w:highlight w:val="none"/>
              </w:rPr>
              <w:t>C1产出数量</w:t>
            </w:r>
          </w:p>
        </w:tc>
        <w:tc>
          <w:tcPr>
            <w:tcW w:w="1890" w:type="dxa"/>
            <w:shd w:val="clear" w:color="auto" w:fill="FFFFFF" w:themeFill="background1"/>
            <w:vAlign w:val="center"/>
          </w:tcPr>
          <w:p>
            <w:pPr>
              <w:pStyle w:val="33"/>
              <w:rPr>
                <w:rFonts w:cs="Times New Roman"/>
                <w:color w:val="auto"/>
                <w:highlight w:val="none"/>
              </w:rPr>
            </w:pPr>
            <w:r>
              <w:rPr>
                <w:rFonts w:cs="Times New Roman"/>
                <w:color w:val="auto"/>
                <w:highlight w:val="none"/>
              </w:rPr>
              <w:t>16.00</w:t>
            </w:r>
          </w:p>
        </w:tc>
        <w:tc>
          <w:tcPr>
            <w:tcW w:w="1718" w:type="dxa"/>
            <w:shd w:val="clear" w:color="auto" w:fill="FFFFFF" w:themeFill="background1"/>
            <w:vAlign w:val="center"/>
          </w:tcPr>
          <w:p>
            <w:pPr>
              <w:pStyle w:val="33"/>
              <w:rPr>
                <w:rFonts w:cs="Times New Roman"/>
                <w:color w:val="auto"/>
                <w:highlight w:val="none"/>
              </w:rPr>
            </w:pPr>
            <w:r>
              <w:rPr>
                <w:rFonts w:cs="Times New Roman"/>
                <w:color w:val="auto"/>
                <w:highlight w:val="none"/>
              </w:rPr>
              <w:t>10.67</w:t>
            </w:r>
          </w:p>
        </w:tc>
        <w:tc>
          <w:tcPr>
            <w:tcW w:w="2170" w:type="dxa"/>
            <w:shd w:val="clear" w:color="auto" w:fill="FFFFFF" w:themeFill="background1"/>
            <w:vAlign w:val="center"/>
          </w:tcPr>
          <w:p>
            <w:pPr>
              <w:pStyle w:val="33"/>
              <w:rPr>
                <w:rFonts w:cs="Times New Roman"/>
                <w:color w:val="auto"/>
                <w:highlight w:val="none"/>
              </w:rPr>
            </w:pPr>
            <w:r>
              <w:rPr>
                <w:rFonts w:cs="Times New Roman"/>
                <w:color w:val="auto"/>
                <w:highlight w:val="none"/>
              </w:rPr>
              <w:t>66.69%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744" w:type="dxa"/>
            <w:shd w:val="clear" w:color="auto" w:fill="FFFFFF" w:themeFill="background1"/>
            <w:vAlign w:val="center"/>
          </w:tcPr>
          <w:p>
            <w:pPr>
              <w:pStyle w:val="33"/>
              <w:jc w:val="left"/>
              <w:rPr>
                <w:rFonts w:cs="Times New Roman"/>
                <w:color w:val="auto"/>
                <w:highlight w:val="none"/>
              </w:rPr>
            </w:pPr>
            <w:r>
              <w:rPr>
                <w:rFonts w:cs="Times New Roman"/>
                <w:color w:val="auto"/>
                <w:highlight w:val="none"/>
              </w:rPr>
              <w:t>C2产出质量</w:t>
            </w:r>
          </w:p>
        </w:tc>
        <w:tc>
          <w:tcPr>
            <w:tcW w:w="1890" w:type="dxa"/>
            <w:shd w:val="clear" w:color="auto" w:fill="FFFFFF" w:themeFill="background1"/>
            <w:vAlign w:val="center"/>
          </w:tcPr>
          <w:p>
            <w:pPr>
              <w:pStyle w:val="33"/>
              <w:rPr>
                <w:rFonts w:cs="Times New Roman"/>
                <w:color w:val="auto"/>
                <w:highlight w:val="none"/>
              </w:rPr>
            </w:pPr>
            <w:r>
              <w:rPr>
                <w:rFonts w:cs="Times New Roman"/>
                <w:color w:val="auto"/>
                <w:highlight w:val="none"/>
              </w:rPr>
              <w:t>6.00</w:t>
            </w:r>
          </w:p>
        </w:tc>
        <w:tc>
          <w:tcPr>
            <w:tcW w:w="1718" w:type="dxa"/>
            <w:shd w:val="clear" w:color="auto" w:fill="FFFFFF" w:themeFill="background1"/>
            <w:vAlign w:val="center"/>
          </w:tcPr>
          <w:p>
            <w:pPr>
              <w:pStyle w:val="33"/>
              <w:rPr>
                <w:rFonts w:cs="Times New Roman"/>
                <w:color w:val="auto"/>
                <w:highlight w:val="none"/>
              </w:rPr>
            </w:pPr>
            <w:r>
              <w:rPr>
                <w:rFonts w:cs="Times New Roman"/>
                <w:color w:val="auto"/>
                <w:highlight w:val="none"/>
              </w:rPr>
              <w:t>6.00</w:t>
            </w:r>
          </w:p>
        </w:tc>
        <w:tc>
          <w:tcPr>
            <w:tcW w:w="2170" w:type="dxa"/>
            <w:shd w:val="clear" w:color="auto" w:fill="FFFFFF" w:themeFill="background1"/>
            <w:vAlign w:val="center"/>
          </w:tcPr>
          <w:p>
            <w:pPr>
              <w:pStyle w:val="33"/>
              <w:rPr>
                <w:rFonts w:cs="Times New Roman"/>
                <w:color w:val="auto"/>
                <w:highlight w:val="none"/>
              </w:rPr>
            </w:pPr>
            <w:r>
              <w:rPr>
                <w:rFonts w:cs="Times New Roman"/>
                <w:color w:val="auto"/>
                <w:highlight w:val="non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744" w:type="dxa"/>
            <w:shd w:val="clear" w:color="auto" w:fill="FFFFFF" w:themeFill="background1"/>
            <w:vAlign w:val="center"/>
          </w:tcPr>
          <w:p>
            <w:pPr>
              <w:pStyle w:val="33"/>
              <w:jc w:val="left"/>
              <w:rPr>
                <w:rFonts w:cs="Times New Roman"/>
                <w:color w:val="auto"/>
                <w:highlight w:val="none"/>
              </w:rPr>
            </w:pPr>
            <w:r>
              <w:rPr>
                <w:rFonts w:cs="Times New Roman"/>
                <w:color w:val="auto"/>
                <w:highlight w:val="none"/>
              </w:rPr>
              <w:t>C3产出时效</w:t>
            </w:r>
          </w:p>
        </w:tc>
        <w:tc>
          <w:tcPr>
            <w:tcW w:w="1890" w:type="dxa"/>
            <w:shd w:val="clear" w:color="auto" w:fill="FFFFFF" w:themeFill="background1"/>
            <w:vAlign w:val="center"/>
          </w:tcPr>
          <w:p>
            <w:pPr>
              <w:pStyle w:val="33"/>
              <w:rPr>
                <w:rFonts w:cs="Times New Roman"/>
                <w:color w:val="auto"/>
                <w:highlight w:val="none"/>
              </w:rPr>
            </w:pPr>
            <w:r>
              <w:rPr>
                <w:rFonts w:cs="Times New Roman"/>
                <w:color w:val="auto"/>
                <w:highlight w:val="none"/>
              </w:rPr>
              <w:t>4.00</w:t>
            </w:r>
          </w:p>
        </w:tc>
        <w:tc>
          <w:tcPr>
            <w:tcW w:w="1718" w:type="dxa"/>
            <w:shd w:val="clear" w:color="auto" w:fill="FFFFFF" w:themeFill="background1"/>
            <w:vAlign w:val="center"/>
          </w:tcPr>
          <w:p>
            <w:pPr>
              <w:pStyle w:val="33"/>
              <w:rPr>
                <w:rFonts w:cs="Times New Roman"/>
                <w:color w:val="auto"/>
                <w:highlight w:val="none"/>
              </w:rPr>
            </w:pPr>
            <w:r>
              <w:rPr>
                <w:rFonts w:cs="Times New Roman"/>
                <w:color w:val="auto"/>
                <w:highlight w:val="none"/>
              </w:rPr>
              <w:t>4.00</w:t>
            </w:r>
          </w:p>
        </w:tc>
        <w:tc>
          <w:tcPr>
            <w:tcW w:w="2170" w:type="dxa"/>
            <w:shd w:val="clear" w:color="auto" w:fill="FFFFFF" w:themeFill="background1"/>
            <w:vAlign w:val="center"/>
          </w:tcPr>
          <w:p>
            <w:pPr>
              <w:pStyle w:val="33"/>
              <w:rPr>
                <w:rFonts w:cs="Times New Roman"/>
                <w:color w:val="auto"/>
                <w:highlight w:val="none"/>
              </w:rPr>
            </w:pPr>
            <w:r>
              <w:rPr>
                <w:rFonts w:cs="Times New Roman"/>
                <w:color w:val="auto"/>
                <w:highlight w:val="non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744" w:type="dxa"/>
            <w:shd w:val="clear" w:color="auto" w:fill="FFFFFF" w:themeFill="background1"/>
            <w:vAlign w:val="center"/>
          </w:tcPr>
          <w:p>
            <w:pPr>
              <w:pStyle w:val="33"/>
              <w:jc w:val="left"/>
              <w:rPr>
                <w:rFonts w:cs="Times New Roman"/>
                <w:color w:val="auto"/>
                <w:highlight w:val="none"/>
              </w:rPr>
            </w:pPr>
            <w:r>
              <w:rPr>
                <w:rFonts w:cs="Times New Roman"/>
                <w:color w:val="auto"/>
                <w:highlight w:val="none"/>
              </w:rPr>
              <w:t>C4产出成本</w:t>
            </w:r>
          </w:p>
        </w:tc>
        <w:tc>
          <w:tcPr>
            <w:tcW w:w="1890" w:type="dxa"/>
            <w:shd w:val="clear" w:color="auto" w:fill="FFFFFF" w:themeFill="background1"/>
            <w:vAlign w:val="center"/>
          </w:tcPr>
          <w:p>
            <w:pPr>
              <w:pStyle w:val="33"/>
              <w:rPr>
                <w:rFonts w:cs="Times New Roman"/>
                <w:color w:val="auto"/>
                <w:highlight w:val="none"/>
              </w:rPr>
            </w:pPr>
            <w:r>
              <w:rPr>
                <w:rFonts w:cs="Times New Roman"/>
                <w:color w:val="auto"/>
                <w:highlight w:val="none"/>
              </w:rPr>
              <w:t>4.00</w:t>
            </w:r>
          </w:p>
        </w:tc>
        <w:tc>
          <w:tcPr>
            <w:tcW w:w="1718" w:type="dxa"/>
            <w:shd w:val="clear" w:color="auto" w:fill="FFFFFF" w:themeFill="background1"/>
            <w:vAlign w:val="center"/>
          </w:tcPr>
          <w:p>
            <w:pPr>
              <w:pStyle w:val="33"/>
              <w:rPr>
                <w:rFonts w:cs="Times New Roman"/>
                <w:color w:val="auto"/>
                <w:highlight w:val="none"/>
              </w:rPr>
            </w:pPr>
            <w:r>
              <w:rPr>
                <w:rFonts w:cs="Times New Roman"/>
                <w:color w:val="auto"/>
                <w:highlight w:val="none"/>
              </w:rPr>
              <w:t>4.00</w:t>
            </w:r>
          </w:p>
        </w:tc>
        <w:tc>
          <w:tcPr>
            <w:tcW w:w="2170" w:type="dxa"/>
            <w:shd w:val="clear" w:color="auto" w:fill="FFFFFF" w:themeFill="background1"/>
            <w:vAlign w:val="center"/>
          </w:tcPr>
          <w:p>
            <w:pPr>
              <w:pStyle w:val="33"/>
              <w:rPr>
                <w:rFonts w:cs="Times New Roman"/>
                <w:color w:val="auto"/>
                <w:highlight w:val="none"/>
              </w:rPr>
            </w:pPr>
            <w:r>
              <w:rPr>
                <w:rFonts w:cs="Times New Roman"/>
                <w:color w:val="auto"/>
                <w:highlight w:val="non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744" w:type="dxa"/>
            <w:shd w:val="clear" w:color="auto" w:fill="FFFFFF" w:themeFill="background1"/>
            <w:vAlign w:val="center"/>
          </w:tcPr>
          <w:p>
            <w:pPr>
              <w:pStyle w:val="33"/>
              <w:jc w:val="left"/>
              <w:rPr>
                <w:rStyle w:val="17"/>
                <w:rFonts w:cs="Times New Roman"/>
                <w:bCs w:val="0"/>
                <w:color w:val="auto"/>
                <w:highlight w:val="none"/>
              </w:rPr>
            </w:pPr>
            <w:r>
              <w:rPr>
                <w:rStyle w:val="17"/>
                <w:rFonts w:cs="Times New Roman"/>
                <w:bCs w:val="0"/>
                <w:color w:val="auto"/>
                <w:highlight w:val="none"/>
              </w:rPr>
              <w:t>D项目效益</w:t>
            </w:r>
          </w:p>
        </w:tc>
        <w:tc>
          <w:tcPr>
            <w:tcW w:w="1890" w:type="dxa"/>
            <w:shd w:val="clear" w:color="auto" w:fill="FFFFFF" w:themeFill="background1"/>
            <w:vAlign w:val="center"/>
          </w:tcPr>
          <w:p>
            <w:pPr>
              <w:pStyle w:val="33"/>
              <w:rPr>
                <w:rFonts w:cs="Times New Roman"/>
                <w:b/>
                <w:bCs w:val="0"/>
                <w:color w:val="auto"/>
                <w:highlight w:val="none"/>
              </w:rPr>
            </w:pPr>
            <w:r>
              <w:rPr>
                <w:rFonts w:cs="Times New Roman"/>
                <w:b/>
                <w:bCs w:val="0"/>
                <w:color w:val="auto"/>
                <w:highlight w:val="none"/>
              </w:rPr>
              <w:t>30.00</w:t>
            </w:r>
          </w:p>
        </w:tc>
        <w:tc>
          <w:tcPr>
            <w:tcW w:w="1718" w:type="dxa"/>
            <w:shd w:val="clear" w:color="auto" w:fill="FFFFFF" w:themeFill="background1"/>
            <w:vAlign w:val="center"/>
          </w:tcPr>
          <w:p>
            <w:pPr>
              <w:pStyle w:val="33"/>
              <w:rPr>
                <w:rFonts w:cs="Times New Roman"/>
                <w:b/>
                <w:bCs w:val="0"/>
                <w:color w:val="auto"/>
                <w:highlight w:val="none"/>
              </w:rPr>
            </w:pPr>
            <w:r>
              <w:rPr>
                <w:rFonts w:cs="Times New Roman"/>
                <w:b/>
                <w:bCs w:val="0"/>
                <w:color w:val="auto"/>
                <w:highlight w:val="none"/>
              </w:rPr>
              <w:t>30.00</w:t>
            </w:r>
          </w:p>
        </w:tc>
        <w:tc>
          <w:tcPr>
            <w:tcW w:w="2170" w:type="dxa"/>
            <w:shd w:val="clear" w:color="auto" w:fill="FFFFFF" w:themeFill="background1"/>
            <w:vAlign w:val="center"/>
          </w:tcPr>
          <w:p>
            <w:pPr>
              <w:pStyle w:val="33"/>
              <w:rPr>
                <w:rFonts w:cs="Times New Roman"/>
                <w:b/>
                <w:bCs w:val="0"/>
                <w:color w:val="auto"/>
                <w:highlight w:val="none"/>
              </w:rPr>
            </w:pPr>
            <w:r>
              <w:rPr>
                <w:rFonts w:cs="Times New Roman"/>
                <w:b/>
                <w:bCs w:val="0"/>
                <w:color w:val="auto"/>
                <w:highlight w:val="non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2744" w:type="dxa"/>
            <w:shd w:val="clear" w:color="auto" w:fill="FFFFFF" w:themeFill="background1"/>
            <w:vAlign w:val="center"/>
          </w:tcPr>
          <w:p>
            <w:pPr>
              <w:pStyle w:val="33"/>
              <w:jc w:val="left"/>
              <w:rPr>
                <w:rFonts w:cs="Times New Roman"/>
                <w:color w:val="auto"/>
                <w:highlight w:val="none"/>
              </w:rPr>
            </w:pPr>
            <w:bookmarkStart w:id="13" w:name="_Hlk76492158"/>
            <w:r>
              <w:rPr>
                <w:rFonts w:cs="Times New Roman"/>
                <w:color w:val="auto"/>
                <w:highlight w:val="none"/>
              </w:rPr>
              <w:t>D1社会效益</w:t>
            </w:r>
          </w:p>
        </w:tc>
        <w:tc>
          <w:tcPr>
            <w:tcW w:w="1890" w:type="dxa"/>
            <w:shd w:val="clear" w:color="auto" w:fill="FFFFFF" w:themeFill="background1"/>
            <w:vAlign w:val="center"/>
          </w:tcPr>
          <w:p>
            <w:pPr>
              <w:pStyle w:val="33"/>
              <w:rPr>
                <w:rFonts w:cs="Times New Roman"/>
                <w:color w:val="auto"/>
                <w:highlight w:val="none"/>
              </w:rPr>
            </w:pPr>
            <w:r>
              <w:rPr>
                <w:rFonts w:cs="Times New Roman"/>
                <w:color w:val="auto"/>
                <w:highlight w:val="none"/>
              </w:rPr>
              <w:t>8.00</w:t>
            </w:r>
          </w:p>
        </w:tc>
        <w:tc>
          <w:tcPr>
            <w:tcW w:w="1718" w:type="dxa"/>
            <w:shd w:val="clear" w:color="auto" w:fill="FFFFFF" w:themeFill="background1"/>
            <w:vAlign w:val="center"/>
          </w:tcPr>
          <w:p>
            <w:pPr>
              <w:pStyle w:val="33"/>
              <w:rPr>
                <w:rFonts w:cs="Times New Roman"/>
                <w:color w:val="auto"/>
                <w:highlight w:val="none"/>
              </w:rPr>
            </w:pPr>
            <w:r>
              <w:rPr>
                <w:rFonts w:cs="Times New Roman"/>
                <w:color w:val="auto"/>
                <w:highlight w:val="none"/>
              </w:rPr>
              <w:t>8.00</w:t>
            </w:r>
          </w:p>
        </w:tc>
        <w:tc>
          <w:tcPr>
            <w:tcW w:w="2170" w:type="dxa"/>
            <w:shd w:val="clear" w:color="auto" w:fill="FFFFFF" w:themeFill="background1"/>
            <w:vAlign w:val="center"/>
          </w:tcPr>
          <w:p>
            <w:pPr>
              <w:pStyle w:val="33"/>
              <w:rPr>
                <w:rFonts w:cs="Times New Roman"/>
                <w:color w:val="auto"/>
                <w:highlight w:val="none"/>
              </w:rPr>
            </w:pPr>
            <w:r>
              <w:rPr>
                <w:rFonts w:cs="Times New Roman"/>
                <w:color w:val="auto"/>
                <w:highlight w:val="non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2744" w:type="dxa"/>
            <w:shd w:val="clear" w:color="auto" w:fill="FFFFFF" w:themeFill="background1"/>
            <w:vAlign w:val="center"/>
          </w:tcPr>
          <w:p>
            <w:pPr>
              <w:pStyle w:val="33"/>
              <w:jc w:val="left"/>
              <w:rPr>
                <w:rFonts w:cs="Times New Roman"/>
                <w:color w:val="auto"/>
                <w:highlight w:val="none"/>
              </w:rPr>
            </w:pPr>
            <w:r>
              <w:rPr>
                <w:rFonts w:cs="Times New Roman"/>
                <w:color w:val="auto"/>
                <w:highlight w:val="none"/>
              </w:rPr>
              <w:t>D2经济效益</w:t>
            </w:r>
          </w:p>
        </w:tc>
        <w:tc>
          <w:tcPr>
            <w:tcW w:w="1890" w:type="dxa"/>
            <w:shd w:val="clear" w:color="auto" w:fill="FFFFFF" w:themeFill="background1"/>
            <w:vAlign w:val="center"/>
          </w:tcPr>
          <w:p>
            <w:pPr>
              <w:pStyle w:val="33"/>
              <w:rPr>
                <w:rFonts w:cs="Times New Roman"/>
                <w:color w:val="auto"/>
                <w:highlight w:val="none"/>
              </w:rPr>
            </w:pPr>
            <w:r>
              <w:rPr>
                <w:rFonts w:cs="Times New Roman"/>
                <w:color w:val="auto"/>
                <w:highlight w:val="none"/>
              </w:rPr>
              <w:t>7.00</w:t>
            </w:r>
          </w:p>
        </w:tc>
        <w:tc>
          <w:tcPr>
            <w:tcW w:w="1718" w:type="dxa"/>
            <w:shd w:val="clear" w:color="auto" w:fill="FFFFFF" w:themeFill="background1"/>
            <w:vAlign w:val="center"/>
          </w:tcPr>
          <w:p>
            <w:pPr>
              <w:pStyle w:val="33"/>
              <w:rPr>
                <w:rFonts w:cs="Times New Roman"/>
                <w:color w:val="auto"/>
                <w:highlight w:val="none"/>
              </w:rPr>
            </w:pPr>
            <w:r>
              <w:rPr>
                <w:rFonts w:cs="Times New Roman"/>
                <w:color w:val="auto"/>
                <w:highlight w:val="none"/>
              </w:rPr>
              <w:t>7.00</w:t>
            </w:r>
          </w:p>
        </w:tc>
        <w:tc>
          <w:tcPr>
            <w:tcW w:w="2170" w:type="dxa"/>
            <w:shd w:val="clear" w:color="auto" w:fill="FFFFFF" w:themeFill="background1"/>
            <w:vAlign w:val="center"/>
          </w:tcPr>
          <w:p>
            <w:pPr>
              <w:pStyle w:val="33"/>
              <w:rPr>
                <w:rFonts w:cs="Times New Roman"/>
                <w:color w:val="auto"/>
                <w:highlight w:val="none"/>
              </w:rPr>
            </w:pPr>
            <w:r>
              <w:rPr>
                <w:rFonts w:cs="Times New Roman"/>
                <w:color w:val="auto"/>
                <w:highlight w:val="non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2744" w:type="dxa"/>
            <w:shd w:val="clear" w:color="auto" w:fill="FFFFFF" w:themeFill="background1"/>
            <w:vAlign w:val="center"/>
          </w:tcPr>
          <w:p>
            <w:pPr>
              <w:pStyle w:val="33"/>
              <w:jc w:val="left"/>
              <w:rPr>
                <w:rFonts w:cs="Times New Roman"/>
                <w:color w:val="auto"/>
                <w:highlight w:val="none"/>
              </w:rPr>
            </w:pPr>
            <w:r>
              <w:rPr>
                <w:rFonts w:cs="Times New Roman"/>
                <w:color w:val="auto"/>
                <w:highlight w:val="none"/>
              </w:rPr>
              <w:t>D3生态效益</w:t>
            </w:r>
          </w:p>
        </w:tc>
        <w:tc>
          <w:tcPr>
            <w:tcW w:w="1890" w:type="dxa"/>
            <w:shd w:val="clear" w:color="auto" w:fill="FFFFFF" w:themeFill="background1"/>
            <w:vAlign w:val="center"/>
          </w:tcPr>
          <w:p>
            <w:pPr>
              <w:pStyle w:val="33"/>
              <w:rPr>
                <w:rFonts w:cs="Times New Roman"/>
                <w:color w:val="auto"/>
                <w:highlight w:val="none"/>
              </w:rPr>
            </w:pPr>
            <w:r>
              <w:rPr>
                <w:rFonts w:cs="Times New Roman"/>
                <w:color w:val="auto"/>
                <w:highlight w:val="none"/>
              </w:rPr>
              <w:t>8.00</w:t>
            </w:r>
          </w:p>
        </w:tc>
        <w:tc>
          <w:tcPr>
            <w:tcW w:w="1718" w:type="dxa"/>
            <w:shd w:val="clear" w:color="auto" w:fill="FFFFFF" w:themeFill="background1"/>
            <w:vAlign w:val="center"/>
          </w:tcPr>
          <w:p>
            <w:pPr>
              <w:pStyle w:val="33"/>
              <w:rPr>
                <w:rFonts w:cs="Times New Roman"/>
                <w:color w:val="auto"/>
                <w:highlight w:val="none"/>
              </w:rPr>
            </w:pPr>
            <w:r>
              <w:rPr>
                <w:rFonts w:cs="Times New Roman"/>
                <w:color w:val="auto"/>
                <w:highlight w:val="none"/>
              </w:rPr>
              <w:t>8.00</w:t>
            </w:r>
          </w:p>
        </w:tc>
        <w:tc>
          <w:tcPr>
            <w:tcW w:w="2170" w:type="dxa"/>
            <w:shd w:val="clear" w:color="auto" w:fill="FFFFFF" w:themeFill="background1"/>
            <w:vAlign w:val="center"/>
          </w:tcPr>
          <w:p>
            <w:pPr>
              <w:pStyle w:val="33"/>
              <w:rPr>
                <w:rFonts w:cs="Times New Roman"/>
                <w:color w:val="auto"/>
                <w:highlight w:val="none"/>
              </w:rPr>
            </w:pPr>
            <w:r>
              <w:rPr>
                <w:rFonts w:cs="Times New Roman"/>
                <w:color w:val="auto"/>
                <w:highlight w:val="non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744" w:type="dxa"/>
            <w:shd w:val="clear" w:color="auto" w:fill="FFFFFF" w:themeFill="background1"/>
            <w:vAlign w:val="center"/>
          </w:tcPr>
          <w:p>
            <w:pPr>
              <w:pStyle w:val="33"/>
              <w:jc w:val="left"/>
              <w:rPr>
                <w:rFonts w:cs="Times New Roman"/>
                <w:color w:val="auto"/>
                <w:highlight w:val="none"/>
              </w:rPr>
            </w:pPr>
            <w:r>
              <w:rPr>
                <w:rFonts w:cs="Times New Roman"/>
                <w:color w:val="auto"/>
                <w:highlight w:val="none"/>
              </w:rPr>
              <w:t>D4可持续影响</w:t>
            </w:r>
          </w:p>
        </w:tc>
        <w:tc>
          <w:tcPr>
            <w:tcW w:w="1890" w:type="dxa"/>
            <w:shd w:val="clear" w:color="auto" w:fill="FFFFFF" w:themeFill="background1"/>
            <w:vAlign w:val="center"/>
          </w:tcPr>
          <w:p>
            <w:pPr>
              <w:pStyle w:val="33"/>
              <w:rPr>
                <w:rFonts w:cs="Times New Roman"/>
                <w:color w:val="auto"/>
                <w:highlight w:val="none"/>
              </w:rPr>
            </w:pPr>
            <w:r>
              <w:rPr>
                <w:rFonts w:cs="Times New Roman"/>
                <w:color w:val="auto"/>
                <w:highlight w:val="none"/>
              </w:rPr>
              <w:t>3.00</w:t>
            </w:r>
          </w:p>
        </w:tc>
        <w:tc>
          <w:tcPr>
            <w:tcW w:w="1718" w:type="dxa"/>
            <w:shd w:val="clear" w:color="auto" w:fill="FFFFFF" w:themeFill="background1"/>
            <w:vAlign w:val="center"/>
          </w:tcPr>
          <w:p>
            <w:pPr>
              <w:pStyle w:val="33"/>
              <w:rPr>
                <w:rFonts w:cs="Times New Roman"/>
                <w:color w:val="auto"/>
                <w:highlight w:val="none"/>
              </w:rPr>
            </w:pPr>
            <w:r>
              <w:rPr>
                <w:rFonts w:cs="Times New Roman"/>
                <w:color w:val="auto"/>
                <w:highlight w:val="none"/>
              </w:rPr>
              <w:t>3.00</w:t>
            </w:r>
          </w:p>
        </w:tc>
        <w:tc>
          <w:tcPr>
            <w:tcW w:w="2170" w:type="dxa"/>
            <w:shd w:val="clear" w:color="auto" w:fill="FFFFFF" w:themeFill="background1"/>
            <w:vAlign w:val="center"/>
          </w:tcPr>
          <w:p>
            <w:pPr>
              <w:pStyle w:val="33"/>
              <w:rPr>
                <w:rFonts w:cs="Times New Roman"/>
                <w:color w:val="auto"/>
                <w:highlight w:val="none"/>
              </w:rPr>
            </w:pPr>
            <w:r>
              <w:rPr>
                <w:rFonts w:cs="Times New Roman"/>
                <w:color w:val="auto"/>
                <w:highlight w:val="non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744" w:type="dxa"/>
            <w:shd w:val="clear" w:color="auto" w:fill="FFFFFF" w:themeFill="background1"/>
            <w:vAlign w:val="center"/>
          </w:tcPr>
          <w:p>
            <w:pPr>
              <w:pStyle w:val="33"/>
              <w:ind w:right="280" w:rightChars="100"/>
              <w:jc w:val="left"/>
              <w:rPr>
                <w:rFonts w:cs="Times New Roman"/>
                <w:color w:val="auto"/>
                <w:highlight w:val="none"/>
              </w:rPr>
            </w:pPr>
            <w:r>
              <w:rPr>
                <w:rFonts w:cs="Times New Roman"/>
                <w:color w:val="auto"/>
                <w:highlight w:val="none"/>
              </w:rPr>
              <w:t>D5满意度</w:t>
            </w:r>
          </w:p>
        </w:tc>
        <w:tc>
          <w:tcPr>
            <w:tcW w:w="1890" w:type="dxa"/>
            <w:shd w:val="clear" w:color="auto" w:fill="FFFFFF" w:themeFill="background1"/>
            <w:vAlign w:val="center"/>
          </w:tcPr>
          <w:p>
            <w:pPr>
              <w:pStyle w:val="33"/>
              <w:rPr>
                <w:rFonts w:cs="Times New Roman"/>
                <w:color w:val="auto"/>
                <w:highlight w:val="none"/>
              </w:rPr>
            </w:pPr>
            <w:r>
              <w:rPr>
                <w:rFonts w:cs="Times New Roman"/>
                <w:color w:val="auto"/>
                <w:highlight w:val="none"/>
              </w:rPr>
              <w:t>4.00</w:t>
            </w:r>
          </w:p>
        </w:tc>
        <w:tc>
          <w:tcPr>
            <w:tcW w:w="1718" w:type="dxa"/>
            <w:shd w:val="clear" w:color="auto" w:fill="FFFFFF" w:themeFill="background1"/>
            <w:vAlign w:val="center"/>
          </w:tcPr>
          <w:p>
            <w:pPr>
              <w:pStyle w:val="33"/>
              <w:rPr>
                <w:rFonts w:cs="Times New Roman"/>
                <w:color w:val="auto"/>
                <w:highlight w:val="none"/>
              </w:rPr>
            </w:pPr>
            <w:r>
              <w:rPr>
                <w:rFonts w:cs="Times New Roman"/>
                <w:color w:val="auto"/>
                <w:highlight w:val="none"/>
              </w:rPr>
              <w:t>4.00</w:t>
            </w:r>
          </w:p>
        </w:tc>
        <w:tc>
          <w:tcPr>
            <w:tcW w:w="2170" w:type="dxa"/>
            <w:shd w:val="clear" w:color="auto" w:fill="FFFFFF" w:themeFill="background1"/>
            <w:vAlign w:val="center"/>
          </w:tcPr>
          <w:p>
            <w:pPr>
              <w:pStyle w:val="33"/>
              <w:rPr>
                <w:rFonts w:cs="Times New Roman"/>
                <w:color w:val="auto"/>
                <w:highlight w:val="none"/>
              </w:rPr>
            </w:pPr>
            <w:r>
              <w:rPr>
                <w:rFonts w:cs="Times New Roman"/>
                <w:color w:val="auto"/>
                <w:highlight w:val="none"/>
              </w:rPr>
              <w:t>100.00%</w:t>
            </w:r>
          </w:p>
        </w:tc>
      </w:tr>
      <w:bookmark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2744" w:type="dxa"/>
            <w:shd w:val="clear" w:color="auto" w:fill="FFFFFF" w:themeFill="background1"/>
            <w:vAlign w:val="center"/>
          </w:tcPr>
          <w:p>
            <w:pPr>
              <w:pStyle w:val="33"/>
              <w:rPr>
                <w:rStyle w:val="17"/>
                <w:rFonts w:cs="Times New Roman" w:eastAsiaTheme="minorEastAsia"/>
                <w:bCs/>
                <w:color w:val="auto"/>
                <w:kern w:val="2"/>
                <w:sz w:val="21"/>
                <w:szCs w:val="21"/>
                <w:highlight w:val="none"/>
                <w:lang w:val="en-US"/>
              </w:rPr>
            </w:pPr>
            <w:r>
              <w:rPr>
                <w:rStyle w:val="17"/>
                <w:rFonts w:cs="Times New Roman"/>
                <w:bCs w:val="0"/>
                <w:color w:val="auto"/>
                <w:highlight w:val="none"/>
              </w:rPr>
              <w:t>合计</w:t>
            </w:r>
          </w:p>
        </w:tc>
        <w:tc>
          <w:tcPr>
            <w:tcW w:w="1890" w:type="dxa"/>
            <w:shd w:val="clear" w:color="auto" w:fill="FFFFFF" w:themeFill="background1"/>
            <w:vAlign w:val="center"/>
          </w:tcPr>
          <w:p>
            <w:pPr>
              <w:pStyle w:val="33"/>
              <w:rPr>
                <w:rFonts w:cs="Times New Roman"/>
                <w:color w:val="auto"/>
                <w:highlight w:val="none"/>
              </w:rPr>
            </w:pPr>
            <w:r>
              <w:rPr>
                <w:rFonts w:cs="Times New Roman"/>
                <w:color w:val="auto"/>
                <w:highlight w:val="none"/>
              </w:rPr>
              <w:t>100</w:t>
            </w:r>
          </w:p>
        </w:tc>
        <w:tc>
          <w:tcPr>
            <w:tcW w:w="1718" w:type="dxa"/>
            <w:shd w:val="clear" w:color="auto" w:fill="FFFFFF" w:themeFill="background1"/>
            <w:vAlign w:val="center"/>
          </w:tcPr>
          <w:p>
            <w:pPr>
              <w:pStyle w:val="33"/>
              <w:rPr>
                <w:rFonts w:cs="Times New Roman"/>
                <w:color w:val="auto"/>
                <w:highlight w:val="none"/>
              </w:rPr>
            </w:pPr>
            <w:r>
              <w:rPr>
                <w:rFonts w:cs="Times New Roman"/>
                <w:color w:val="auto"/>
                <w:highlight w:val="none"/>
              </w:rPr>
              <w:t>90.87</w:t>
            </w:r>
          </w:p>
        </w:tc>
        <w:tc>
          <w:tcPr>
            <w:tcW w:w="2170" w:type="dxa"/>
            <w:shd w:val="clear" w:color="auto" w:fill="FFFFFF" w:themeFill="background1"/>
            <w:vAlign w:val="center"/>
          </w:tcPr>
          <w:p>
            <w:pPr>
              <w:pStyle w:val="33"/>
              <w:rPr>
                <w:rFonts w:cs="Times New Roman"/>
                <w:color w:val="auto"/>
                <w:highlight w:val="none"/>
              </w:rPr>
            </w:pPr>
            <w:r>
              <w:rPr>
                <w:rFonts w:cs="Times New Roman"/>
                <w:color w:val="auto"/>
                <w:highlight w:val="none"/>
              </w:rPr>
              <w:t>90.87%</w:t>
            </w:r>
          </w:p>
        </w:tc>
      </w:tr>
    </w:tbl>
    <w:p>
      <w:pPr>
        <w:pStyle w:val="5"/>
        <w:rPr>
          <w:rFonts w:ascii="Times New Roman" w:hAnsi="Times New Roman" w:cs="Times New Roman"/>
          <w:highlight w:val="none"/>
        </w:rPr>
      </w:pPr>
      <w:bookmarkStart w:id="14" w:name="_Toc136264986"/>
      <w:r>
        <w:rPr>
          <w:rFonts w:ascii="Times New Roman" w:hAnsi="Times New Roman" w:cs="Times New Roman"/>
          <w:highlight w:val="none"/>
        </w:rPr>
        <w:t>（二）综合评价结论</w:t>
      </w:r>
      <w:bookmarkEnd w:id="14"/>
    </w:p>
    <w:p>
      <w:pPr>
        <w:ind w:firstLine="560"/>
        <w:rPr>
          <w:rFonts w:cs="Times New Roman"/>
          <w:highlight w:val="none"/>
        </w:rPr>
      </w:pPr>
      <w:r>
        <w:rPr>
          <w:rFonts w:cs="Times New Roman"/>
          <w:highlight w:val="none"/>
        </w:rPr>
        <w:t>根据预算单位提供的项目资料、评价组实地调研以及绩效评价指标体系评分情况，评估组得出以下综合评价结论。</w:t>
      </w:r>
    </w:p>
    <w:p>
      <w:pPr>
        <w:ind w:firstLine="560"/>
        <w:rPr>
          <w:rFonts w:cs="Times New Roman"/>
          <w:highlight w:val="none"/>
        </w:rPr>
      </w:pPr>
      <w:r>
        <w:rPr>
          <w:rFonts w:cs="Times New Roman"/>
          <w:highlight w:val="none"/>
        </w:rPr>
        <w:t>首先，专项资金预算投入及执行方面。2021-2023年度吉林省建筑节能奖补资金整体安排预算2955万元，其中，2021年度安排预算资金310.47万元，共支持8个项目；2022年度安排预算资金1644.53万元，共支持6个示范市、县（43个项目）；2023年度安排预算资金1000万元，共支持5个项目，同时同步下达2022年示范市县得奖补资金618万元。省级层面，已支出2955万元，预算执行率为100%；市县层面，已支出1955万元，预算执行率为66.16%，目前2023年各项目单位正在走审批手续流程，目前尚未收到奖补资金。</w:t>
      </w:r>
    </w:p>
    <w:p>
      <w:pPr>
        <w:ind w:firstLine="560"/>
        <w:rPr>
          <w:rFonts w:cs="Times New Roman"/>
          <w:highlight w:val="none"/>
        </w:rPr>
      </w:pPr>
      <w:r>
        <w:rPr>
          <w:rFonts w:cs="Times New Roman"/>
          <w:highlight w:val="none"/>
        </w:rPr>
        <w:t>其次，专项资金和业务管理制度及执行方面。从专项资金制度来看，省级层面，省财政厅</w:t>
      </w:r>
      <w:r>
        <w:rPr>
          <w:rFonts w:hint="eastAsia" w:cs="Times New Roman"/>
          <w:highlight w:val="none"/>
          <w:lang w:eastAsia="zh-CN"/>
        </w:rPr>
        <w:t>、</w:t>
      </w:r>
      <w:r>
        <w:rPr>
          <w:rFonts w:cs="Times New Roman"/>
          <w:highlight w:val="none"/>
        </w:rPr>
        <w:t>省住建厅联合制定了《吉林省建筑节能奖补资金管理办法》。从制度执行来看，从项目立项、项目预算编制、项目实施以及资金使用流程进行了全面管理，最大程度的保障项目有序实施。</w:t>
      </w:r>
    </w:p>
    <w:p>
      <w:pPr>
        <w:ind w:firstLine="560"/>
        <w:rPr>
          <w:rFonts w:cs="Times New Roman"/>
          <w:highlight w:val="none"/>
        </w:rPr>
      </w:pPr>
      <w:r>
        <w:rPr>
          <w:rFonts w:cs="Times New Roman"/>
          <w:highlight w:val="none"/>
        </w:rPr>
        <w:t>再次，专项资金扶持任务实施推进方面。2021-2023年，专项资金共支持13个可再生能源建筑应用示范项目和6个示范市、县（包含43个项目）。目前，已完成示范面积达108.51万平方米，53个项目已完成50个项目验收，并全部通过。其中2022年，示范市县敦化市和临江市由于疫情影响，建筑主体未完工，申请延期，共涉及3个项目，包括：吉鲁特种鞋服产业园区项目、六鼎山文化旅游公众服务中心项目和敦化六鼎山国际医疗产业园基础设施工程项目。</w:t>
      </w:r>
    </w:p>
    <w:p>
      <w:pPr>
        <w:ind w:firstLine="560"/>
        <w:rPr>
          <w:rFonts w:cs="Times New Roman"/>
          <w:highlight w:val="none"/>
        </w:rPr>
      </w:pPr>
      <w:r>
        <w:rPr>
          <w:rFonts w:cs="Times New Roman"/>
          <w:highlight w:val="none"/>
        </w:rPr>
        <w:t>最后，专项资金效果方面。可再生能源建筑应用示范项目结合地理位置、建筑类型、气象条件等因素，采用了土壤源热泵、空气源热泵、污水源热泵、地下水源热泵技术，充分利用不同类型的能源，通过先进、适用的科学手段推动可再生能源在当地的开发利用和当地供暖方式的改革。清洁采暖实施后，人居生活环境、特别是偏远地区的学校、医院、养老院等生活环境极大改善，推动城乡绿色发。采用热泵系统供暖的建设项目，采暖费用节省10-15元/㎡，制冷费用相对传统空调节约50%以上。2021-2023年专项资金支持的53个项目每年可节约标煤2.16万吨，减排二氧化碳5.34万吨，达到了较好的节能环保效果。</w:t>
      </w:r>
    </w:p>
    <w:p>
      <w:pPr>
        <w:pStyle w:val="4"/>
        <w:rPr>
          <w:rFonts w:cs="Times New Roman"/>
          <w:highlight w:val="none"/>
        </w:rPr>
      </w:pPr>
      <w:bookmarkStart w:id="15" w:name="_Toc136264987"/>
      <w:r>
        <w:rPr>
          <w:rFonts w:cs="Times New Roman"/>
          <w:highlight w:val="none"/>
        </w:rPr>
        <w:t>四、绩效评价指标分析</w:t>
      </w:r>
      <w:bookmarkEnd w:id="15"/>
    </w:p>
    <w:p>
      <w:pPr>
        <w:pStyle w:val="5"/>
        <w:rPr>
          <w:rFonts w:ascii="Times New Roman" w:hAnsi="Times New Roman" w:cs="Times New Roman"/>
          <w:highlight w:val="none"/>
        </w:rPr>
      </w:pPr>
      <w:bookmarkStart w:id="16" w:name="_Toc136264988"/>
      <w:r>
        <w:rPr>
          <w:rFonts w:ascii="Times New Roman" w:hAnsi="Times New Roman" w:cs="Times New Roman"/>
          <w:highlight w:val="none"/>
        </w:rPr>
        <w:t>（一）项目决策情况</w:t>
      </w:r>
      <w:bookmarkEnd w:id="16"/>
    </w:p>
    <w:p>
      <w:pPr>
        <w:ind w:firstLine="560"/>
        <w:rPr>
          <w:rFonts w:cs="Times New Roman"/>
          <w:highlight w:val="none"/>
        </w:rPr>
      </w:pPr>
      <w:r>
        <w:rPr>
          <w:rFonts w:cs="Times New Roman"/>
          <w:highlight w:val="none"/>
        </w:rPr>
        <w:t>本项目决策类指标从三个维度进行考察，分别是项目立项、绩效目标、预算编制。项目决策类指标总分值为20分，实际得分16.2分，得分率81.00%。各指标的实际得分情况见表4-1。</w:t>
      </w:r>
    </w:p>
    <w:p>
      <w:pPr>
        <w:pStyle w:val="31"/>
        <w:rPr>
          <w:highlight w:val="none"/>
        </w:rPr>
      </w:pPr>
      <w:r>
        <w:rPr>
          <w:highlight w:val="none"/>
        </w:rPr>
        <w:t>表4-1 项目决策类指标得分情况</w:t>
      </w:r>
    </w:p>
    <w:tbl>
      <w:tblPr>
        <w:tblStyle w:val="2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3"/>
        <w:gridCol w:w="731"/>
        <w:gridCol w:w="937"/>
        <w:gridCol w:w="943"/>
        <w:gridCol w:w="1239"/>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blHeader/>
          <w:jc w:val="center"/>
        </w:trPr>
        <w:tc>
          <w:tcPr>
            <w:tcW w:w="3133" w:type="dxa"/>
            <w:shd w:val="clear" w:color="auto" w:fill="A5A5A5" w:themeFill="background1" w:themeFillShade="A6"/>
            <w:vAlign w:val="center"/>
          </w:tcPr>
          <w:p>
            <w:pPr>
              <w:pStyle w:val="33"/>
              <w:rPr>
                <w:rFonts w:cs="Times New Roman"/>
                <w:b/>
                <w:bCs w:val="0"/>
                <w:color w:val="auto"/>
                <w:highlight w:val="none"/>
              </w:rPr>
            </w:pPr>
            <w:bookmarkStart w:id="17" w:name="_Hlk112228779"/>
            <w:r>
              <w:rPr>
                <w:rFonts w:cs="Times New Roman"/>
                <w:b/>
                <w:bCs w:val="0"/>
                <w:color w:val="auto"/>
                <w:highlight w:val="none"/>
              </w:rPr>
              <w:t>三级指标</w:t>
            </w:r>
          </w:p>
        </w:tc>
        <w:tc>
          <w:tcPr>
            <w:tcW w:w="731" w:type="dxa"/>
            <w:shd w:val="clear" w:color="auto" w:fill="A5A5A5" w:themeFill="background1" w:themeFillShade="A6"/>
            <w:vAlign w:val="center"/>
          </w:tcPr>
          <w:p>
            <w:pPr>
              <w:pStyle w:val="33"/>
              <w:rPr>
                <w:rFonts w:cs="Times New Roman"/>
                <w:b/>
                <w:bCs w:val="0"/>
                <w:color w:val="auto"/>
                <w:highlight w:val="none"/>
              </w:rPr>
            </w:pPr>
            <w:r>
              <w:rPr>
                <w:rFonts w:cs="Times New Roman"/>
                <w:b/>
                <w:bCs w:val="0"/>
                <w:color w:val="auto"/>
                <w:highlight w:val="none"/>
              </w:rPr>
              <w:t>权重</w:t>
            </w:r>
          </w:p>
        </w:tc>
        <w:tc>
          <w:tcPr>
            <w:tcW w:w="937" w:type="dxa"/>
            <w:shd w:val="clear" w:color="auto" w:fill="A5A5A5" w:themeFill="background1" w:themeFillShade="A6"/>
            <w:vAlign w:val="center"/>
          </w:tcPr>
          <w:p>
            <w:pPr>
              <w:pStyle w:val="33"/>
              <w:rPr>
                <w:rFonts w:cs="Times New Roman"/>
                <w:b/>
                <w:bCs w:val="0"/>
                <w:color w:val="auto"/>
                <w:highlight w:val="none"/>
              </w:rPr>
            </w:pPr>
            <w:r>
              <w:rPr>
                <w:rFonts w:cs="Times New Roman"/>
                <w:b/>
                <w:bCs w:val="0"/>
                <w:color w:val="auto"/>
                <w:highlight w:val="none"/>
              </w:rPr>
              <w:t>目标值</w:t>
            </w:r>
          </w:p>
        </w:tc>
        <w:tc>
          <w:tcPr>
            <w:tcW w:w="943" w:type="dxa"/>
            <w:shd w:val="clear" w:color="auto" w:fill="A5A5A5" w:themeFill="background1" w:themeFillShade="A6"/>
          </w:tcPr>
          <w:p>
            <w:pPr>
              <w:pStyle w:val="33"/>
              <w:rPr>
                <w:rFonts w:cs="Times New Roman"/>
                <w:b/>
                <w:bCs w:val="0"/>
                <w:color w:val="auto"/>
                <w:highlight w:val="none"/>
              </w:rPr>
            </w:pPr>
            <w:r>
              <w:rPr>
                <w:rFonts w:cs="Times New Roman"/>
                <w:b/>
                <w:bCs w:val="0"/>
                <w:color w:val="auto"/>
                <w:highlight w:val="none"/>
              </w:rPr>
              <w:t>业绩值</w:t>
            </w:r>
          </w:p>
        </w:tc>
        <w:tc>
          <w:tcPr>
            <w:tcW w:w="1239" w:type="dxa"/>
            <w:shd w:val="clear" w:color="auto" w:fill="A5A5A5" w:themeFill="background1" w:themeFillShade="A6"/>
            <w:vAlign w:val="center"/>
          </w:tcPr>
          <w:p>
            <w:pPr>
              <w:pStyle w:val="33"/>
              <w:rPr>
                <w:rFonts w:cs="Times New Roman"/>
                <w:b/>
                <w:bCs w:val="0"/>
                <w:color w:val="auto"/>
                <w:highlight w:val="none"/>
              </w:rPr>
            </w:pPr>
            <w:r>
              <w:rPr>
                <w:rFonts w:cs="Times New Roman"/>
                <w:b/>
                <w:bCs w:val="0"/>
                <w:color w:val="auto"/>
                <w:highlight w:val="none"/>
              </w:rPr>
              <w:t>得分</w:t>
            </w:r>
          </w:p>
        </w:tc>
        <w:tc>
          <w:tcPr>
            <w:tcW w:w="1539" w:type="dxa"/>
            <w:shd w:val="clear" w:color="auto" w:fill="A5A5A5" w:themeFill="background1" w:themeFillShade="A6"/>
            <w:vAlign w:val="center"/>
          </w:tcPr>
          <w:p>
            <w:pPr>
              <w:pStyle w:val="33"/>
              <w:rPr>
                <w:rFonts w:cs="Times New Roman"/>
                <w:b/>
                <w:bCs w:val="0"/>
                <w:color w:val="auto"/>
                <w:highlight w:val="none"/>
              </w:rPr>
            </w:pPr>
            <w:r>
              <w:rPr>
                <w:rFonts w:cs="Times New Roman"/>
                <w:b/>
                <w:bCs w:val="0"/>
                <w:color w:val="auto"/>
                <w:highlight w:val="none"/>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133" w:type="dxa"/>
            <w:vAlign w:val="center"/>
          </w:tcPr>
          <w:p>
            <w:pPr>
              <w:pStyle w:val="33"/>
              <w:jc w:val="left"/>
              <w:rPr>
                <w:rFonts w:cs="Times New Roman"/>
                <w:color w:val="auto"/>
                <w:highlight w:val="none"/>
              </w:rPr>
            </w:pPr>
            <w:r>
              <w:rPr>
                <w:rFonts w:cs="Times New Roman"/>
                <w:color w:val="auto"/>
                <w:highlight w:val="none"/>
              </w:rPr>
              <w:t>A101立项依据充分性</w:t>
            </w:r>
          </w:p>
        </w:tc>
        <w:tc>
          <w:tcPr>
            <w:tcW w:w="731" w:type="dxa"/>
            <w:vAlign w:val="center"/>
          </w:tcPr>
          <w:p>
            <w:pPr>
              <w:pStyle w:val="33"/>
              <w:rPr>
                <w:rFonts w:cs="Times New Roman"/>
                <w:color w:val="auto"/>
                <w:highlight w:val="none"/>
              </w:rPr>
            </w:pPr>
            <w:r>
              <w:rPr>
                <w:rFonts w:cs="Times New Roman"/>
                <w:color w:val="auto"/>
                <w:highlight w:val="none"/>
              </w:rPr>
              <w:t>4.00</w:t>
            </w:r>
          </w:p>
        </w:tc>
        <w:tc>
          <w:tcPr>
            <w:tcW w:w="937" w:type="dxa"/>
            <w:vAlign w:val="center"/>
          </w:tcPr>
          <w:p>
            <w:pPr>
              <w:pStyle w:val="33"/>
              <w:rPr>
                <w:rFonts w:cs="Times New Roman"/>
                <w:color w:val="auto"/>
                <w:highlight w:val="none"/>
              </w:rPr>
            </w:pPr>
            <w:r>
              <w:rPr>
                <w:rFonts w:cs="Times New Roman"/>
                <w:color w:val="auto"/>
                <w:highlight w:val="none"/>
              </w:rPr>
              <w:t>充分</w:t>
            </w:r>
          </w:p>
        </w:tc>
        <w:tc>
          <w:tcPr>
            <w:tcW w:w="943" w:type="dxa"/>
            <w:vAlign w:val="center"/>
          </w:tcPr>
          <w:p>
            <w:pPr>
              <w:pStyle w:val="33"/>
              <w:rPr>
                <w:rFonts w:cs="Times New Roman"/>
                <w:color w:val="auto"/>
                <w:highlight w:val="none"/>
              </w:rPr>
            </w:pPr>
            <w:r>
              <w:rPr>
                <w:rFonts w:cs="Times New Roman"/>
                <w:color w:val="auto"/>
                <w:highlight w:val="none"/>
              </w:rPr>
              <w:t>充分</w:t>
            </w:r>
          </w:p>
        </w:tc>
        <w:tc>
          <w:tcPr>
            <w:tcW w:w="1239" w:type="dxa"/>
            <w:vAlign w:val="center"/>
          </w:tcPr>
          <w:p>
            <w:pPr>
              <w:pStyle w:val="33"/>
              <w:rPr>
                <w:rFonts w:cs="Times New Roman"/>
                <w:color w:val="auto"/>
                <w:highlight w:val="none"/>
              </w:rPr>
            </w:pPr>
            <w:r>
              <w:rPr>
                <w:rFonts w:cs="Times New Roman"/>
                <w:color w:val="auto"/>
                <w:highlight w:val="none"/>
              </w:rPr>
              <w:t>4.00</w:t>
            </w:r>
          </w:p>
        </w:tc>
        <w:tc>
          <w:tcPr>
            <w:tcW w:w="1539" w:type="dxa"/>
            <w:vAlign w:val="center"/>
          </w:tcPr>
          <w:p>
            <w:pPr>
              <w:pStyle w:val="33"/>
              <w:rPr>
                <w:rFonts w:cs="Times New Roman"/>
                <w:color w:val="auto"/>
                <w:highlight w:val="none"/>
              </w:rPr>
            </w:pPr>
            <w:r>
              <w:rPr>
                <w:rFonts w:cs="Times New Roman"/>
                <w:color w:val="auto"/>
                <w:highlight w:val="non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133" w:type="dxa"/>
            <w:vAlign w:val="center"/>
          </w:tcPr>
          <w:p>
            <w:pPr>
              <w:pStyle w:val="33"/>
              <w:jc w:val="left"/>
              <w:rPr>
                <w:rFonts w:cs="Times New Roman"/>
                <w:color w:val="auto"/>
                <w:highlight w:val="none"/>
              </w:rPr>
            </w:pPr>
            <w:r>
              <w:rPr>
                <w:rFonts w:cs="Times New Roman"/>
                <w:color w:val="auto"/>
                <w:highlight w:val="none"/>
              </w:rPr>
              <w:t>A102立项程序规范性</w:t>
            </w:r>
          </w:p>
        </w:tc>
        <w:tc>
          <w:tcPr>
            <w:tcW w:w="731" w:type="dxa"/>
            <w:vAlign w:val="center"/>
          </w:tcPr>
          <w:p>
            <w:pPr>
              <w:pStyle w:val="33"/>
              <w:rPr>
                <w:rFonts w:cs="Times New Roman"/>
                <w:color w:val="auto"/>
                <w:highlight w:val="none"/>
              </w:rPr>
            </w:pPr>
            <w:r>
              <w:rPr>
                <w:rFonts w:cs="Times New Roman"/>
                <w:color w:val="auto"/>
                <w:highlight w:val="none"/>
              </w:rPr>
              <w:t>4.00</w:t>
            </w:r>
          </w:p>
        </w:tc>
        <w:tc>
          <w:tcPr>
            <w:tcW w:w="937" w:type="dxa"/>
            <w:vAlign w:val="center"/>
          </w:tcPr>
          <w:p>
            <w:pPr>
              <w:pStyle w:val="33"/>
              <w:rPr>
                <w:rFonts w:cs="Times New Roman"/>
                <w:color w:val="auto"/>
                <w:highlight w:val="none"/>
              </w:rPr>
            </w:pPr>
            <w:r>
              <w:rPr>
                <w:rFonts w:cs="Times New Roman"/>
                <w:color w:val="auto"/>
                <w:highlight w:val="none"/>
              </w:rPr>
              <w:t>规范</w:t>
            </w:r>
          </w:p>
        </w:tc>
        <w:tc>
          <w:tcPr>
            <w:tcW w:w="943" w:type="dxa"/>
            <w:vAlign w:val="center"/>
          </w:tcPr>
          <w:p>
            <w:pPr>
              <w:pStyle w:val="33"/>
              <w:rPr>
                <w:rFonts w:cs="Times New Roman"/>
                <w:color w:val="auto"/>
                <w:highlight w:val="none"/>
              </w:rPr>
            </w:pPr>
            <w:r>
              <w:rPr>
                <w:rFonts w:cs="Times New Roman"/>
                <w:color w:val="auto"/>
                <w:highlight w:val="none"/>
              </w:rPr>
              <w:t>规范</w:t>
            </w:r>
          </w:p>
        </w:tc>
        <w:tc>
          <w:tcPr>
            <w:tcW w:w="1239" w:type="dxa"/>
            <w:vAlign w:val="center"/>
          </w:tcPr>
          <w:p>
            <w:pPr>
              <w:pStyle w:val="33"/>
              <w:rPr>
                <w:rFonts w:cs="Times New Roman"/>
                <w:color w:val="auto"/>
                <w:highlight w:val="none"/>
              </w:rPr>
            </w:pPr>
            <w:r>
              <w:rPr>
                <w:rFonts w:cs="Times New Roman"/>
                <w:color w:val="auto"/>
                <w:highlight w:val="none"/>
              </w:rPr>
              <w:t>4.00</w:t>
            </w:r>
          </w:p>
        </w:tc>
        <w:tc>
          <w:tcPr>
            <w:tcW w:w="1539" w:type="dxa"/>
            <w:vAlign w:val="center"/>
          </w:tcPr>
          <w:p>
            <w:pPr>
              <w:pStyle w:val="33"/>
              <w:rPr>
                <w:rFonts w:cs="Times New Roman"/>
                <w:color w:val="auto"/>
                <w:highlight w:val="none"/>
              </w:rPr>
            </w:pPr>
            <w:r>
              <w:rPr>
                <w:rFonts w:cs="Times New Roman"/>
                <w:color w:val="auto"/>
                <w:highlight w:val="non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133" w:type="dxa"/>
            <w:vAlign w:val="center"/>
          </w:tcPr>
          <w:p>
            <w:pPr>
              <w:pStyle w:val="33"/>
              <w:jc w:val="left"/>
              <w:rPr>
                <w:rFonts w:cs="Times New Roman"/>
                <w:color w:val="auto"/>
                <w:highlight w:val="none"/>
              </w:rPr>
            </w:pPr>
            <w:r>
              <w:rPr>
                <w:rFonts w:cs="Times New Roman"/>
                <w:color w:val="auto"/>
                <w:highlight w:val="none"/>
              </w:rPr>
              <w:t>A201绩效目标合理性</w:t>
            </w:r>
          </w:p>
        </w:tc>
        <w:tc>
          <w:tcPr>
            <w:tcW w:w="731" w:type="dxa"/>
            <w:vAlign w:val="center"/>
          </w:tcPr>
          <w:p>
            <w:pPr>
              <w:pStyle w:val="33"/>
              <w:rPr>
                <w:rFonts w:cs="Times New Roman"/>
                <w:color w:val="auto"/>
                <w:highlight w:val="none"/>
              </w:rPr>
            </w:pPr>
            <w:r>
              <w:rPr>
                <w:rFonts w:cs="Times New Roman"/>
                <w:color w:val="auto"/>
                <w:highlight w:val="none"/>
              </w:rPr>
              <w:t>3.00</w:t>
            </w:r>
          </w:p>
        </w:tc>
        <w:tc>
          <w:tcPr>
            <w:tcW w:w="937" w:type="dxa"/>
            <w:vAlign w:val="center"/>
          </w:tcPr>
          <w:p>
            <w:pPr>
              <w:pStyle w:val="33"/>
              <w:rPr>
                <w:rFonts w:cs="Times New Roman"/>
                <w:color w:val="auto"/>
                <w:highlight w:val="none"/>
              </w:rPr>
            </w:pPr>
            <w:r>
              <w:rPr>
                <w:rFonts w:cs="Times New Roman"/>
                <w:color w:val="auto"/>
                <w:highlight w:val="none"/>
              </w:rPr>
              <w:t>合理</w:t>
            </w:r>
          </w:p>
        </w:tc>
        <w:tc>
          <w:tcPr>
            <w:tcW w:w="943" w:type="dxa"/>
            <w:vAlign w:val="center"/>
          </w:tcPr>
          <w:p>
            <w:pPr>
              <w:pStyle w:val="33"/>
              <w:rPr>
                <w:rFonts w:cs="Times New Roman"/>
                <w:color w:val="auto"/>
                <w:highlight w:val="none"/>
              </w:rPr>
            </w:pPr>
            <w:r>
              <w:rPr>
                <w:rFonts w:cs="Times New Roman"/>
                <w:color w:val="auto"/>
                <w:highlight w:val="none"/>
              </w:rPr>
              <w:t>不合理</w:t>
            </w:r>
          </w:p>
        </w:tc>
        <w:tc>
          <w:tcPr>
            <w:tcW w:w="1239" w:type="dxa"/>
            <w:vAlign w:val="center"/>
          </w:tcPr>
          <w:p>
            <w:pPr>
              <w:pStyle w:val="33"/>
              <w:rPr>
                <w:rFonts w:cs="Times New Roman"/>
                <w:color w:val="auto"/>
                <w:highlight w:val="none"/>
              </w:rPr>
            </w:pPr>
            <w:r>
              <w:rPr>
                <w:rFonts w:cs="Times New Roman"/>
                <w:color w:val="auto"/>
                <w:highlight w:val="none"/>
              </w:rPr>
              <w:t>1.00</w:t>
            </w:r>
          </w:p>
        </w:tc>
        <w:tc>
          <w:tcPr>
            <w:tcW w:w="1539" w:type="dxa"/>
            <w:vAlign w:val="center"/>
          </w:tcPr>
          <w:p>
            <w:pPr>
              <w:pStyle w:val="33"/>
              <w:rPr>
                <w:rFonts w:cs="Times New Roman"/>
                <w:color w:val="auto"/>
                <w:highlight w:val="none"/>
              </w:rPr>
            </w:pPr>
            <w:r>
              <w:rPr>
                <w:rFonts w:cs="Times New Roman"/>
                <w:color w:val="auto"/>
                <w:highlight w:val="none"/>
              </w:rPr>
              <w:t>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133" w:type="dxa"/>
            <w:vAlign w:val="center"/>
          </w:tcPr>
          <w:p>
            <w:pPr>
              <w:pStyle w:val="33"/>
              <w:jc w:val="left"/>
              <w:rPr>
                <w:rFonts w:cs="Times New Roman"/>
                <w:color w:val="auto"/>
                <w:highlight w:val="none"/>
              </w:rPr>
            </w:pPr>
            <w:r>
              <w:rPr>
                <w:rFonts w:cs="Times New Roman"/>
                <w:color w:val="auto"/>
                <w:highlight w:val="none"/>
              </w:rPr>
              <w:t>A202绩效指标明确性</w:t>
            </w:r>
          </w:p>
        </w:tc>
        <w:tc>
          <w:tcPr>
            <w:tcW w:w="731" w:type="dxa"/>
            <w:vAlign w:val="center"/>
          </w:tcPr>
          <w:p>
            <w:pPr>
              <w:pStyle w:val="33"/>
              <w:rPr>
                <w:rFonts w:cs="Times New Roman"/>
                <w:color w:val="auto"/>
                <w:highlight w:val="none"/>
              </w:rPr>
            </w:pPr>
            <w:r>
              <w:rPr>
                <w:rFonts w:cs="Times New Roman"/>
                <w:color w:val="auto"/>
                <w:highlight w:val="none"/>
              </w:rPr>
              <w:t>3.00</w:t>
            </w:r>
          </w:p>
        </w:tc>
        <w:tc>
          <w:tcPr>
            <w:tcW w:w="937" w:type="dxa"/>
            <w:vAlign w:val="center"/>
          </w:tcPr>
          <w:p>
            <w:pPr>
              <w:pStyle w:val="33"/>
              <w:rPr>
                <w:rFonts w:cs="Times New Roman"/>
                <w:color w:val="auto"/>
                <w:highlight w:val="none"/>
              </w:rPr>
            </w:pPr>
            <w:r>
              <w:rPr>
                <w:rFonts w:cs="Times New Roman"/>
                <w:color w:val="auto"/>
                <w:highlight w:val="none"/>
              </w:rPr>
              <w:t>明确</w:t>
            </w:r>
          </w:p>
        </w:tc>
        <w:tc>
          <w:tcPr>
            <w:tcW w:w="943" w:type="dxa"/>
            <w:vAlign w:val="center"/>
          </w:tcPr>
          <w:p>
            <w:pPr>
              <w:pStyle w:val="33"/>
              <w:rPr>
                <w:rFonts w:cs="Times New Roman"/>
                <w:color w:val="auto"/>
                <w:highlight w:val="none"/>
              </w:rPr>
            </w:pPr>
            <w:r>
              <w:rPr>
                <w:rFonts w:cs="Times New Roman"/>
                <w:color w:val="auto"/>
                <w:highlight w:val="none"/>
              </w:rPr>
              <w:t>不明确</w:t>
            </w:r>
          </w:p>
        </w:tc>
        <w:tc>
          <w:tcPr>
            <w:tcW w:w="1239" w:type="dxa"/>
            <w:vAlign w:val="center"/>
          </w:tcPr>
          <w:p>
            <w:pPr>
              <w:pStyle w:val="33"/>
              <w:rPr>
                <w:rFonts w:cs="Times New Roman"/>
                <w:color w:val="auto"/>
                <w:highlight w:val="none"/>
              </w:rPr>
            </w:pPr>
            <w:r>
              <w:rPr>
                <w:rFonts w:cs="Times New Roman"/>
                <w:color w:val="auto"/>
                <w:highlight w:val="none"/>
              </w:rPr>
              <w:t>1.20</w:t>
            </w:r>
          </w:p>
        </w:tc>
        <w:tc>
          <w:tcPr>
            <w:tcW w:w="1539" w:type="dxa"/>
            <w:vAlign w:val="center"/>
          </w:tcPr>
          <w:p>
            <w:pPr>
              <w:pStyle w:val="33"/>
              <w:rPr>
                <w:rFonts w:cs="Times New Roman"/>
                <w:color w:val="auto"/>
                <w:highlight w:val="none"/>
              </w:rPr>
            </w:pPr>
            <w:r>
              <w:rPr>
                <w:rFonts w:cs="Times New Roman"/>
                <w:color w:val="auto"/>
                <w:highlight w:val="none"/>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133" w:type="dxa"/>
            <w:vAlign w:val="center"/>
          </w:tcPr>
          <w:p>
            <w:pPr>
              <w:pStyle w:val="33"/>
              <w:jc w:val="left"/>
              <w:rPr>
                <w:rFonts w:cs="Times New Roman"/>
                <w:color w:val="auto"/>
                <w:highlight w:val="none"/>
              </w:rPr>
            </w:pPr>
            <w:r>
              <w:rPr>
                <w:rFonts w:cs="Times New Roman"/>
                <w:color w:val="auto"/>
                <w:highlight w:val="none"/>
              </w:rPr>
              <w:t>A301预算编制科学性</w:t>
            </w:r>
          </w:p>
        </w:tc>
        <w:tc>
          <w:tcPr>
            <w:tcW w:w="731" w:type="dxa"/>
            <w:vAlign w:val="center"/>
          </w:tcPr>
          <w:p>
            <w:pPr>
              <w:pStyle w:val="33"/>
              <w:rPr>
                <w:rFonts w:cs="Times New Roman"/>
                <w:color w:val="auto"/>
                <w:highlight w:val="none"/>
              </w:rPr>
            </w:pPr>
            <w:r>
              <w:rPr>
                <w:rFonts w:cs="Times New Roman"/>
                <w:color w:val="auto"/>
                <w:highlight w:val="none"/>
              </w:rPr>
              <w:t>3.00</w:t>
            </w:r>
          </w:p>
        </w:tc>
        <w:tc>
          <w:tcPr>
            <w:tcW w:w="937" w:type="dxa"/>
            <w:vAlign w:val="center"/>
          </w:tcPr>
          <w:p>
            <w:pPr>
              <w:pStyle w:val="33"/>
              <w:rPr>
                <w:rFonts w:cs="Times New Roman"/>
                <w:color w:val="auto"/>
                <w:highlight w:val="none"/>
              </w:rPr>
            </w:pPr>
            <w:r>
              <w:rPr>
                <w:rFonts w:cs="Times New Roman"/>
                <w:color w:val="auto"/>
                <w:highlight w:val="none"/>
              </w:rPr>
              <w:t>科学</w:t>
            </w:r>
          </w:p>
        </w:tc>
        <w:tc>
          <w:tcPr>
            <w:tcW w:w="943" w:type="dxa"/>
            <w:vAlign w:val="center"/>
          </w:tcPr>
          <w:p>
            <w:pPr>
              <w:pStyle w:val="33"/>
              <w:rPr>
                <w:rFonts w:cs="Times New Roman"/>
                <w:color w:val="auto"/>
                <w:highlight w:val="none"/>
              </w:rPr>
            </w:pPr>
            <w:r>
              <w:rPr>
                <w:rFonts w:cs="Times New Roman"/>
                <w:color w:val="auto"/>
                <w:highlight w:val="none"/>
              </w:rPr>
              <w:t>科学</w:t>
            </w:r>
          </w:p>
        </w:tc>
        <w:tc>
          <w:tcPr>
            <w:tcW w:w="1239" w:type="dxa"/>
            <w:vAlign w:val="center"/>
          </w:tcPr>
          <w:p>
            <w:pPr>
              <w:pStyle w:val="33"/>
              <w:rPr>
                <w:rFonts w:cs="Times New Roman"/>
                <w:color w:val="auto"/>
                <w:highlight w:val="none"/>
              </w:rPr>
            </w:pPr>
            <w:r>
              <w:rPr>
                <w:rFonts w:cs="Times New Roman"/>
                <w:color w:val="auto"/>
                <w:highlight w:val="none"/>
              </w:rPr>
              <w:t>3.00</w:t>
            </w:r>
          </w:p>
        </w:tc>
        <w:tc>
          <w:tcPr>
            <w:tcW w:w="1539" w:type="dxa"/>
            <w:vAlign w:val="center"/>
          </w:tcPr>
          <w:p>
            <w:pPr>
              <w:pStyle w:val="33"/>
              <w:rPr>
                <w:rFonts w:cs="Times New Roman"/>
                <w:color w:val="auto"/>
                <w:highlight w:val="none"/>
              </w:rPr>
            </w:pPr>
            <w:r>
              <w:rPr>
                <w:rFonts w:cs="Times New Roman"/>
                <w:color w:val="auto"/>
                <w:highlight w:val="non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133" w:type="dxa"/>
            <w:vAlign w:val="center"/>
          </w:tcPr>
          <w:p>
            <w:pPr>
              <w:pStyle w:val="33"/>
              <w:jc w:val="left"/>
              <w:rPr>
                <w:rFonts w:cs="Times New Roman"/>
                <w:color w:val="auto"/>
                <w:highlight w:val="none"/>
              </w:rPr>
            </w:pPr>
            <w:r>
              <w:rPr>
                <w:rFonts w:cs="Times New Roman"/>
                <w:color w:val="auto"/>
                <w:highlight w:val="none"/>
              </w:rPr>
              <w:t>A302资金分配合理性</w:t>
            </w:r>
          </w:p>
        </w:tc>
        <w:tc>
          <w:tcPr>
            <w:tcW w:w="731" w:type="dxa"/>
            <w:vAlign w:val="center"/>
          </w:tcPr>
          <w:p>
            <w:pPr>
              <w:pStyle w:val="33"/>
              <w:rPr>
                <w:rFonts w:cs="Times New Roman"/>
                <w:color w:val="auto"/>
                <w:highlight w:val="none"/>
              </w:rPr>
            </w:pPr>
            <w:r>
              <w:rPr>
                <w:rFonts w:cs="Times New Roman"/>
                <w:color w:val="auto"/>
                <w:highlight w:val="none"/>
              </w:rPr>
              <w:t>3.00</w:t>
            </w:r>
          </w:p>
        </w:tc>
        <w:tc>
          <w:tcPr>
            <w:tcW w:w="937" w:type="dxa"/>
            <w:vAlign w:val="center"/>
          </w:tcPr>
          <w:p>
            <w:pPr>
              <w:pStyle w:val="33"/>
              <w:rPr>
                <w:rFonts w:cs="Times New Roman"/>
                <w:color w:val="auto"/>
                <w:highlight w:val="none"/>
              </w:rPr>
            </w:pPr>
            <w:r>
              <w:rPr>
                <w:rFonts w:cs="Times New Roman"/>
                <w:color w:val="auto"/>
                <w:highlight w:val="none"/>
              </w:rPr>
              <w:t>合理</w:t>
            </w:r>
          </w:p>
        </w:tc>
        <w:tc>
          <w:tcPr>
            <w:tcW w:w="943" w:type="dxa"/>
            <w:vAlign w:val="center"/>
          </w:tcPr>
          <w:p>
            <w:pPr>
              <w:pStyle w:val="33"/>
              <w:rPr>
                <w:rFonts w:cs="Times New Roman"/>
                <w:color w:val="auto"/>
                <w:highlight w:val="none"/>
              </w:rPr>
            </w:pPr>
            <w:r>
              <w:rPr>
                <w:rFonts w:cs="Times New Roman"/>
                <w:color w:val="auto"/>
                <w:highlight w:val="none"/>
              </w:rPr>
              <w:t>合理</w:t>
            </w:r>
          </w:p>
        </w:tc>
        <w:tc>
          <w:tcPr>
            <w:tcW w:w="1239" w:type="dxa"/>
            <w:vAlign w:val="center"/>
          </w:tcPr>
          <w:p>
            <w:pPr>
              <w:pStyle w:val="33"/>
              <w:rPr>
                <w:rFonts w:cs="Times New Roman"/>
                <w:color w:val="auto"/>
                <w:highlight w:val="none"/>
              </w:rPr>
            </w:pPr>
            <w:r>
              <w:rPr>
                <w:rFonts w:cs="Times New Roman"/>
                <w:color w:val="auto"/>
                <w:highlight w:val="none"/>
              </w:rPr>
              <w:t>3.00</w:t>
            </w:r>
          </w:p>
        </w:tc>
        <w:tc>
          <w:tcPr>
            <w:tcW w:w="1539" w:type="dxa"/>
            <w:vAlign w:val="center"/>
          </w:tcPr>
          <w:p>
            <w:pPr>
              <w:pStyle w:val="33"/>
              <w:rPr>
                <w:rFonts w:cs="Times New Roman"/>
                <w:color w:val="auto"/>
                <w:highlight w:val="none"/>
              </w:rPr>
            </w:pPr>
            <w:r>
              <w:rPr>
                <w:rFonts w:cs="Times New Roman"/>
                <w:color w:val="auto"/>
                <w:highlight w:val="non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133" w:type="dxa"/>
            <w:vAlign w:val="center"/>
          </w:tcPr>
          <w:p>
            <w:pPr>
              <w:pStyle w:val="33"/>
              <w:rPr>
                <w:rFonts w:cs="Times New Roman"/>
                <w:color w:val="auto"/>
                <w:highlight w:val="none"/>
              </w:rPr>
            </w:pPr>
            <w:r>
              <w:rPr>
                <w:rFonts w:cs="Times New Roman"/>
                <w:color w:val="auto"/>
                <w:highlight w:val="none"/>
              </w:rPr>
              <w:t>合计</w:t>
            </w:r>
          </w:p>
        </w:tc>
        <w:tc>
          <w:tcPr>
            <w:tcW w:w="731" w:type="dxa"/>
            <w:vAlign w:val="center"/>
          </w:tcPr>
          <w:p>
            <w:pPr>
              <w:pStyle w:val="33"/>
              <w:rPr>
                <w:rFonts w:cs="Times New Roman"/>
                <w:color w:val="auto"/>
                <w:highlight w:val="none"/>
              </w:rPr>
            </w:pPr>
            <w:r>
              <w:rPr>
                <w:rFonts w:cs="Times New Roman"/>
                <w:color w:val="auto"/>
                <w:highlight w:val="none"/>
              </w:rPr>
              <w:t>20.00</w:t>
            </w:r>
          </w:p>
        </w:tc>
        <w:tc>
          <w:tcPr>
            <w:tcW w:w="937" w:type="dxa"/>
            <w:vAlign w:val="center"/>
          </w:tcPr>
          <w:p>
            <w:pPr>
              <w:pStyle w:val="33"/>
              <w:rPr>
                <w:rFonts w:cs="Times New Roman"/>
                <w:color w:val="auto"/>
                <w:highlight w:val="none"/>
              </w:rPr>
            </w:pPr>
            <w:r>
              <w:rPr>
                <w:rFonts w:cs="Times New Roman"/>
                <w:color w:val="auto"/>
                <w:highlight w:val="none"/>
              </w:rPr>
              <w:t>-</w:t>
            </w:r>
          </w:p>
        </w:tc>
        <w:tc>
          <w:tcPr>
            <w:tcW w:w="943" w:type="dxa"/>
            <w:vAlign w:val="center"/>
          </w:tcPr>
          <w:p>
            <w:pPr>
              <w:pStyle w:val="33"/>
              <w:rPr>
                <w:rFonts w:cs="Times New Roman"/>
                <w:color w:val="auto"/>
                <w:highlight w:val="none"/>
              </w:rPr>
            </w:pPr>
            <w:r>
              <w:rPr>
                <w:rFonts w:cs="Times New Roman"/>
                <w:color w:val="auto"/>
                <w:highlight w:val="none"/>
              </w:rPr>
              <w:t>-</w:t>
            </w:r>
          </w:p>
        </w:tc>
        <w:tc>
          <w:tcPr>
            <w:tcW w:w="1239" w:type="dxa"/>
            <w:vAlign w:val="center"/>
          </w:tcPr>
          <w:p>
            <w:pPr>
              <w:pStyle w:val="33"/>
              <w:rPr>
                <w:rFonts w:cs="Times New Roman"/>
                <w:color w:val="auto"/>
                <w:highlight w:val="none"/>
              </w:rPr>
            </w:pPr>
            <w:r>
              <w:rPr>
                <w:rFonts w:cs="Times New Roman"/>
                <w:color w:val="auto"/>
                <w:highlight w:val="none"/>
              </w:rPr>
              <w:t>16.20</w:t>
            </w:r>
          </w:p>
        </w:tc>
        <w:tc>
          <w:tcPr>
            <w:tcW w:w="1539" w:type="dxa"/>
            <w:vAlign w:val="center"/>
          </w:tcPr>
          <w:p>
            <w:pPr>
              <w:pStyle w:val="33"/>
              <w:rPr>
                <w:rFonts w:cs="Times New Roman"/>
                <w:color w:val="auto"/>
                <w:highlight w:val="none"/>
              </w:rPr>
            </w:pPr>
            <w:r>
              <w:rPr>
                <w:rFonts w:cs="Times New Roman"/>
                <w:color w:val="auto"/>
                <w:highlight w:val="none"/>
              </w:rPr>
              <w:t>81.00%</w:t>
            </w:r>
          </w:p>
        </w:tc>
      </w:tr>
      <w:bookmarkEnd w:id="17"/>
    </w:tbl>
    <w:p>
      <w:pPr>
        <w:ind w:firstLine="562"/>
        <w:rPr>
          <w:rFonts w:cs="Times New Roman"/>
          <w:highlight w:val="none"/>
        </w:rPr>
      </w:pPr>
      <w:r>
        <w:rPr>
          <w:rFonts w:cs="Times New Roman"/>
          <w:b/>
          <w:bCs/>
          <w:highlight w:val="none"/>
        </w:rPr>
        <w:t>A101立项依据充分性：</w:t>
      </w:r>
      <w:r>
        <w:rPr>
          <w:rFonts w:cs="Times New Roman"/>
          <w:bCs/>
          <w:highlight w:val="none"/>
        </w:rPr>
        <w:t>该项指标权重分为4分，实际得分4分。具体依据为：第一，本项目立项符合习近平生态文明思想和党的十九大精神关于“在全社会开展绿色生活创建行动”的要求，同时符合发改委2019年发布的《绿色生活创建行动总体方案》和2020年住建部等国家7部发布的《绿色建筑创建行动方案》的要求，因此项目立项符合国家法律法规、国民经济发展规划和相关政策，该项要素得0.8分。第二，本项目立项符合吉林省住建厅等7部门制定并印发的《吉林省绿色建筑创建实施方案》中关于“全省城镇新建建筑中绿色建筑面积占比持续提高”的要求，因此项目立项符合地区行业发展规划和相关政策要求，该项要素得0.8分。第三，专项资金由省财政厅、省住房城乡建设厅共同管理，省财政厅职责：负责筹措安排年度奖补资金，制定资金管理办法，下达年度资金支出预算，省住房城乡建设厅职责：负责组织项目申报、评审，提出专项资金实施周期和年度绩效目标、监督项目实施，督促建设单位开展能效测评，组织开展绩效自评、项目绩效评价和专项验收，做好信息公开工作。立项与预算单位职责范围相符，属于部门履职所需。该项要素得0.8分。第四，本项目在公共财政支持范围内，该项要素得0.8分。第五，经评价组核查，项目与吉林省财政厅和省住建厅等相关项目不重复。因此，项目与与相关部门同类项目或部门内部相关项目不重复。该项要素得0.8分。综上，根据评分标准，该项指标得100%权重分</w:t>
      </w:r>
      <w:r>
        <w:rPr>
          <w:rFonts w:cs="Times New Roman"/>
          <w:highlight w:val="none"/>
        </w:rPr>
        <w:t>。</w:t>
      </w:r>
    </w:p>
    <w:p>
      <w:pPr>
        <w:ind w:firstLine="562"/>
        <w:rPr>
          <w:rFonts w:cs="Times New Roman"/>
          <w:highlight w:val="none"/>
        </w:rPr>
      </w:pPr>
      <w:r>
        <w:rPr>
          <w:rFonts w:cs="Times New Roman"/>
          <w:b/>
          <w:bCs/>
          <w:highlight w:val="none"/>
        </w:rPr>
        <w:t>A102立项程序规范性：</w:t>
      </w:r>
      <w:r>
        <w:rPr>
          <w:rFonts w:cs="Times New Roman"/>
          <w:highlight w:val="none"/>
        </w:rPr>
        <w:t>该项指标权重分为4分，实际得分4分。具体依据为：第一，按照《吉林省省级财政专项资金管理办法》（吉政发〔2014〕10号）第十条严格履行设立审批程序，设立专项资金时，由主管部门按照预算编制程序和时间要求提出申请，经财政部门审核后，报省政府常务会议（或党组会议）审定，重大项目报省委决定。因此，符合按照规定的程序申请设立，该项要素得4/3分。第二，经过访谈得知，专项资金由省政府批准设立，申请材料、审批材料符合相关要求，其因此，该项要素得4/3分。第三，根据吉林省人民政府关于印发《吉林省省级财政专项资金管理办法的通知》（吉政发〔2014〕10号）第十条要求：主管部门申请设立专项资金时，应当提报可行性研究报告、风险评估报告，并提报绩效目标，由财政部门会同有关部门组织专家对专项资金设立的必要性、可行性、资金规模和绩效目标进行论证。经过访谈得知，专项资金经过必要的集体决策和论证等，该项要素得4/3分。综上，根据评分标准，该项指标得100%权重分。</w:t>
      </w:r>
    </w:p>
    <w:p>
      <w:pPr>
        <w:ind w:firstLine="562"/>
        <w:rPr>
          <w:rFonts w:cs="Times New Roman"/>
          <w:highlight w:val="none"/>
        </w:rPr>
      </w:pPr>
      <w:r>
        <w:rPr>
          <w:rFonts w:cs="Times New Roman"/>
          <w:b/>
          <w:bCs/>
          <w:highlight w:val="none"/>
        </w:rPr>
        <w:t>A201绩效目标合理性：</w:t>
      </w:r>
      <w:r>
        <w:rPr>
          <w:rFonts w:cs="Times New Roman"/>
          <w:highlight w:val="none"/>
        </w:rPr>
        <w:t>该项指标权重分为3分，实际得分1分。具体依据为：根据评价单位提供的资料，仅2023年有绩效目标申报表，同时，绩效目标与实际工作内容相关，预期产出效益和效果符合正常业绩水平，与预算确定的项目投资额和资金量相匹配。综上，根据评分标准，该项目指标得1/3权重分。</w:t>
      </w:r>
    </w:p>
    <w:p>
      <w:pPr>
        <w:ind w:firstLine="562"/>
        <w:rPr>
          <w:rFonts w:cs="Times New Roman"/>
          <w:highlight w:val="none"/>
        </w:rPr>
      </w:pPr>
      <w:r>
        <w:rPr>
          <w:rFonts w:cs="Times New Roman"/>
          <w:b/>
          <w:bCs/>
          <w:highlight w:val="none"/>
        </w:rPr>
        <w:t>A202绩效指标明确性：</w:t>
      </w:r>
      <w:r>
        <w:rPr>
          <w:rFonts w:cs="Times New Roman"/>
          <w:highlight w:val="none"/>
        </w:rPr>
        <w:t>该项指标权重分为3分，实际得分1.2分。具体依据为：根据2023年绩效目标申报表，第一，项目绩效目标细化分解为具体的绩效指标，明确体现数量、质量、时效、成本等产出指标和社会效益指标，该项要素得1.2分。第二，数量和效益指标的指标值均设置为百分数，不易衡量考核，该项要素不得分。第三，项目指标未与项目目标任务数或计划数相对应，该项要素不得分。综上，根据评分标准，该项指标得40%权重分。</w:t>
      </w:r>
    </w:p>
    <w:p>
      <w:pPr>
        <w:ind w:firstLine="562"/>
        <w:rPr>
          <w:rFonts w:cs="Times New Roman"/>
          <w:highlight w:val="none"/>
        </w:rPr>
      </w:pPr>
      <w:r>
        <w:rPr>
          <w:rFonts w:cs="Times New Roman"/>
          <w:b/>
          <w:bCs/>
          <w:highlight w:val="none"/>
        </w:rPr>
        <w:t>A301预算编制科学性：</w:t>
      </w:r>
      <w:r>
        <w:rPr>
          <w:rFonts w:cs="Times New Roman"/>
          <w:highlight w:val="none"/>
        </w:rPr>
        <w:t>该项指标权重分为3分，实际得分3分。具体依据为：第一，根据通过对13个可再生能源建筑应用示范项目和6个示范市、县（包含43个项目）申报资金符合《吉林省建筑节能奖补资金管理办法》的规定，该项要素得1.5分。第二，根据对本项目的项目内容梳理，申报资金要求与项目内容匹配，该项要素得1.5分。综上，根据评分标准，该项指标得100%权重分。</w:t>
      </w:r>
    </w:p>
    <w:p>
      <w:pPr>
        <w:ind w:firstLine="562"/>
        <w:rPr>
          <w:rFonts w:cs="Times New Roman"/>
          <w:highlight w:val="none"/>
        </w:rPr>
      </w:pPr>
      <w:r>
        <w:rPr>
          <w:rFonts w:cs="Times New Roman"/>
          <w:b/>
          <w:bCs/>
          <w:highlight w:val="none"/>
        </w:rPr>
        <w:t>A302资金分配合理性：</w:t>
      </w:r>
      <w:r>
        <w:rPr>
          <w:rFonts w:cs="Times New Roman"/>
          <w:highlight w:val="none"/>
        </w:rPr>
        <w:t>该项指标权重分为3分，实际得分3分。具体依据为：第一，13个可再生能源建筑应用示范项目和6个示范市、县（包含43个项目）的补贴资金分配严格按照《吉林省建筑节能奖补资金管理办法》进行申报审批和发放，分配依据充分，该项要素得1.5分。第二，资金分配额度与项目及示范市县匹配，该项要素得1.5分。综上，根据评分标准，该项指标得100%权重分。</w:t>
      </w:r>
    </w:p>
    <w:p>
      <w:pPr>
        <w:pStyle w:val="5"/>
        <w:rPr>
          <w:rFonts w:ascii="Times New Roman" w:hAnsi="Times New Roman" w:cs="Times New Roman"/>
          <w:highlight w:val="none"/>
        </w:rPr>
      </w:pPr>
      <w:bookmarkStart w:id="18" w:name="_Toc136264989"/>
      <w:r>
        <w:rPr>
          <w:rFonts w:ascii="Times New Roman" w:hAnsi="Times New Roman" w:cs="Times New Roman"/>
          <w:highlight w:val="none"/>
        </w:rPr>
        <w:t>（二）项目过程情况</w:t>
      </w:r>
      <w:bookmarkEnd w:id="18"/>
    </w:p>
    <w:p>
      <w:pPr>
        <w:ind w:firstLine="560"/>
        <w:rPr>
          <w:rFonts w:cs="Times New Roman"/>
          <w:highlight w:val="none"/>
        </w:rPr>
      </w:pPr>
      <w:r>
        <w:rPr>
          <w:rFonts w:cs="Times New Roman"/>
          <w:highlight w:val="none"/>
        </w:rPr>
        <w:t>本项目过程类指标从两个维度进行考察，分别是资金管理和组织实施。项目过程类指标总分值为20分，实际得分20分，得分率100.00%。各指标的实际得分情况见表4-2。</w:t>
      </w:r>
    </w:p>
    <w:p>
      <w:pPr>
        <w:pStyle w:val="31"/>
        <w:rPr>
          <w:highlight w:val="none"/>
        </w:rPr>
      </w:pPr>
      <w:r>
        <w:rPr>
          <w:highlight w:val="none"/>
        </w:rPr>
        <w:t>表4-2 项目过程类指标得分情况</w:t>
      </w:r>
    </w:p>
    <w:tbl>
      <w:tblPr>
        <w:tblStyle w:val="21"/>
        <w:tblW w:w="8330" w:type="dxa"/>
        <w:tblInd w:w="0" w:type="dxa"/>
        <w:tblLayout w:type="fixed"/>
        <w:tblCellMar>
          <w:top w:w="0" w:type="dxa"/>
          <w:left w:w="0" w:type="dxa"/>
          <w:bottom w:w="0" w:type="dxa"/>
          <w:right w:w="0" w:type="dxa"/>
        </w:tblCellMar>
      </w:tblPr>
      <w:tblGrid>
        <w:gridCol w:w="3145"/>
        <w:gridCol w:w="783"/>
        <w:gridCol w:w="1145"/>
        <w:gridCol w:w="1120"/>
        <w:gridCol w:w="1086"/>
        <w:gridCol w:w="1051"/>
      </w:tblGrid>
      <w:tr>
        <w:tblPrEx>
          <w:tblLayout w:type="fixed"/>
          <w:tblCellMar>
            <w:top w:w="0" w:type="dxa"/>
            <w:left w:w="0" w:type="dxa"/>
            <w:bottom w:w="0" w:type="dxa"/>
            <w:right w:w="0" w:type="dxa"/>
          </w:tblCellMar>
        </w:tblPrEx>
        <w:trPr>
          <w:trHeight w:val="52" w:hRule="atLeast"/>
          <w:tblHeader/>
        </w:trPr>
        <w:tc>
          <w:tcPr>
            <w:tcW w:w="3145" w:type="dxa"/>
            <w:tcBorders>
              <w:top w:val="single" w:color="000000" w:sz="4" w:space="0"/>
              <w:left w:val="single" w:color="000000" w:sz="4" w:space="0"/>
              <w:bottom w:val="single" w:color="000000" w:sz="4" w:space="0"/>
              <w:right w:val="single" w:color="000000" w:sz="4" w:space="0"/>
            </w:tcBorders>
            <w:shd w:val="clear" w:color="auto" w:fill="AEAAAA" w:themeFill="background2" w:themeFillShade="BF"/>
            <w:tcMar>
              <w:top w:w="12" w:type="dxa"/>
              <w:left w:w="12" w:type="dxa"/>
              <w:right w:w="12" w:type="dxa"/>
            </w:tcMar>
            <w:vAlign w:val="center"/>
          </w:tcPr>
          <w:p>
            <w:pPr>
              <w:pStyle w:val="33"/>
              <w:rPr>
                <w:rStyle w:val="17"/>
                <w:rFonts w:cs="Times New Roman"/>
                <w:bCs w:val="0"/>
                <w:color w:val="auto"/>
                <w:highlight w:val="none"/>
              </w:rPr>
            </w:pPr>
            <w:r>
              <w:rPr>
                <w:rStyle w:val="17"/>
                <w:rFonts w:cs="Times New Roman"/>
                <w:bCs w:val="0"/>
                <w:color w:val="auto"/>
                <w:highlight w:val="none"/>
              </w:rPr>
              <w:t>三级指标</w:t>
            </w:r>
          </w:p>
        </w:tc>
        <w:tc>
          <w:tcPr>
            <w:tcW w:w="783" w:type="dxa"/>
            <w:tcBorders>
              <w:top w:val="single" w:color="000000" w:sz="4" w:space="0"/>
              <w:left w:val="single" w:color="000000" w:sz="4" w:space="0"/>
              <w:bottom w:val="single" w:color="000000" w:sz="4" w:space="0"/>
              <w:right w:val="single" w:color="000000" w:sz="4" w:space="0"/>
            </w:tcBorders>
            <w:shd w:val="clear" w:color="auto" w:fill="AEAAAA" w:themeFill="background2" w:themeFillShade="BF"/>
            <w:tcMar>
              <w:top w:w="12" w:type="dxa"/>
              <w:left w:w="12" w:type="dxa"/>
              <w:right w:w="12" w:type="dxa"/>
            </w:tcMar>
            <w:vAlign w:val="center"/>
          </w:tcPr>
          <w:p>
            <w:pPr>
              <w:pStyle w:val="33"/>
              <w:rPr>
                <w:rStyle w:val="17"/>
                <w:rFonts w:cs="Times New Roman"/>
                <w:bCs w:val="0"/>
                <w:color w:val="auto"/>
                <w:highlight w:val="none"/>
              </w:rPr>
            </w:pPr>
            <w:r>
              <w:rPr>
                <w:rStyle w:val="17"/>
                <w:rFonts w:cs="Times New Roman"/>
                <w:bCs w:val="0"/>
                <w:color w:val="auto"/>
                <w:highlight w:val="none"/>
              </w:rPr>
              <w:t>权重</w:t>
            </w:r>
          </w:p>
        </w:tc>
        <w:tc>
          <w:tcPr>
            <w:tcW w:w="1145" w:type="dxa"/>
            <w:tcBorders>
              <w:top w:val="single" w:color="000000" w:sz="4" w:space="0"/>
              <w:left w:val="single" w:color="000000" w:sz="4" w:space="0"/>
              <w:bottom w:val="single" w:color="000000" w:sz="4" w:space="0"/>
              <w:right w:val="single" w:color="000000" w:sz="4" w:space="0"/>
            </w:tcBorders>
            <w:shd w:val="clear" w:color="auto" w:fill="AEAAAA" w:themeFill="background2" w:themeFillShade="BF"/>
            <w:tcMar>
              <w:top w:w="12" w:type="dxa"/>
              <w:left w:w="12" w:type="dxa"/>
              <w:right w:w="12" w:type="dxa"/>
            </w:tcMar>
            <w:vAlign w:val="center"/>
          </w:tcPr>
          <w:p>
            <w:pPr>
              <w:pStyle w:val="33"/>
              <w:rPr>
                <w:rStyle w:val="17"/>
                <w:rFonts w:cs="Times New Roman"/>
                <w:bCs w:val="0"/>
                <w:color w:val="auto"/>
                <w:highlight w:val="none"/>
              </w:rPr>
            </w:pPr>
            <w:r>
              <w:rPr>
                <w:rStyle w:val="17"/>
                <w:rFonts w:cs="Times New Roman"/>
                <w:bCs w:val="0"/>
                <w:color w:val="auto"/>
                <w:highlight w:val="none"/>
              </w:rPr>
              <w:t>目标值</w:t>
            </w:r>
          </w:p>
        </w:tc>
        <w:tc>
          <w:tcPr>
            <w:tcW w:w="1120" w:type="dxa"/>
            <w:tcBorders>
              <w:top w:val="single" w:color="000000" w:sz="4" w:space="0"/>
              <w:left w:val="single" w:color="000000" w:sz="4" w:space="0"/>
              <w:bottom w:val="single" w:color="000000" w:sz="4" w:space="0"/>
              <w:right w:val="single" w:color="000000" w:sz="4" w:space="0"/>
            </w:tcBorders>
            <w:shd w:val="clear" w:color="auto" w:fill="AEAAAA" w:themeFill="background2" w:themeFillShade="BF"/>
          </w:tcPr>
          <w:p>
            <w:pPr>
              <w:pStyle w:val="33"/>
              <w:rPr>
                <w:rStyle w:val="17"/>
                <w:rFonts w:cs="Times New Roman"/>
                <w:bCs w:val="0"/>
                <w:color w:val="auto"/>
                <w:highlight w:val="none"/>
              </w:rPr>
            </w:pPr>
            <w:r>
              <w:rPr>
                <w:rStyle w:val="17"/>
                <w:rFonts w:cs="Times New Roman"/>
                <w:bCs w:val="0"/>
                <w:color w:val="auto"/>
                <w:highlight w:val="none"/>
              </w:rPr>
              <w:t>业绩值</w:t>
            </w:r>
          </w:p>
        </w:tc>
        <w:tc>
          <w:tcPr>
            <w:tcW w:w="1086" w:type="dxa"/>
            <w:tcBorders>
              <w:top w:val="single" w:color="000000" w:sz="4" w:space="0"/>
              <w:left w:val="single" w:color="000000" w:sz="4" w:space="0"/>
              <w:bottom w:val="single" w:color="000000" w:sz="4" w:space="0"/>
              <w:right w:val="single" w:color="000000" w:sz="4" w:space="0"/>
            </w:tcBorders>
            <w:shd w:val="clear" w:color="auto" w:fill="AEAAAA" w:themeFill="background2" w:themeFillShade="BF"/>
            <w:tcMar>
              <w:top w:w="12" w:type="dxa"/>
              <w:left w:w="12" w:type="dxa"/>
              <w:right w:w="12" w:type="dxa"/>
            </w:tcMar>
            <w:vAlign w:val="center"/>
          </w:tcPr>
          <w:p>
            <w:pPr>
              <w:pStyle w:val="33"/>
              <w:rPr>
                <w:rStyle w:val="17"/>
                <w:rFonts w:cs="Times New Roman"/>
                <w:bCs w:val="0"/>
                <w:color w:val="auto"/>
                <w:highlight w:val="none"/>
              </w:rPr>
            </w:pPr>
            <w:r>
              <w:rPr>
                <w:rStyle w:val="17"/>
                <w:rFonts w:cs="Times New Roman"/>
                <w:bCs w:val="0"/>
                <w:color w:val="auto"/>
                <w:highlight w:val="none"/>
              </w:rPr>
              <w:t>得分</w:t>
            </w:r>
          </w:p>
        </w:tc>
        <w:tc>
          <w:tcPr>
            <w:tcW w:w="1051" w:type="dxa"/>
            <w:tcBorders>
              <w:top w:val="single" w:color="000000" w:sz="4" w:space="0"/>
              <w:left w:val="single" w:color="000000" w:sz="4" w:space="0"/>
              <w:bottom w:val="single" w:color="000000" w:sz="4" w:space="0"/>
              <w:right w:val="single" w:color="000000" w:sz="4" w:space="0"/>
            </w:tcBorders>
            <w:shd w:val="clear" w:color="auto" w:fill="AEAAAA" w:themeFill="background2" w:themeFillShade="BF"/>
            <w:tcMar>
              <w:top w:w="12" w:type="dxa"/>
              <w:left w:w="12" w:type="dxa"/>
              <w:right w:w="12" w:type="dxa"/>
            </w:tcMar>
            <w:vAlign w:val="center"/>
          </w:tcPr>
          <w:p>
            <w:pPr>
              <w:pStyle w:val="33"/>
              <w:rPr>
                <w:rStyle w:val="17"/>
                <w:rFonts w:cs="Times New Roman"/>
                <w:bCs w:val="0"/>
                <w:color w:val="auto"/>
                <w:highlight w:val="none"/>
              </w:rPr>
            </w:pPr>
            <w:r>
              <w:rPr>
                <w:rStyle w:val="17"/>
                <w:rFonts w:cs="Times New Roman"/>
                <w:bCs w:val="0"/>
                <w:color w:val="auto"/>
                <w:highlight w:val="none"/>
              </w:rPr>
              <w:t>得分率</w:t>
            </w:r>
          </w:p>
        </w:tc>
      </w:tr>
      <w:tr>
        <w:tblPrEx>
          <w:tblLayout w:type="fixed"/>
          <w:tblCellMar>
            <w:top w:w="0" w:type="dxa"/>
            <w:left w:w="0" w:type="dxa"/>
            <w:bottom w:w="0" w:type="dxa"/>
            <w:right w:w="0" w:type="dxa"/>
          </w:tblCellMar>
        </w:tblPrEx>
        <w:trPr>
          <w:trHeight w:val="23" w:hRule="atLeast"/>
        </w:trPr>
        <w:tc>
          <w:tcPr>
            <w:tcW w:w="31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33"/>
              <w:jc w:val="both"/>
              <w:rPr>
                <w:rFonts w:cs="Times New Roman"/>
                <w:color w:val="auto"/>
                <w:szCs w:val="22"/>
                <w:highlight w:val="none"/>
              </w:rPr>
            </w:pPr>
            <w:r>
              <w:rPr>
                <w:rFonts w:cs="Times New Roman"/>
                <w:color w:val="auto"/>
                <w:szCs w:val="22"/>
                <w:highlight w:val="none"/>
              </w:rPr>
              <w:t>B101</w:t>
            </w:r>
            <w:r>
              <w:rPr>
                <w:rStyle w:val="39"/>
                <w:rFonts w:ascii="Times New Roman" w:cs="Times New Roman"/>
                <w:color w:val="auto"/>
                <w:sz w:val="22"/>
                <w:szCs w:val="22"/>
                <w:highlight w:val="none"/>
              </w:rPr>
              <w:t>预算执行率</w:t>
            </w:r>
          </w:p>
        </w:tc>
        <w:tc>
          <w:tcPr>
            <w:tcW w:w="7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33"/>
              <w:rPr>
                <w:rFonts w:cs="Times New Roman"/>
                <w:color w:val="auto"/>
                <w:highlight w:val="none"/>
              </w:rPr>
            </w:pPr>
            <w:r>
              <w:rPr>
                <w:rFonts w:cs="Times New Roman"/>
                <w:color w:val="auto"/>
                <w:highlight w:val="none"/>
                <w:lang w:bidi="ar"/>
              </w:rPr>
              <w:t>4.00</w:t>
            </w:r>
          </w:p>
        </w:tc>
        <w:tc>
          <w:tcPr>
            <w:tcW w:w="11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33"/>
              <w:rPr>
                <w:rFonts w:cs="Times New Roman"/>
                <w:color w:val="auto"/>
                <w:highlight w:val="none"/>
              </w:rPr>
            </w:pPr>
            <w:r>
              <w:rPr>
                <w:rFonts w:cs="Times New Roman"/>
                <w:color w:val="auto"/>
                <w:highlight w:val="none"/>
                <w:lang w:bidi="ar"/>
              </w:rPr>
              <w:t>100.00%</w:t>
            </w:r>
          </w:p>
        </w:tc>
        <w:tc>
          <w:tcPr>
            <w:tcW w:w="1120" w:type="dxa"/>
            <w:tcBorders>
              <w:top w:val="single" w:color="000000" w:sz="4" w:space="0"/>
              <w:left w:val="single" w:color="000000" w:sz="4" w:space="0"/>
              <w:bottom w:val="single" w:color="000000" w:sz="4" w:space="0"/>
              <w:right w:val="single" w:color="000000" w:sz="4" w:space="0"/>
            </w:tcBorders>
            <w:vAlign w:val="center"/>
          </w:tcPr>
          <w:p>
            <w:pPr>
              <w:pStyle w:val="33"/>
              <w:rPr>
                <w:rFonts w:cs="Times New Roman"/>
                <w:color w:val="auto"/>
                <w:highlight w:val="none"/>
              </w:rPr>
            </w:pPr>
            <w:r>
              <w:rPr>
                <w:rFonts w:cs="Times New Roman"/>
                <w:color w:val="auto"/>
                <w:highlight w:val="none"/>
              </w:rPr>
              <w:t>100.00%</w:t>
            </w:r>
          </w:p>
        </w:tc>
        <w:tc>
          <w:tcPr>
            <w:tcW w:w="10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33"/>
              <w:rPr>
                <w:rFonts w:cs="Times New Roman"/>
                <w:color w:val="auto"/>
                <w:highlight w:val="none"/>
                <w:lang w:bidi="ar"/>
              </w:rPr>
            </w:pPr>
            <w:r>
              <w:rPr>
                <w:rFonts w:cs="Times New Roman"/>
                <w:color w:val="auto"/>
                <w:highlight w:val="none"/>
              </w:rPr>
              <w:t>4.00</w:t>
            </w:r>
          </w:p>
        </w:tc>
        <w:tc>
          <w:tcPr>
            <w:tcW w:w="10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33"/>
              <w:rPr>
                <w:rFonts w:cs="Times New Roman"/>
                <w:color w:val="auto"/>
                <w:highlight w:val="none"/>
                <w:lang w:bidi="ar"/>
              </w:rPr>
            </w:pPr>
            <w:r>
              <w:rPr>
                <w:rFonts w:cs="Times New Roman"/>
                <w:color w:val="auto"/>
                <w:highlight w:val="none"/>
                <w:lang w:bidi="ar"/>
              </w:rPr>
              <w:t>100.00%</w:t>
            </w:r>
          </w:p>
        </w:tc>
      </w:tr>
      <w:tr>
        <w:tblPrEx>
          <w:tblLayout w:type="fixed"/>
          <w:tblCellMar>
            <w:top w:w="0" w:type="dxa"/>
            <w:left w:w="0" w:type="dxa"/>
            <w:bottom w:w="0" w:type="dxa"/>
            <w:right w:w="0" w:type="dxa"/>
          </w:tblCellMar>
        </w:tblPrEx>
        <w:trPr>
          <w:trHeight w:val="23" w:hRule="atLeast"/>
        </w:trPr>
        <w:tc>
          <w:tcPr>
            <w:tcW w:w="31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33"/>
              <w:jc w:val="both"/>
              <w:rPr>
                <w:rFonts w:cs="Times New Roman"/>
                <w:color w:val="auto"/>
                <w:szCs w:val="22"/>
                <w:highlight w:val="none"/>
              </w:rPr>
            </w:pPr>
            <w:r>
              <w:rPr>
                <w:rFonts w:cs="Times New Roman"/>
                <w:color w:val="auto"/>
                <w:szCs w:val="22"/>
                <w:highlight w:val="none"/>
              </w:rPr>
              <w:t>B102资金到位及时率</w:t>
            </w:r>
          </w:p>
        </w:tc>
        <w:tc>
          <w:tcPr>
            <w:tcW w:w="7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33"/>
              <w:rPr>
                <w:rFonts w:cs="Times New Roman"/>
                <w:color w:val="auto"/>
                <w:highlight w:val="none"/>
                <w:lang w:bidi="ar"/>
              </w:rPr>
            </w:pPr>
            <w:r>
              <w:rPr>
                <w:rFonts w:cs="Times New Roman"/>
                <w:color w:val="auto"/>
                <w:highlight w:val="none"/>
                <w:lang w:bidi="ar"/>
              </w:rPr>
              <w:t>3.00</w:t>
            </w:r>
          </w:p>
        </w:tc>
        <w:tc>
          <w:tcPr>
            <w:tcW w:w="11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33"/>
              <w:rPr>
                <w:rFonts w:cs="Times New Roman"/>
                <w:color w:val="auto"/>
                <w:highlight w:val="none"/>
                <w:lang w:bidi="ar"/>
              </w:rPr>
            </w:pPr>
            <w:r>
              <w:rPr>
                <w:rFonts w:cs="Times New Roman"/>
                <w:color w:val="auto"/>
                <w:highlight w:val="none"/>
                <w:lang w:bidi="ar"/>
              </w:rPr>
              <w:t>100.00%</w:t>
            </w:r>
          </w:p>
        </w:tc>
        <w:tc>
          <w:tcPr>
            <w:tcW w:w="1120" w:type="dxa"/>
            <w:tcBorders>
              <w:top w:val="single" w:color="000000" w:sz="4" w:space="0"/>
              <w:left w:val="single" w:color="000000" w:sz="4" w:space="0"/>
              <w:bottom w:val="single" w:color="000000" w:sz="4" w:space="0"/>
              <w:right w:val="single" w:color="000000" w:sz="4" w:space="0"/>
            </w:tcBorders>
            <w:vAlign w:val="center"/>
          </w:tcPr>
          <w:p>
            <w:pPr>
              <w:pStyle w:val="33"/>
              <w:rPr>
                <w:rFonts w:cs="Times New Roman"/>
                <w:color w:val="auto"/>
                <w:highlight w:val="none"/>
              </w:rPr>
            </w:pPr>
            <w:r>
              <w:rPr>
                <w:rFonts w:cs="Times New Roman"/>
                <w:color w:val="auto"/>
                <w:highlight w:val="none"/>
              </w:rPr>
              <w:t>100.00%</w:t>
            </w:r>
          </w:p>
        </w:tc>
        <w:tc>
          <w:tcPr>
            <w:tcW w:w="10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33"/>
              <w:rPr>
                <w:rFonts w:cs="Times New Roman"/>
                <w:color w:val="auto"/>
                <w:highlight w:val="none"/>
              </w:rPr>
            </w:pPr>
            <w:r>
              <w:rPr>
                <w:rFonts w:cs="Times New Roman"/>
                <w:color w:val="auto"/>
                <w:highlight w:val="none"/>
              </w:rPr>
              <w:t>3.00</w:t>
            </w:r>
          </w:p>
        </w:tc>
        <w:tc>
          <w:tcPr>
            <w:tcW w:w="10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33"/>
              <w:rPr>
                <w:rFonts w:cs="Times New Roman"/>
                <w:color w:val="auto"/>
                <w:highlight w:val="none"/>
                <w:lang w:bidi="ar"/>
              </w:rPr>
            </w:pPr>
            <w:r>
              <w:rPr>
                <w:rFonts w:cs="Times New Roman"/>
                <w:color w:val="auto"/>
                <w:highlight w:val="none"/>
                <w:lang w:bidi="ar"/>
              </w:rPr>
              <w:t>100.00%</w:t>
            </w:r>
          </w:p>
        </w:tc>
      </w:tr>
      <w:tr>
        <w:tblPrEx>
          <w:tblLayout w:type="fixed"/>
          <w:tblCellMar>
            <w:top w:w="0" w:type="dxa"/>
            <w:left w:w="0" w:type="dxa"/>
            <w:bottom w:w="0" w:type="dxa"/>
            <w:right w:w="0" w:type="dxa"/>
          </w:tblCellMar>
        </w:tblPrEx>
        <w:trPr>
          <w:trHeight w:val="23" w:hRule="atLeast"/>
        </w:trPr>
        <w:tc>
          <w:tcPr>
            <w:tcW w:w="31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33"/>
              <w:jc w:val="both"/>
              <w:rPr>
                <w:rFonts w:cs="Times New Roman"/>
                <w:color w:val="auto"/>
                <w:szCs w:val="22"/>
                <w:highlight w:val="none"/>
              </w:rPr>
            </w:pPr>
            <w:r>
              <w:rPr>
                <w:rFonts w:cs="Times New Roman"/>
                <w:color w:val="auto"/>
                <w:szCs w:val="22"/>
                <w:highlight w:val="none"/>
              </w:rPr>
              <w:t>B103</w:t>
            </w:r>
            <w:r>
              <w:rPr>
                <w:rStyle w:val="39"/>
                <w:rFonts w:ascii="Times New Roman" w:cs="Times New Roman"/>
                <w:color w:val="auto"/>
                <w:sz w:val="22"/>
                <w:szCs w:val="22"/>
                <w:highlight w:val="none"/>
              </w:rPr>
              <w:t>资金使用合规性</w:t>
            </w:r>
          </w:p>
        </w:tc>
        <w:tc>
          <w:tcPr>
            <w:tcW w:w="7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33"/>
              <w:rPr>
                <w:rFonts w:cs="Times New Roman"/>
                <w:color w:val="auto"/>
                <w:highlight w:val="none"/>
              </w:rPr>
            </w:pPr>
            <w:r>
              <w:rPr>
                <w:rFonts w:cs="Times New Roman"/>
                <w:color w:val="auto"/>
                <w:highlight w:val="none"/>
                <w:lang w:bidi="ar"/>
              </w:rPr>
              <w:t>4.00</w:t>
            </w:r>
          </w:p>
        </w:tc>
        <w:tc>
          <w:tcPr>
            <w:tcW w:w="11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33"/>
              <w:rPr>
                <w:rFonts w:cs="Times New Roman"/>
                <w:color w:val="auto"/>
                <w:highlight w:val="none"/>
              </w:rPr>
            </w:pPr>
            <w:r>
              <w:rPr>
                <w:rFonts w:cs="Times New Roman"/>
                <w:color w:val="auto"/>
                <w:highlight w:val="none"/>
                <w:lang w:bidi="ar"/>
              </w:rPr>
              <w:t>合规</w:t>
            </w:r>
          </w:p>
        </w:tc>
        <w:tc>
          <w:tcPr>
            <w:tcW w:w="1120" w:type="dxa"/>
            <w:tcBorders>
              <w:top w:val="single" w:color="000000" w:sz="4" w:space="0"/>
              <w:left w:val="single" w:color="000000" w:sz="4" w:space="0"/>
              <w:bottom w:val="single" w:color="000000" w:sz="4" w:space="0"/>
              <w:right w:val="single" w:color="000000" w:sz="4" w:space="0"/>
            </w:tcBorders>
            <w:vAlign w:val="center"/>
          </w:tcPr>
          <w:p>
            <w:pPr>
              <w:pStyle w:val="33"/>
              <w:rPr>
                <w:rFonts w:cs="Times New Roman"/>
                <w:color w:val="auto"/>
                <w:highlight w:val="none"/>
              </w:rPr>
            </w:pPr>
            <w:r>
              <w:rPr>
                <w:rFonts w:cs="Times New Roman"/>
                <w:color w:val="auto"/>
                <w:highlight w:val="none"/>
              </w:rPr>
              <w:t>合规</w:t>
            </w:r>
          </w:p>
        </w:tc>
        <w:tc>
          <w:tcPr>
            <w:tcW w:w="10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33"/>
              <w:rPr>
                <w:rFonts w:cs="Times New Roman"/>
                <w:color w:val="auto"/>
                <w:highlight w:val="none"/>
                <w:lang w:bidi="ar"/>
              </w:rPr>
            </w:pPr>
            <w:r>
              <w:rPr>
                <w:rFonts w:cs="Times New Roman"/>
                <w:color w:val="auto"/>
                <w:highlight w:val="none"/>
              </w:rPr>
              <w:t>4.00</w:t>
            </w:r>
          </w:p>
        </w:tc>
        <w:tc>
          <w:tcPr>
            <w:tcW w:w="10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33"/>
              <w:rPr>
                <w:rFonts w:cs="Times New Roman"/>
                <w:color w:val="auto"/>
                <w:highlight w:val="none"/>
                <w:lang w:bidi="ar"/>
              </w:rPr>
            </w:pPr>
            <w:r>
              <w:rPr>
                <w:rFonts w:cs="Times New Roman"/>
                <w:color w:val="auto"/>
                <w:highlight w:val="none"/>
                <w:lang w:bidi="ar"/>
              </w:rPr>
              <w:t>100.00%</w:t>
            </w:r>
          </w:p>
        </w:tc>
      </w:tr>
      <w:tr>
        <w:tblPrEx>
          <w:tblLayout w:type="fixed"/>
          <w:tblCellMar>
            <w:top w:w="0" w:type="dxa"/>
            <w:left w:w="0" w:type="dxa"/>
            <w:bottom w:w="0" w:type="dxa"/>
            <w:right w:w="0" w:type="dxa"/>
          </w:tblCellMar>
        </w:tblPrEx>
        <w:trPr>
          <w:trHeight w:val="23" w:hRule="atLeast"/>
        </w:trPr>
        <w:tc>
          <w:tcPr>
            <w:tcW w:w="31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33"/>
              <w:jc w:val="both"/>
              <w:rPr>
                <w:rFonts w:cs="Times New Roman"/>
                <w:color w:val="auto"/>
                <w:highlight w:val="none"/>
              </w:rPr>
            </w:pPr>
            <w:r>
              <w:rPr>
                <w:rFonts w:cs="Times New Roman"/>
                <w:color w:val="auto"/>
                <w:highlight w:val="none"/>
                <w:lang w:bidi="ar"/>
              </w:rPr>
              <w:t>B201制度健全性</w:t>
            </w:r>
          </w:p>
        </w:tc>
        <w:tc>
          <w:tcPr>
            <w:tcW w:w="7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33"/>
              <w:rPr>
                <w:rFonts w:cs="Times New Roman"/>
                <w:color w:val="auto"/>
                <w:highlight w:val="none"/>
              </w:rPr>
            </w:pPr>
            <w:r>
              <w:rPr>
                <w:rFonts w:cs="Times New Roman"/>
                <w:color w:val="auto"/>
                <w:highlight w:val="none"/>
                <w:lang w:bidi="ar"/>
              </w:rPr>
              <w:t>4.00</w:t>
            </w:r>
          </w:p>
        </w:tc>
        <w:tc>
          <w:tcPr>
            <w:tcW w:w="11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33"/>
              <w:rPr>
                <w:rFonts w:cs="Times New Roman"/>
                <w:color w:val="auto"/>
                <w:highlight w:val="none"/>
              </w:rPr>
            </w:pPr>
            <w:r>
              <w:rPr>
                <w:rFonts w:cs="Times New Roman"/>
                <w:color w:val="auto"/>
                <w:highlight w:val="none"/>
                <w:lang w:bidi="ar"/>
              </w:rPr>
              <w:t>健全</w:t>
            </w:r>
          </w:p>
        </w:tc>
        <w:tc>
          <w:tcPr>
            <w:tcW w:w="1120" w:type="dxa"/>
            <w:tcBorders>
              <w:top w:val="single" w:color="000000" w:sz="4" w:space="0"/>
              <w:left w:val="single" w:color="000000" w:sz="4" w:space="0"/>
              <w:bottom w:val="single" w:color="000000" w:sz="4" w:space="0"/>
              <w:right w:val="single" w:color="000000" w:sz="4" w:space="0"/>
            </w:tcBorders>
            <w:vAlign w:val="center"/>
          </w:tcPr>
          <w:p>
            <w:pPr>
              <w:pStyle w:val="33"/>
              <w:rPr>
                <w:rFonts w:cs="Times New Roman"/>
                <w:color w:val="auto"/>
                <w:highlight w:val="none"/>
              </w:rPr>
            </w:pPr>
            <w:r>
              <w:rPr>
                <w:rFonts w:cs="Times New Roman"/>
                <w:color w:val="auto"/>
                <w:highlight w:val="none"/>
              </w:rPr>
              <w:t>健全</w:t>
            </w:r>
          </w:p>
        </w:tc>
        <w:tc>
          <w:tcPr>
            <w:tcW w:w="10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33"/>
              <w:rPr>
                <w:rFonts w:cs="Times New Roman"/>
                <w:color w:val="auto"/>
                <w:highlight w:val="none"/>
                <w:lang w:bidi="ar"/>
              </w:rPr>
            </w:pPr>
            <w:r>
              <w:rPr>
                <w:rFonts w:cs="Times New Roman"/>
                <w:color w:val="auto"/>
                <w:highlight w:val="none"/>
              </w:rPr>
              <w:t>4.00</w:t>
            </w:r>
          </w:p>
        </w:tc>
        <w:tc>
          <w:tcPr>
            <w:tcW w:w="10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33"/>
              <w:rPr>
                <w:rFonts w:cs="Times New Roman"/>
                <w:color w:val="auto"/>
                <w:highlight w:val="none"/>
                <w:lang w:bidi="ar"/>
              </w:rPr>
            </w:pPr>
            <w:r>
              <w:rPr>
                <w:rFonts w:cs="Times New Roman"/>
                <w:color w:val="auto"/>
                <w:highlight w:val="none"/>
                <w:lang w:bidi="ar"/>
              </w:rPr>
              <w:t>100.00%</w:t>
            </w:r>
          </w:p>
        </w:tc>
      </w:tr>
      <w:tr>
        <w:tblPrEx>
          <w:tblLayout w:type="fixed"/>
          <w:tblCellMar>
            <w:top w:w="0" w:type="dxa"/>
            <w:left w:w="0" w:type="dxa"/>
            <w:bottom w:w="0" w:type="dxa"/>
            <w:right w:w="0" w:type="dxa"/>
          </w:tblCellMar>
        </w:tblPrEx>
        <w:trPr>
          <w:trHeight w:val="23" w:hRule="atLeast"/>
        </w:trPr>
        <w:tc>
          <w:tcPr>
            <w:tcW w:w="31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33"/>
              <w:jc w:val="both"/>
              <w:rPr>
                <w:rFonts w:cs="Times New Roman"/>
                <w:color w:val="auto"/>
                <w:highlight w:val="none"/>
              </w:rPr>
            </w:pPr>
            <w:r>
              <w:rPr>
                <w:rFonts w:cs="Times New Roman"/>
                <w:color w:val="auto"/>
                <w:highlight w:val="none"/>
              </w:rPr>
              <w:t>B202</w:t>
            </w:r>
            <w:r>
              <w:rPr>
                <w:rFonts w:cs="Times New Roman"/>
                <w:color w:val="auto"/>
                <w:highlight w:val="none"/>
                <w:lang w:bidi="ar"/>
              </w:rPr>
              <w:t>制度执行有效性</w:t>
            </w:r>
          </w:p>
        </w:tc>
        <w:tc>
          <w:tcPr>
            <w:tcW w:w="7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33"/>
              <w:rPr>
                <w:rFonts w:cs="Times New Roman"/>
                <w:color w:val="auto"/>
                <w:highlight w:val="none"/>
              </w:rPr>
            </w:pPr>
            <w:r>
              <w:rPr>
                <w:rFonts w:cs="Times New Roman"/>
                <w:color w:val="auto"/>
                <w:highlight w:val="none"/>
                <w:lang w:bidi="ar"/>
              </w:rPr>
              <w:t>5.00</w:t>
            </w:r>
          </w:p>
        </w:tc>
        <w:tc>
          <w:tcPr>
            <w:tcW w:w="11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33"/>
              <w:rPr>
                <w:rFonts w:cs="Times New Roman"/>
                <w:color w:val="auto"/>
                <w:highlight w:val="none"/>
              </w:rPr>
            </w:pPr>
            <w:r>
              <w:rPr>
                <w:rFonts w:cs="Times New Roman"/>
                <w:color w:val="auto"/>
                <w:highlight w:val="none"/>
              </w:rPr>
              <w:t>有效</w:t>
            </w:r>
          </w:p>
        </w:tc>
        <w:tc>
          <w:tcPr>
            <w:tcW w:w="1120" w:type="dxa"/>
            <w:tcBorders>
              <w:top w:val="single" w:color="000000" w:sz="4" w:space="0"/>
              <w:left w:val="single" w:color="000000" w:sz="4" w:space="0"/>
              <w:bottom w:val="single" w:color="000000" w:sz="4" w:space="0"/>
              <w:right w:val="single" w:color="000000" w:sz="4" w:space="0"/>
            </w:tcBorders>
            <w:vAlign w:val="center"/>
          </w:tcPr>
          <w:p>
            <w:pPr>
              <w:pStyle w:val="33"/>
              <w:rPr>
                <w:rFonts w:cs="Times New Roman"/>
                <w:color w:val="auto"/>
                <w:highlight w:val="none"/>
              </w:rPr>
            </w:pPr>
            <w:r>
              <w:rPr>
                <w:rFonts w:cs="Times New Roman"/>
                <w:color w:val="auto"/>
                <w:highlight w:val="none"/>
              </w:rPr>
              <w:t>有效</w:t>
            </w:r>
          </w:p>
        </w:tc>
        <w:tc>
          <w:tcPr>
            <w:tcW w:w="10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33"/>
              <w:rPr>
                <w:rFonts w:cs="Times New Roman"/>
                <w:color w:val="auto"/>
                <w:highlight w:val="none"/>
                <w:lang w:bidi="ar"/>
              </w:rPr>
            </w:pPr>
            <w:r>
              <w:rPr>
                <w:rFonts w:cs="Times New Roman"/>
                <w:color w:val="auto"/>
                <w:highlight w:val="none"/>
              </w:rPr>
              <w:t>5.00</w:t>
            </w:r>
          </w:p>
        </w:tc>
        <w:tc>
          <w:tcPr>
            <w:tcW w:w="10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33"/>
              <w:rPr>
                <w:rFonts w:cs="Times New Roman"/>
                <w:color w:val="auto"/>
                <w:highlight w:val="none"/>
                <w:lang w:bidi="ar"/>
              </w:rPr>
            </w:pPr>
            <w:r>
              <w:rPr>
                <w:rFonts w:cs="Times New Roman"/>
                <w:color w:val="auto"/>
                <w:highlight w:val="none"/>
                <w:lang w:bidi="ar"/>
              </w:rPr>
              <w:t>100.00%</w:t>
            </w:r>
          </w:p>
        </w:tc>
      </w:tr>
      <w:tr>
        <w:tblPrEx>
          <w:tblLayout w:type="fixed"/>
          <w:tblCellMar>
            <w:top w:w="0" w:type="dxa"/>
            <w:left w:w="0" w:type="dxa"/>
            <w:bottom w:w="0" w:type="dxa"/>
            <w:right w:w="0" w:type="dxa"/>
          </w:tblCellMar>
        </w:tblPrEx>
        <w:trPr>
          <w:trHeight w:val="23" w:hRule="atLeast"/>
        </w:trPr>
        <w:tc>
          <w:tcPr>
            <w:tcW w:w="314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Style w:val="17"/>
                <w:rFonts w:cs="Times New Roman"/>
                <w:bCs w:val="0"/>
                <w:color w:val="auto"/>
                <w:highlight w:val="none"/>
              </w:rPr>
            </w:pPr>
            <w:r>
              <w:rPr>
                <w:rStyle w:val="17"/>
                <w:rFonts w:cs="Times New Roman"/>
                <w:bCs w:val="0"/>
                <w:color w:val="auto"/>
                <w:highlight w:val="none"/>
              </w:rPr>
              <w:t>合计</w:t>
            </w:r>
          </w:p>
        </w:tc>
        <w:tc>
          <w:tcPr>
            <w:tcW w:w="7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Fonts w:cs="Times New Roman"/>
                <w:color w:val="auto"/>
                <w:highlight w:val="none"/>
                <w:lang w:bidi="ar"/>
              </w:rPr>
            </w:pPr>
            <w:r>
              <w:rPr>
                <w:rFonts w:cs="Times New Roman"/>
                <w:color w:val="auto"/>
                <w:highlight w:val="none"/>
                <w:lang w:bidi="ar"/>
              </w:rPr>
              <w:t>20.00</w:t>
            </w:r>
          </w:p>
        </w:tc>
        <w:tc>
          <w:tcPr>
            <w:tcW w:w="114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Fonts w:cs="Times New Roman"/>
                <w:color w:val="auto"/>
                <w:highlight w:val="none"/>
              </w:rPr>
            </w:pPr>
            <w:r>
              <w:rPr>
                <w:rFonts w:cs="Times New Roman"/>
                <w:color w:val="auto"/>
                <w:highlight w:val="none"/>
              </w:rPr>
              <w:t>-</w:t>
            </w:r>
          </w:p>
        </w:tc>
        <w:tc>
          <w:tcPr>
            <w:tcW w:w="11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3"/>
              <w:rPr>
                <w:rFonts w:cs="Times New Roman"/>
                <w:color w:val="auto"/>
                <w:highlight w:val="none"/>
              </w:rPr>
            </w:pPr>
            <w:r>
              <w:rPr>
                <w:rFonts w:cs="Times New Roman"/>
                <w:color w:val="auto"/>
                <w:highlight w:val="none"/>
              </w:rPr>
              <w:t>-</w:t>
            </w:r>
          </w:p>
        </w:tc>
        <w:tc>
          <w:tcPr>
            <w:tcW w:w="10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Fonts w:cs="Times New Roman"/>
                <w:color w:val="auto"/>
                <w:highlight w:val="none"/>
                <w:lang w:bidi="ar"/>
              </w:rPr>
            </w:pPr>
            <w:r>
              <w:rPr>
                <w:rFonts w:cs="Times New Roman"/>
                <w:color w:val="auto"/>
                <w:highlight w:val="none"/>
                <w:lang w:bidi="ar"/>
              </w:rPr>
              <w:t>20.00</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Fonts w:cs="Times New Roman"/>
                <w:color w:val="auto"/>
                <w:highlight w:val="none"/>
                <w:lang w:bidi="ar"/>
              </w:rPr>
            </w:pPr>
            <w:r>
              <w:rPr>
                <w:rFonts w:cs="Times New Roman"/>
                <w:color w:val="auto"/>
                <w:highlight w:val="none"/>
                <w:lang w:bidi="ar"/>
              </w:rPr>
              <w:t>100.00%</w:t>
            </w:r>
          </w:p>
        </w:tc>
      </w:tr>
    </w:tbl>
    <w:p>
      <w:pPr>
        <w:ind w:firstLine="562"/>
        <w:rPr>
          <w:rFonts w:cs="Times New Roman"/>
          <w:highlight w:val="none"/>
        </w:rPr>
      </w:pPr>
      <w:r>
        <w:rPr>
          <w:rStyle w:val="17"/>
          <w:rFonts w:cs="Times New Roman"/>
          <w:highlight w:val="none"/>
        </w:rPr>
        <w:t>B101预算执行率</w:t>
      </w:r>
      <w:r>
        <w:rPr>
          <w:rFonts w:cs="Times New Roman"/>
          <w:highlight w:val="none"/>
        </w:rPr>
        <w:t>：该项指标权重分为4分，实际得分4分。具体依据为：预算执行率=（2955/2955）*100%=100%。综上，根据评分标准，该指标得100%权重分。</w:t>
      </w:r>
    </w:p>
    <w:p>
      <w:pPr>
        <w:ind w:firstLine="562"/>
        <w:rPr>
          <w:rFonts w:cs="Times New Roman"/>
          <w:highlight w:val="none"/>
        </w:rPr>
      </w:pPr>
      <w:r>
        <w:rPr>
          <w:rFonts w:cs="Times New Roman"/>
          <w:b/>
          <w:bCs/>
          <w:highlight w:val="none"/>
        </w:rPr>
        <w:t>B102资金拨付及时性：</w:t>
      </w:r>
      <w:r>
        <w:rPr>
          <w:rFonts w:cs="Times New Roman"/>
          <w:highlight w:val="none"/>
        </w:rPr>
        <w:t>该项指标权重分为3分，实际得分3分。具体依据为：资金到位及时率=（2955/2955）×100%=100%。综上，根据评分标准，该指标得100%权重分。</w:t>
      </w:r>
    </w:p>
    <w:p>
      <w:pPr>
        <w:ind w:firstLine="562"/>
        <w:rPr>
          <w:rFonts w:cs="Times New Roman"/>
          <w:highlight w:val="none"/>
        </w:rPr>
      </w:pPr>
      <w:r>
        <w:rPr>
          <w:rStyle w:val="17"/>
          <w:rFonts w:cs="Times New Roman"/>
          <w:highlight w:val="none"/>
        </w:rPr>
        <w:t>B103资金使用合规性</w:t>
      </w:r>
      <w:r>
        <w:rPr>
          <w:rFonts w:cs="Times New Roman"/>
          <w:highlight w:val="none"/>
        </w:rPr>
        <w:t>：该项指标权重分为3分，实际得分3分。具体依据为：第一，根据实地访谈调研结果，本项目资金使用符合国家法规和财务管理制度以及有关项目支出资金管理办法规定，该项要素得1分。第二，资金拨付有完整的审批程序和手续，该项要素得1分。第三，本项目资金使用未发现不符合项目预算批复或合同规定的用途，该项要素得1分。第四，预算资金使用不存在截留、挤占、挪用、虚列支出等情况，该项要素得1分。综上，根据评分标准，该指标得100%权重分。</w:t>
      </w:r>
    </w:p>
    <w:p>
      <w:pPr>
        <w:ind w:firstLine="562"/>
        <w:rPr>
          <w:rFonts w:cs="Times New Roman"/>
          <w:highlight w:val="none"/>
        </w:rPr>
      </w:pPr>
      <w:r>
        <w:rPr>
          <w:rStyle w:val="17"/>
          <w:rFonts w:cs="Times New Roman"/>
          <w:highlight w:val="none"/>
        </w:rPr>
        <w:t>B201制度健全性</w:t>
      </w:r>
      <w:r>
        <w:rPr>
          <w:rFonts w:cs="Times New Roman"/>
          <w:highlight w:val="none"/>
        </w:rPr>
        <w:t>：该项指标权重分为3分，实际得分3分。具体依据为：第一，本项目设立有《吉林省建筑节能奖补资金管理办法》，该项要素得1.6分。第二，《吉林省建筑节能奖补资金管理办法》中对项目实施目的、实施内容及范围、分工及职责、申请条件、资金流程管理要求、质量或验收审核材料要求等做了明确的要求，同时相关采购管理，监督检查管理、成本控制管理、信息公示管理、退出机制、应急机制（闲置资金处置、责任追究制度）、档案资料管理制度等较为明确，该项要素得2.4分。综上，根据评分标准，该指标得100%权重分。</w:t>
      </w:r>
    </w:p>
    <w:p>
      <w:pPr>
        <w:ind w:firstLine="562"/>
        <w:rPr>
          <w:rFonts w:cs="Times New Roman"/>
          <w:highlight w:val="none"/>
        </w:rPr>
      </w:pPr>
      <w:r>
        <w:rPr>
          <w:rStyle w:val="17"/>
          <w:rFonts w:cs="Times New Roman"/>
          <w:highlight w:val="none"/>
        </w:rPr>
        <w:t>B202制度执行有效性</w:t>
      </w:r>
      <w:r>
        <w:rPr>
          <w:rFonts w:cs="Times New Roman"/>
          <w:highlight w:val="none"/>
        </w:rPr>
        <w:t>：该项指标权重分为3分，实际得分3分。具体依据为：第一，13个可再生能源建筑应用示范项目和6个示范市县的调整和支出调整手续完备，该项要素得1.25分。第二，招投标文件、中标通知书、合同书、各类可行性报告、检测报告和验收报告等齐全，该项要素得1.25分。第三，项目实施的人员条件、场地设备、信息支撑等落实到位，该项桃酥得1.25分。第四，项目质量检查有相应的控制措施，该项要素得1.25分。综上，根据评分标准，该指标得100%权重分。</w:t>
      </w:r>
    </w:p>
    <w:p>
      <w:pPr>
        <w:pStyle w:val="5"/>
        <w:rPr>
          <w:rFonts w:ascii="Times New Roman" w:hAnsi="Times New Roman" w:cs="Times New Roman"/>
          <w:highlight w:val="none"/>
        </w:rPr>
      </w:pPr>
      <w:bookmarkStart w:id="19" w:name="_Toc136264990"/>
      <w:r>
        <w:rPr>
          <w:rFonts w:ascii="Times New Roman" w:hAnsi="Times New Roman" w:cs="Times New Roman"/>
          <w:highlight w:val="none"/>
        </w:rPr>
        <w:t>（三）项目产出情况</w:t>
      </w:r>
      <w:bookmarkEnd w:id="19"/>
    </w:p>
    <w:p>
      <w:pPr>
        <w:ind w:firstLine="560"/>
        <w:rPr>
          <w:rFonts w:cs="Times New Roman"/>
          <w:highlight w:val="none"/>
        </w:rPr>
      </w:pPr>
      <w:r>
        <w:rPr>
          <w:rFonts w:cs="Times New Roman"/>
          <w:highlight w:val="none"/>
        </w:rPr>
        <w:t>项目产出类指标从产出数量、产出质量、产出时效以及产出成本四个方面对项目产出进行考察，项目绩效总分30分，得分为30分，得分率为100%，指标得分情况如表4-3所示。</w:t>
      </w:r>
    </w:p>
    <w:p>
      <w:pPr>
        <w:pStyle w:val="31"/>
        <w:rPr>
          <w:highlight w:val="none"/>
        </w:rPr>
      </w:pPr>
      <w:r>
        <w:rPr>
          <w:highlight w:val="none"/>
        </w:rPr>
        <w:t>表4-3 项目产出类指标评分结果</w:t>
      </w:r>
    </w:p>
    <w:tbl>
      <w:tblPr>
        <w:tblStyle w:val="21"/>
        <w:tblW w:w="8296" w:type="dxa"/>
        <w:tblInd w:w="0" w:type="dxa"/>
        <w:tblLayout w:type="fixed"/>
        <w:tblCellMar>
          <w:top w:w="0" w:type="dxa"/>
          <w:left w:w="0" w:type="dxa"/>
          <w:bottom w:w="0" w:type="dxa"/>
          <w:right w:w="0" w:type="dxa"/>
        </w:tblCellMar>
      </w:tblPr>
      <w:tblGrid>
        <w:gridCol w:w="2972"/>
        <w:gridCol w:w="709"/>
        <w:gridCol w:w="1417"/>
        <w:gridCol w:w="1701"/>
        <w:gridCol w:w="684"/>
        <w:gridCol w:w="813"/>
      </w:tblGrid>
      <w:tr>
        <w:tblPrEx>
          <w:tblLayout w:type="fixed"/>
          <w:tblCellMar>
            <w:top w:w="0" w:type="dxa"/>
            <w:left w:w="0" w:type="dxa"/>
            <w:bottom w:w="0" w:type="dxa"/>
            <w:right w:w="0" w:type="dxa"/>
          </w:tblCellMar>
        </w:tblPrEx>
        <w:trPr>
          <w:trHeight w:val="52" w:hRule="atLeast"/>
          <w:tblHeader/>
        </w:trPr>
        <w:tc>
          <w:tcPr>
            <w:tcW w:w="2972" w:type="dxa"/>
            <w:tcBorders>
              <w:top w:val="single" w:color="000000" w:sz="4" w:space="0"/>
              <w:left w:val="single" w:color="000000" w:sz="4" w:space="0"/>
              <w:bottom w:val="single" w:color="000000" w:sz="4" w:space="0"/>
              <w:right w:val="single" w:color="000000" w:sz="4" w:space="0"/>
            </w:tcBorders>
            <w:shd w:val="clear" w:color="auto" w:fill="AEAAAA" w:themeFill="background2" w:themeFillShade="BF"/>
            <w:tcMar>
              <w:top w:w="12" w:type="dxa"/>
              <w:left w:w="12" w:type="dxa"/>
              <w:right w:w="12" w:type="dxa"/>
            </w:tcMar>
            <w:vAlign w:val="center"/>
          </w:tcPr>
          <w:p>
            <w:pPr>
              <w:pStyle w:val="33"/>
              <w:rPr>
                <w:rStyle w:val="17"/>
                <w:rFonts w:cs="Times New Roman"/>
                <w:bCs w:val="0"/>
                <w:color w:val="auto"/>
                <w:highlight w:val="none"/>
              </w:rPr>
            </w:pPr>
            <w:r>
              <w:rPr>
                <w:rStyle w:val="17"/>
                <w:rFonts w:cs="Times New Roman"/>
                <w:bCs w:val="0"/>
                <w:color w:val="auto"/>
                <w:highlight w:val="none"/>
              </w:rPr>
              <w:t>三级指标</w:t>
            </w:r>
          </w:p>
        </w:tc>
        <w:tc>
          <w:tcPr>
            <w:tcW w:w="709" w:type="dxa"/>
            <w:tcBorders>
              <w:top w:val="single" w:color="000000" w:sz="4" w:space="0"/>
              <w:left w:val="single" w:color="000000" w:sz="4" w:space="0"/>
              <w:bottom w:val="single" w:color="000000" w:sz="4" w:space="0"/>
              <w:right w:val="single" w:color="000000" w:sz="4" w:space="0"/>
            </w:tcBorders>
            <w:shd w:val="clear" w:color="auto" w:fill="AEAAAA" w:themeFill="background2" w:themeFillShade="BF"/>
            <w:tcMar>
              <w:top w:w="12" w:type="dxa"/>
              <w:left w:w="12" w:type="dxa"/>
              <w:right w:w="12" w:type="dxa"/>
            </w:tcMar>
            <w:vAlign w:val="center"/>
          </w:tcPr>
          <w:p>
            <w:pPr>
              <w:pStyle w:val="33"/>
              <w:rPr>
                <w:rStyle w:val="17"/>
                <w:rFonts w:cs="Times New Roman"/>
                <w:bCs w:val="0"/>
                <w:color w:val="auto"/>
                <w:highlight w:val="none"/>
              </w:rPr>
            </w:pPr>
            <w:r>
              <w:rPr>
                <w:rStyle w:val="17"/>
                <w:rFonts w:cs="Times New Roman"/>
                <w:bCs w:val="0"/>
                <w:color w:val="auto"/>
                <w:highlight w:val="none"/>
              </w:rPr>
              <w:t>权重</w:t>
            </w:r>
          </w:p>
        </w:tc>
        <w:tc>
          <w:tcPr>
            <w:tcW w:w="1417" w:type="dxa"/>
            <w:tcBorders>
              <w:top w:val="single" w:color="000000" w:sz="4" w:space="0"/>
              <w:left w:val="single" w:color="000000" w:sz="4" w:space="0"/>
              <w:bottom w:val="single" w:color="000000" w:sz="4" w:space="0"/>
              <w:right w:val="single" w:color="000000" w:sz="4" w:space="0"/>
            </w:tcBorders>
            <w:shd w:val="clear" w:color="auto" w:fill="AEAAAA" w:themeFill="background2" w:themeFillShade="BF"/>
            <w:tcMar>
              <w:top w:w="12" w:type="dxa"/>
              <w:left w:w="12" w:type="dxa"/>
              <w:right w:w="12" w:type="dxa"/>
            </w:tcMar>
            <w:vAlign w:val="center"/>
          </w:tcPr>
          <w:p>
            <w:pPr>
              <w:pStyle w:val="33"/>
              <w:rPr>
                <w:rStyle w:val="17"/>
                <w:rFonts w:cs="Times New Roman"/>
                <w:bCs w:val="0"/>
                <w:color w:val="auto"/>
                <w:highlight w:val="none"/>
              </w:rPr>
            </w:pPr>
            <w:r>
              <w:rPr>
                <w:rStyle w:val="17"/>
                <w:rFonts w:cs="Times New Roman"/>
                <w:bCs w:val="0"/>
                <w:color w:val="auto"/>
                <w:highlight w:val="none"/>
              </w:rPr>
              <w:t>目标值</w:t>
            </w:r>
          </w:p>
        </w:tc>
        <w:tc>
          <w:tcPr>
            <w:tcW w:w="1701" w:type="dxa"/>
            <w:tcBorders>
              <w:top w:val="single" w:color="000000" w:sz="4" w:space="0"/>
              <w:left w:val="single" w:color="000000" w:sz="4" w:space="0"/>
              <w:bottom w:val="single" w:color="000000" w:sz="4" w:space="0"/>
              <w:right w:val="single" w:color="000000" w:sz="4" w:space="0"/>
            </w:tcBorders>
            <w:shd w:val="clear" w:color="auto" w:fill="AEAAAA" w:themeFill="background2" w:themeFillShade="BF"/>
          </w:tcPr>
          <w:p>
            <w:pPr>
              <w:pStyle w:val="33"/>
              <w:rPr>
                <w:rStyle w:val="17"/>
                <w:rFonts w:cs="Times New Roman"/>
                <w:bCs w:val="0"/>
                <w:color w:val="auto"/>
                <w:highlight w:val="none"/>
              </w:rPr>
            </w:pPr>
            <w:r>
              <w:rPr>
                <w:rStyle w:val="17"/>
                <w:rFonts w:cs="Times New Roman"/>
                <w:bCs w:val="0"/>
                <w:color w:val="auto"/>
                <w:highlight w:val="none"/>
              </w:rPr>
              <w:t>业绩值</w:t>
            </w:r>
          </w:p>
        </w:tc>
        <w:tc>
          <w:tcPr>
            <w:tcW w:w="684" w:type="dxa"/>
            <w:tcBorders>
              <w:top w:val="single" w:color="000000" w:sz="4" w:space="0"/>
              <w:left w:val="single" w:color="000000" w:sz="4" w:space="0"/>
              <w:bottom w:val="single" w:color="000000" w:sz="4" w:space="0"/>
              <w:right w:val="single" w:color="000000" w:sz="4" w:space="0"/>
            </w:tcBorders>
            <w:shd w:val="clear" w:color="auto" w:fill="AEAAAA" w:themeFill="background2" w:themeFillShade="BF"/>
            <w:tcMar>
              <w:top w:w="12" w:type="dxa"/>
              <w:left w:w="12" w:type="dxa"/>
              <w:right w:w="12" w:type="dxa"/>
            </w:tcMar>
            <w:vAlign w:val="center"/>
          </w:tcPr>
          <w:p>
            <w:pPr>
              <w:pStyle w:val="33"/>
              <w:rPr>
                <w:rStyle w:val="17"/>
                <w:rFonts w:cs="Times New Roman"/>
                <w:bCs w:val="0"/>
                <w:color w:val="auto"/>
                <w:highlight w:val="none"/>
              </w:rPr>
            </w:pPr>
            <w:r>
              <w:rPr>
                <w:rStyle w:val="17"/>
                <w:rFonts w:cs="Times New Roman"/>
                <w:bCs w:val="0"/>
                <w:color w:val="auto"/>
                <w:highlight w:val="none"/>
              </w:rPr>
              <w:t>得分</w:t>
            </w:r>
          </w:p>
        </w:tc>
        <w:tc>
          <w:tcPr>
            <w:tcW w:w="813" w:type="dxa"/>
            <w:tcBorders>
              <w:top w:val="single" w:color="000000" w:sz="4" w:space="0"/>
              <w:left w:val="single" w:color="000000" w:sz="4" w:space="0"/>
              <w:bottom w:val="single" w:color="000000" w:sz="4" w:space="0"/>
              <w:right w:val="single" w:color="000000" w:sz="4" w:space="0"/>
            </w:tcBorders>
            <w:shd w:val="clear" w:color="auto" w:fill="AEAAAA" w:themeFill="background2" w:themeFillShade="BF"/>
            <w:tcMar>
              <w:top w:w="12" w:type="dxa"/>
              <w:left w:w="12" w:type="dxa"/>
              <w:right w:w="12" w:type="dxa"/>
            </w:tcMar>
            <w:vAlign w:val="center"/>
          </w:tcPr>
          <w:p>
            <w:pPr>
              <w:pStyle w:val="33"/>
              <w:rPr>
                <w:rStyle w:val="17"/>
                <w:rFonts w:cs="Times New Roman"/>
                <w:bCs w:val="0"/>
                <w:color w:val="auto"/>
                <w:highlight w:val="none"/>
              </w:rPr>
            </w:pPr>
            <w:r>
              <w:rPr>
                <w:rStyle w:val="17"/>
                <w:rFonts w:cs="Times New Roman"/>
                <w:bCs w:val="0"/>
                <w:color w:val="auto"/>
                <w:highlight w:val="none"/>
              </w:rPr>
              <w:t>得分率</w:t>
            </w:r>
          </w:p>
        </w:tc>
      </w:tr>
      <w:tr>
        <w:tblPrEx>
          <w:tblLayout w:type="fixed"/>
          <w:tblCellMar>
            <w:top w:w="0" w:type="dxa"/>
            <w:left w:w="0" w:type="dxa"/>
            <w:bottom w:w="0" w:type="dxa"/>
            <w:right w:w="0" w:type="dxa"/>
          </w:tblCellMar>
        </w:tblPrEx>
        <w:trPr>
          <w:trHeight w:val="20" w:hRule="atLeast"/>
        </w:trPr>
        <w:tc>
          <w:tcPr>
            <w:tcW w:w="29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33"/>
              <w:jc w:val="both"/>
              <w:rPr>
                <w:rFonts w:cs="Times New Roman"/>
                <w:color w:val="auto"/>
                <w:highlight w:val="none"/>
              </w:rPr>
            </w:pPr>
            <w:r>
              <w:rPr>
                <w:rFonts w:eastAsia="等线" w:cs="Times New Roman"/>
                <w:color w:val="auto"/>
                <w:highlight w:val="none"/>
              </w:rPr>
              <w:t>C101</w:t>
            </w:r>
            <w:r>
              <w:rPr>
                <w:rFonts w:cs="Times New Roman"/>
                <w:color w:val="auto"/>
                <w:highlight w:val="none"/>
              </w:rPr>
              <w:t>示范面积完成率</w:t>
            </w:r>
          </w:p>
        </w:tc>
        <w:tc>
          <w:tcPr>
            <w:tcW w:w="7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33"/>
              <w:rPr>
                <w:rFonts w:cs="Times New Roman"/>
                <w:color w:val="auto"/>
                <w:highlight w:val="none"/>
              </w:rPr>
            </w:pPr>
            <w:r>
              <w:rPr>
                <w:rFonts w:eastAsia="等线" w:cs="Times New Roman"/>
                <w:color w:val="auto"/>
                <w:highlight w:val="none"/>
              </w:rPr>
              <w:t>8.00</w:t>
            </w:r>
          </w:p>
        </w:tc>
        <w:tc>
          <w:tcPr>
            <w:tcW w:w="14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33"/>
              <w:rPr>
                <w:rFonts w:cs="Times New Roman"/>
                <w:color w:val="auto"/>
                <w:highlight w:val="none"/>
              </w:rPr>
            </w:pPr>
            <w:r>
              <w:rPr>
                <w:rFonts w:cs="Times New Roman"/>
                <w:color w:val="auto"/>
                <w:highlight w:val="none"/>
              </w:rPr>
              <w:t>100.00%</w:t>
            </w: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33"/>
              <w:rPr>
                <w:rFonts w:cs="Times New Roman"/>
                <w:color w:val="auto"/>
                <w:highlight w:val="none"/>
              </w:rPr>
            </w:pPr>
            <w:r>
              <w:rPr>
                <w:rFonts w:cs="Times New Roman"/>
                <w:color w:val="auto"/>
                <w:highlight w:val="none"/>
              </w:rPr>
              <w:t>100.00%</w:t>
            </w: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33"/>
              <w:rPr>
                <w:rFonts w:cs="Times New Roman"/>
                <w:color w:val="auto"/>
                <w:highlight w:val="none"/>
              </w:rPr>
            </w:pPr>
            <w:r>
              <w:rPr>
                <w:rFonts w:eastAsia="等线" w:cs="Times New Roman"/>
                <w:color w:val="auto"/>
                <w:highlight w:val="none"/>
              </w:rPr>
              <w:t>8.00</w:t>
            </w:r>
          </w:p>
        </w:tc>
        <w:tc>
          <w:tcPr>
            <w:tcW w:w="8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33"/>
              <w:rPr>
                <w:rFonts w:cs="Times New Roman"/>
                <w:color w:val="auto"/>
                <w:highlight w:val="none"/>
              </w:rPr>
            </w:pPr>
            <w:r>
              <w:rPr>
                <w:rFonts w:cs="Times New Roman"/>
                <w:color w:val="auto"/>
                <w:highlight w:val="none"/>
              </w:rPr>
              <w:t>100.00%</w:t>
            </w:r>
          </w:p>
        </w:tc>
      </w:tr>
      <w:tr>
        <w:tblPrEx>
          <w:tblLayout w:type="fixed"/>
          <w:tblCellMar>
            <w:top w:w="0" w:type="dxa"/>
            <w:left w:w="0" w:type="dxa"/>
            <w:bottom w:w="0" w:type="dxa"/>
            <w:right w:w="0" w:type="dxa"/>
          </w:tblCellMar>
        </w:tblPrEx>
        <w:trPr>
          <w:trHeight w:val="20" w:hRule="atLeast"/>
        </w:trPr>
        <w:tc>
          <w:tcPr>
            <w:tcW w:w="29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33"/>
              <w:jc w:val="both"/>
              <w:rPr>
                <w:rFonts w:cs="Times New Roman"/>
                <w:color w:val="auto"/>
                <w:highlight w:val="none"/>
              </w:rPr>
            </w:pPr>
            <w:r>
              <w:rPr>
                <w:rFonts w:eastAsia="等线" w:cs="Times New Roman"/>
                <w:color w:val="auto"/>
                <w:highlight w:val="none"/>
              </w:rPr>
              <w:t>C102</w:t>
            </w:r>
            <w:r>
              <w:rPr>
                <w:rFonts w:cs="Times New Roman"/>
                <w:color w:val="auto"/>
                <w:highlight w:val="none"/>
              </w:rPr>
              <w:t>示范市县完成率</w:t>
            </w:r>
          </w:p>
        </w:tc>
        <w:tc>
          <w:tcPr>
            <w:tcW w:w="7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33"/>
              <w:rPr>
                <w:rFonts w:cs="Times New Roman"/>
                <w:color w:val="auto"/>
                <w:highlight w:val="none"/>
              </w:rPr>
            </w:pPr>
            <w:r>
              <w:rPr>
                <w:rFonts w:cs="Times New Roman"/>
                <w:color w:val="auto"/>
                <w:highlight w:val="none"/>
              </w:rPr>
              <w:t>8.00</w:t>
            </w:r>
          </w:p>
        </w:tc>
        <w:tc>
          <w:tcPr>
            <w:tcW w:w="14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33"/>
              <w:rPr>
                <w:rFonts w:cs="Times New Roman"/>
                <w:color w:val="auto"/>
                <w:highlight w:val="none"/>
              </w:rPr>
            </w:pPr>
            <w:r>
              <w:rPr>
                <w:rFonts w:cs="Times New Roman"/>
                <w:color w:val="auto"/>
                <w:highlight w:val="none"/>
              </w:rPr>
              <w:t>100.00%</w:t>
            </w: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33"/>
              <w:rPr>
                <w:rFonts w:cs="Times New Roman"/>
                <w:color w:val="auto"/>
                <w:highlight w:val="none"/>
              </w:rPr>
            </w:pPr>
            <w:r>
              <w:rPr>
                <w:rFonts w:cs="Times New Roman"/>
                <w:color w:val="auto"/>
                <w:highlight w:val="none"/>
              </w:rPr>
              <w:t>66.67%</w:t>
            </w: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33"/>
              <w:rPr>
                <w:rFonts w:cs="Times New Roman"/>
                <w:color w:val="auto"/>
                <w:highlight w:val="none"/>
              </w:rPr>
            </w:pPr>
            <w:r>
              <w:rPr>
                <w:rFonts w:eastAsia="等线" w:cs="Times New Roman"/>
                <w:color w:val="auto"/>
                <w:highlight w:val="none"/>
              </w:rPr>
              <w:t>2.67</w:t>
            </w:r>
          </w:p>
        </w:tc>
        <w:tc>
          <w:tcPr>
            <w:tcW w:w="8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33"/>
              <w:rPr>
                <w:rFonts w:cs="Times New Roman"/>
                <w:color w:val="auto"/>
                <w:highlight w:val="none"/>
              </w:rPr>
            </w:pPr>
            <w:r>
              <w:rPr>
                <w:rFonts w:cs="Times New Roman"/>
                <w:color w:val="auto"/>
                <w:highlight w:val="none"/>
              </w:rPr>
              <w:t>33.38%</w:t>
            </w:r>
          </w:p>
        </w:tc>
      </w:tr>
      <w:tr>
        <w:tblPrEx>
          <w:tblLayout w:type="fixed"/>
          <w:tblCellMar>
            <w:top w:w="0" w:type="dxa"/>
            <w:left w:w="0" w:type="dxa"/>
            <w:bottom w:w="0" w:type="dxa"/>
            <w:right w:w="0" w:type="dxa"/>
          </w:tblCellMar>
        </w:tblPrEx>
        <w:trPr>
          <w:trHeight w:val="20" w:hRule="atLeast"/>
        </w:trPr>
        <w:tc>
          <w:tcPr>
            <w:tcW w:w="297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jc w:val="both"/>
              <w:rPr>
                <w:rFonts w:cs="Times New Roman"/>
                <w:color w:val="auto"/>
                <w:highlight w:val="none"/>
              </w:rPr>
            </w:pPr>
            <w:r>
              <w:rPr>
                <w:rFonts w:eastAsia="等线" w:cs="Times New Roman"/>
                <w:color w:val="auto"/>
                <w:highlight w:val="none"/>
              </w:rPr>
              <w:t>C20</w:t>
            </w:r>
            <w:r>
              <w:rPr>
                <w:rFonts w:cs="Times New Roman"/>
                <w:color w:val="auto"/>
                <w:highlight w:val="none"/>
              </w:rPr>
              <w:t>1项目质量达标率</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Fonts w:cs="Times New Roman"/>
                <w:color w:val="auto"/>
                <w:highlight w:val="none"/>
              </w:rPr>
            </w:pPr>
            <w:r>
              <w:rPr>
                <w:rFonts w:cs="Times New Roman"/>
                <w:color w:val="auto"/>
                <w:highlight w:val="none"/>
              </w:rPr>
              <w:t>6.00</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Fonts w:cs="Times New Roman"/>
                <w:color w:val="auto"/>
                <w:highlight w:val="none"/>
              </w:rPr>
            </w:pPr>
            <w:r>
              <w:rPr>
                <w:rFonts w:cs="Times New Roman"/>
                <w:color w:val="auto"/>
                <w:highlight w:val="none"/>
              </w:rPr>
              <w:t>100.00%</w:t>
            </w:r>
          </w:p>
        </w:tc>
        <w:tc>
          <w:tcPr>
            <w:tcW w:w="17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3"/>
              <w:rPr>
                <w:rFonts w:cs="Times New Roman"/>
                <w:color w:val="auto"/>
                <w:highlight w:val="none"/>
              </w:rPr>
            </w:pPr>
            <w:r>
              <w:rPr>
                <w:rFonts w:cs="Times New Roman"/>
                <w:color w:val="auto"/>
                <w:highlight w:val="none"/>
              </w:rPr>
              <w:t>100.00%</w:t>
            </w:r>
          </w:p>
        </w:tc>
        <w:tc>
          <w:tcPr>
            <w:tcW w:w="68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Fonts w:cs="Times New Roman"/>
                <w:color w:val="auto"/>
                <w:highlight w:val="none"/>
              </w:rPr>
            </w:pPr>
            <w:r>
              <w:rPr>
                <w:rFonts w:eastAsia="等线" w:cs="Times New Roman"/>
                <w:color w:val="auto"/>
                <w:highlight w:val="none"/>
              </w:rPr>
              <w:t>6.00</w:t>
            </w:r>
          </w:p>
        </w:tc>
        <w:tc>
          <w:tcPr>
            <w:tcW w:w="8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Fonts w:cs="Times New Roman"/>
                <w:color w:val="auto"/>
                <w:highlight w:val="none"/>
              </w:rPr>
            </w:pPr>
            <w:r>
              <w:rPr>
                <w:rFonts w:cs="Times New Roman"/>
                <w:color w:val="auto"/>
                <w:highlight w:val="none"/>
              </w:rPr>
              <w:t>100.00%</w:t>
            </w:r>
          </w:p>
        </w:tc>
      </w:tr>
      <w:tr>
        <w:tblPrEx>
          <w:tblLayout w:type="fixed"/>
          <w:tblCellMar>
            <w:top w:w="0" w:type="dxa"/>
            <w:left w:w="0" w:type="dxa"/>
            <w:bottom w:w="0" w:type="dxa"/>
            <w:right w:w="0" w:type="dxa"/>
          </w:tblCellMar>
        </w:tblPrEx>
        <w:trPr>
          <w:trHeight w:val="20" w:hRule="atLeast"/>
        </w:trPr>
        <w:tc>
          <w:tcPr>
            <w:tcW w:w="297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jc w:val="both"/>
              <w:rPr>
                <w:rFonts w:cs="Times New Roman"/>
                <w:color w:val="auto"/>
                <w:highlight w:val="none"/>
              </w:rPr>
            </w:pPr>
            <w:r>
              <w:rPr>
                <w:rFonts w:eastAsia="等线" w:cs="Times New Roman"/>
                <w:color w:val="auto"/>
                <w:highlight w:val="none"/>
              </w:rPr>
              <w:t>C301</w:t>
            </w:r>
            <w:r>
              <w:rPr>
                <w:rFonts w:cs="Times New Roman"/>
                <w:color w:val="auto"/>
                <w:highlight w:val="none"/>
              </w:rPr>
              <w:t>项目建设完成及时率</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Fonts w:cs="Times New Roman"/>
                <w:color w:val="auto"/>
                <w:highlight w:val="none"/>
              </w:rPr>
            </w:pPr>
            <w:r>
              <w:rPr>
                <w:rFonts w:cs="Times New Roman"/>
                <w:color w:val="auto"/>
                <w:highlight w:val="none"/>
              </w:rPr>
              <w:t>4.00</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Fonts w:cs="Times New Roman"/>
                <w:color w:val="auto"/>
                <w:highlight w:val="none"/>
              </w:rPr>
            </w:pPr>
            <w:r>
              <w:rPr>
                <w:rFonts w:cs="Times New Roman"/>
                <w:color w:val="auto"/>
                <w:highlight w:val="none"/>
              </w:rPr>
              <w:t>100.00%</w:t>
            </w:r>
          </w:p>
        </w:tc>
        <w:tc>
          <w:tcPr>
            <w:tcW w:w="17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3"/>
              <w:rPr>
                <w:rFonts w:cs="Times New Roman"/>
                <w:color w:val="auto"/>
                <w:highlight w:val="none"/>
              </w:rPr>
            </w:pPr>
            <w:r>
              <w:rPr>
                <w:rFonts w:cs="Times New Roman"/>
                <w:color w:val="auto"/>
                <w:highlight w:val="none"/>
              </w:rPr>
              <w:t>100.00%</w:t>
            </w:r>
          </w:p>
        </w:tc>
        <w:tc>
          <w:tcPr>
            <w:tcW w:w="68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Fonts w:cs="Times New Roman"/>
                <w:color w:val="auto"/>
                <w:highlight w:val="none"/>
              </w:rPr>
            </w:pPr>
            <w:r>
              <w:rPr>
                <w:rFonts w:eastAsia="等线" w:cs="Times New Roman"/>
                <w:color w:val="auto"/>
                <w:highlight w:val="none"/>
              </w:rPr>
              <w:t>4.00</w:t>
            </w:r>
          </w:p>
        </w:tc>
        <w:tc>
          <w:tcPr>
            <w:tcW w:w="8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Fonts w:cs="Times New Roman"/>
                <w:color w:val="auto"/>
                <w:highlight w:val="none"/>
              </w:rPr>
            </w:pPr>
            <w:r>
              <w:rPr>
                <w:rFonts w:cs="Times New Roman"/>
                <w:color w:val="auto"/>
                <w:highlight w:val="none"/>
              </w:rPr>
              <w:t>100.00%</w:t>
            </w:r>
          </w:p>
        </w:tc>
      </w:tr>
      <w:tr>
        <w:tblPrEx>
          <w:tblLayout w:type="fixed"/>
          <w:tblCellMar>
            <w:top w:w="0" w:type="dxa"/>
            <w:left w:w="0" w:type="dxa"/>
            <w:bottom w:w="0" w:type="dxa"/>
            <w:right w:w="0" w:type="dxa"/>
          </w:tblCellMar>
        </w:tblPrEx>
        <w:trPr>
          <w:trHeight w:val="20" w:hRule="atLeast"/>
        </w:trPr>
        <w:tc>
          <w:tcPr>
            <w:tcW w:w="297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jc w:val="both"/>
              <w:rPr>
                <w:rFonts w:cs="Times New Roman"/>
                <w:color w:val="auto"/>
                <w:highlight w:val="none"/>
              </w:rPr>
            </w:pPr>
            <w:r>
              <w:rPr>
                <w:rFonts w:cs="Times New Roman"/>
                <w:color w:val="auto"/>
                <w:highlight w:val="none"/>
              </w:rPr>
              <w:t>C401成本控制率</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Fonts w:eastAsia="等线" w:cs="Times New Roman"/>
                <w:color w:val="auto"/>
                <w:highlight w:val="none"/>
              </w:rPr>
            </w:pPr>
            <w:r>
              <w:rPr>
                <w:rFonts w:eastAsia="等线" w:cs="Times New Roman"/>
                <w:color w:val="auto"/>
                <w:highlight w:val="none"/>
              </w:rPr>
              <w:t>4.00</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Fonts w:cs="Times New Roman"/>
                <w:color w:val="auto"/>
                <w:highlight w:val="none"/>
              </w:rPr>
            </w:pPr>
            <w:r>
              <w:rPr>
                <w:rFonts w:cs="Times New Roman"/>
                <w:color w:val="auto"/>
                <w:highlight w:val="none"/>
              </w:rPr>
              <w:t>100.00%</w:t>
            </w:r>
          </w:p>
        </w:tc>
        <w:tc>
          <w:tcPr>
            <w:tcW w:w="17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3"/>
              <w:rPr>
                <w:rFonts w:cs="Times New Roman"/>
                <w:color w:val="auto"/>
                <w:highlight w:val="none"/>
              </w:rPr>
            </w:pPr>
            <w:r>
              <w:rPr>
                <w:rFonts w:cs="Times New Roman"/>
                <w:color w:val="auto"/>
                <w:highlight w:val="none"/>
              </w:rPr>
              <w:t>100.00%</w:t>
            </w:r>
          </w:p>
        </w:tc>
        <w:tc>
          <w:tcPr>
            <w:tcW w:w="68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Fonts w:eastAsia="等线" w:cs="Times New Roman"/>
                <w:color w:val="auto"/>
                <w:highlight w:val="none"/>
              </w:rPr>
            </w:pPr>
            <w:r>
              <w:rPr>
                <w:rFonts w:eastAsia="等线" w:cs="Times New Roman"/>
                <w:color w:val="auto"/>
                <w:highlight w:val="none"/>
              </w:rPr>
              <w:t>4.00</w:t>
            </w:r>
          </w:p>
        </w:tc>
        <w:tc>
          <w:tcPr>
            <w:tcW w:w="8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Fonts w:cs="Times New Roman"/>
                <w:color w:val="auto"/>
                <w:highlight w:val="none"/>
              </w:rPr>
            </w:pPr>
            <w:r>
              <w:rPr>
                <w:rFonts w:cs="Times New Roman"/>
                <w:color w:val="auto"/>
                <w:highlight w:val="none"/>
              </w:rPr>
              <w:t>100.00%</w:t>
            </w:r>
          </w:p>
        </w:tc>
      </w:tr>
      <w:tr>
        <w:tblPrEx>
          <w:tblLayout w:type="fixed"/>
          <w:tblCellMar>
            <w:top w:w="0" w:type="dxa"/>
            <w:left w:w="0" w:type="dxa"/>
            <w:bottom w:w="0" w:type="dxa"/>
            <w:right w:w="0" w:type="dxa"/>
          </w:tblCellMar>
        </w:tblPrEx>
        <w:trPr>
          <w:trHeight w:val="20" w:hRule="atLeast"/>
        </w:trPr>
        <w:tc>
          <w:tcPr>
            <w:tcW w:w="297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Style w:val="17"/>
                <w:rFonts w:cs="Times New Roman"/>
                <w:bCs w:val="0"/>
                <w:color w:val="auto"/>
                <w:highlight w:val="none"/>
              </w:rPr>
            </w:pPr>
            <w:r>
              <w:rPr>
                <w:rStyle w:val="17"/>
                <w:rFonts w:cs="Times New Roman"/>
                <w:bCs w:val="0"/>
                <w:color w:val="auto"/>
                <w:highlight w:val="none"/>
              </w:rPr>
              <w:t>合计</w:t>
            </w:r>
          </w:p>
        </w:tc>
        <w:tc>
          <w:tcPr>
            <w:tcW w:w="7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Fonts w:cs="Times New Roman"/>
                <w:color w:val="auto"/>
                <w:highlight w:val="none"/>
              </w:rPr>
            </w:pPr>
            <w:r>
              <w:rPr>
                <w:rFonts w:cs="Times New Roman"/>
                <w:color w:val="auto"/>
                <w:highlight w:val="none"/>
              </w:rPr>
              <w:t>30.00</w:t>
            </w:r>
          </w:p>
        </w:tc>
        <w:tc>
          <w:tcPr>
            <w:tcW w:w="141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Fonts w:cs="Times New Roman"/>
                <w:color w:val="auto"/>
                <w:highlight w:val="none"/>
              </w:rPr>
            </w:pPr>
            <w:r>
              <w:rPr>
                <w:rFonts w:cs="Times New Roman"/>
                <w:color w:val="auto"/>
                <w:highlight w:val="none"/>
              </w:rPr>
              <w:t>-</w:t>
            </w:r>
          </w:p>
        </w:tc>
        <w:tc>
          <w:tcPr>
            <w:tcW w:w="17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3"/>
              <w:rPr>
                <w:rFonts w:cs="Times New Roman"/>
                <w:color w:val="auto"/>
                <w:highlight w:val="none"/>
              </w:rPr>
            </w:pPr>
            <w:r>
              <w:rPr>
                <w:rFonts w:cs="Times New Roman"/>
                <w:color w:val="auto"/>
                <w:highlight w:val="none"/>
              </w:rPr>
              <w:t>-</w:t>
            </w:r>
          </w:p>
        </w:tc>
        <w:tc>
          <w:tcPr>
            <w:tcW w:w="68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Fonts w:cs="Times New Roman"/>
                <w:color w:val="auto"/>
                <w:highlight w:val="none"/>
              </w:rPr>
            </w:pPr>
            <w:r>
              <w:rPr>
                <w:rFonts w:cs="Times New Roman"/>
                <w:color w:val="auto"/>
                <w:highlight w:val="none"/>
              </w:rPr>
              <w:t>24.67</w:t>
            </w:r>
          </w:p>
        </w:tc>
        <w:tc>
          <w:tcPr>
            <w:tcW w:w="8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Fonts w:cs="Times New Roman"/>
                <w:color w:val="auto"/>
                <w:highlight w:val="none"/>
              </w:rPr>
            </w:pPr>
            <w:r>
              <w:rPr>
                <w:rFonts w:cs="Times New Roman"/>
                <w:color w:val="auto"/>
                <w:highlight w:val="none"/>
              </w:rPr>
              <w:t>100.00%</w:t>
            </w:r>
          </w:p>
        </w:tc>
      </w:tr>
    </w:tbl>
    <w:p>
      <w:pPr>
        <w:ind w:firstLine="562"/>
        <w:rPr>
          <w:rFonts w:cs="Times New Roman"/>
          <w:highlight w:val="none"/>
        </w:rPr>
      </w:pPr>
      <w:r>
        <w:rPr>
          <w:rFonts w:cs="Times New Roman"/>
          <w:b/>
          <w:bCs/>
          <w:highlight w:val="none"/>
        </w:rPr>
        <w:t>C101示范面积完成率：</w:t>
      </w:r>
      <w:r>
        <w:rPr>
          <w:rFonts w:cs="Times New Roman"/>
          <w:highlight w:val="none"/>
        </w:rPr>
        <w:t>该项指标权重分为8分，实际得分8分。具体依据为：示范面积完成率=（108.51/108.51）*100%=100%。综上，根据评分标准，该指标得100%权重分。</w:t>
      </w:r>
    </w:p>
    <w:p>
      <w:pPr>
        <w:ind w:firstLine="562"/>
        <w:rPr>
          <w:rFonts w:cs="Times New Roman"/>
          <w:highlight w:val="none"/>
        </w:rPr>
      </w:pPr>
      <w:r>
        <w:rPr>
          <w:rFonts w:cs="Times New Roman"/>
          <w:b/>
          <w:bCs/>
          <w:highlight w:val="none"/>
        </w:rPr>
        <w:t>C102示范市县完成率：</w:t>
      </w:r>
      <w:r>
        <w:rPr>
          <w:rFonts w:cs="Times New Roman"/>
          <w:highlight w:val="none"/>
        </w:rPr>
        <w:t>该项指标权重分为8分，实际得分2.67分。具体依据为：示范市县完成率=（4/6）*100%=66.67%。2022年，敦化市和临江市由于疫情影响，建筑主体未完工，申请延期，涉及3个项目，包括：吉鲁特种鞋服产业园区项目、六鼎山文化旅游公众服务中心项目、敦化六鼎山国际医疗产业园基础设施工程项目。综上，根据评分标准，该指标得33.38%权重分。</w:t>
      </w:r>
    </w:p>
    <w:p>
      <w:pPr>
        <w:ind w:firstLine="562"/>
        <w:rPr>
          <w:rFonts w:cs="Times New Roman"/>
          <w:b/>
          <w:bCs/>
          <w:highlight w:val="none"/>
        </w:rPr>
      </w:pPr>
      <w:r>
        <w:rPr>
          <w:rFonts w:cs="Times New Roman"/>
          <w:b/>
          <w:bCs/>
          <w:highlight w:val="none"/>
        </w:rPr>
        <w:t>C201项目质量达标率：</w:t>
      </w:r>
      <w:r>
        <w:rPr>
          <w:rFonts w:cs="Times New Roman"/>
          <w:highlight w:val="none"/>
        </w:rPr>
        <w:t>该项指标权重分为6分，实际得分6分。具体依据为：项目质量达标率=（53/53）*100%=100.00%。综上，根据评分标准，该指标得100%权重分。</w:t>
      </w:r>
    </w:p>
    <w:p>
      <w:pPr>
        <w:ind w:firstLine="562"/>
        <w:rPr>
          <w:rFonts w:cs="Times New Roman"/>
          <w:b/>
          <w:bCs/>
          <w:highlight w:val="none"/>
        </w:rPr>
      </w:pPr>
      <w:r>
        <w:rPr>
          <w:rFonts w:cs="Times New Roman"/>
          <w:b/>
          <w:bCs/>
          <w:highlight w:val="none"/>
        </w:rPr>
        <w:t>C301项目建设完成及时率：</w:t>
      </w:r>
      <w:r>
        <w:rPr>
          <w:rFonts w:cs="Times New Roman"/>
          <w:highlight w:val="none"/>
        </w:rPr>
        <w:t>该项指标权重分为4分，实际得分4分。具体依据为：项目质量达标率=（53/53）*100%=100.00%。综上，根据评分标准，该指标得100%权重分。</w:t>
      </w:r>
    </w:p>
    <w:p>
      <w:pPr>
        <w:ind w:firstLine="562"/>
        <w:rPr>
          <w:rFonts w:cs="Times New Roman"/>
          <w:highlight w:val="none"/>
        </w:rPr>
      </w:pPr>
      <w:r>
        <w:rPr>
          <w:rFonts w:cs="Times New Roman"/>
          <w:b/>
          <w:bCs/>
          <w:highlight w:val="none"/>
        </w:rPr>
        <w:t>C401成本控制率：</w:t>
      </w:r>
      <w:r>
        <w:rPr>
          <w:rFonts w:cs="Times New Roman"/>
          <w:highlight w:val="none"/>
        </w:rPr>
        <w:t>该项指标权重分为4分，实际得分4分。具体依据为：成本控制率=（2955/2955）*100%=100.00%。综上，根据评分标准，该指标得100%权重分。</w:t>
      </w:r>
    </w:p>
    <w:p>
      <w:pPr>
        <w:pStyle w:val="5"/>
        <w:rPr>
          <w:rFonts w:ascii="Times New Roman" w:hAnsi="Times New Roman" w:cs="Times New Roman"/>
          <w:highlight w:val="none"/>
        </w:rPr>
      </w:pPr>
      <w:bookmarkStart w:id="20" w:name="_Toc136264991"/>
      <w:r>
        <w:rPr>
          <w:rFonts w:ascii="Times New Roman" w:hAnsi="Times New Roman" w:cs="Times New Roman"/>
          <w:highlight w:val="none"/>
        </w:rPr>
        <w:t>（四）项目效益情况</w:t>
      </w:r>
      <w:bookmarkEnd w:id="20"/>
    </w:p>
    <w:p>
      <w:pPr>
        <w:ind w:firstLine="560"/>
        <w:rPr>
          <w:rFonts w:cs="Times New Roman"/>
          <w:highlight w:val="none"/>
        </w:rPr>
      </w:pPr>
      <w:r>
        <w:rPr>
          <w:rFonts w:cs="Times New Roman"/>
          <w:highlight w:val="none"/>
        </w:rPr>
        <w:t>项目效果类指标从经济效益指标、社会效益指标、经济效益指标、可持续性指标、满意度指标五个方面对项目效益进行考察，项目绩效总分30分，得分为30分，得分率为100%，指标得分情况如表4-4所示。</w:t>
      </w:r>
    </w:p>
    <w:p>
      <w:pPr>
        <w:pStyle w:val="31"/>
        <w:rPr>
          <w:highlight w:val="none"/>
        </w:rPr>
      </w:pPr>
      <w:r>
        <w:rPr>
          <w:highlight w:val="none"/>
        </w:rPr>
        <w:t>表4-4 项目效果类指标评分结果</w:t>
      </w:r>
    </w:p>
    <w:tbl>
      <w:tblPr>
        <w:tblStyle w:val="21"/>
        <w:tblW w:w="8330" w:type="dxa"/>
        <w:tblInd w:w="0" w:type="dxa"/>
        <w:tblLayout w:type="fixed"/>
        <w:tblCellMar>
          <w:top w:w="0" w:type="dxa"/>
          <w:left w:w="0" w:type="dxa"/>
          <w:bottom w:w="0" w:type="dxa"/>
          <w:right w:w="0" w:type="dxa"/>
        </w:tblCellMar>
      </w:tblPr>
      <w:tblGrid>
        <w:gridCol w:w="3559"/>
        <w:gridCol w:w="546"/>
        <w:gridCol w:w="1161"/>
        <w:gridCol w:w="1578"/>
        <w:gridCol w:w="556"/>
        <w:gridCol w:w="930"/>
      </w:tblGrid>
      <w:tr>
        <w:tblPrEx>
          <w:tblLayout w:type="fixed"/>
          <w:tblCellMar>
            <w:top w:w="0" w:type="dxa"/>
            <w:left w:w="0" w:type="dxa"/>
            <w:bottom w:w="0" w:type="dxa"/>
            <w:right w:w="0" w:type="dxa"/>
          </w:tblCellMar>
        </w:tblPrEx>
        <w:trPr>
          <w:trHeight w:val="20" w:hRule="atLeast"/>
          <w:tblHeader/>
        </w:trPr>
        <w:tc>
          <w:tcPr>
            <w:tcW w:w="3559" w:type="dxa"/>
            <w:tcBorders>
              <w:top w:val="single" w:color="000000" w:sz="4" w:space="0"/>
              <w:left w:val="single" w:color="000000" w:sz="4" w:space="0"/>
              <w:bottom w:val="single" w:color="000000" w:sz="4" w:space="0"/>
              <w:right w:val="single" w:color="000000" w:sz="4" w:space="0"/>
            </w:tcBorders>
            <w:shd w:val="clear" w:color="auto" w:fill="AEAAAA" w:themeFill="background2" w:themeFillShade="BF"/>
            <w:tcMar>
              <w:top w:w="12" w:type="dxa"/>
              <w:left w:w="12" w:type="dxa"/>
              <w:right w:w="12" w:type="dxa"/>
            </w:tcMar>
            <w:vAlign w:val="center"/>
          </w:tcPr>
          <w:p>
            <w:pPr>
              <w:pStyle w:val="33"/>
              <w:rPr>
                <w:rStyle w:val="17"/>
                <w:rFonts w:cs="Times New Roman"/>
                <w:bCs w:val="0"/>
                <w:color w:val="auto"/>
                <w:highlight w:val="none"/>
              </w:rPr>
            </w:pPr>
            <w:r>
              <w:rPr>
                <w:rStyle w:val="17"/>
                <w:rFonts w:cs="Times New Roman"/>
                <w:bCs w:val="0"/>
                <w:color w:val="auto"/>
                <w:highlight w:val="none"/>
              </w:rPr>
              <w:t>三级指标</w:t>
            </w:r>
          </w:p>
        </w:tc>
        <w:tc>
          <w:tcPr>
            <w:tcW w:w="546" w:type="dxa"/>
            <w:tcBorders>
              <w:top w:val="single" w:color="000000" w:sz="4" w:space="0"/>
              <w:left w:val="single" w:color="000000" w:sz="4" w:space="0"/>
              <w:bottom w:val="single" w:color="000000" w:sz="4" w:space="0"/>
              <w:right w:val="single" w:color="000000" w:sz="4" w:space="0"/>
            </w:tcBorders>
            <w:shd w:val="clear" w:color="auto" w:fill="AEAAAA" w:themeFill="background2" w:themeFillShade="BF"/>
            <w:tcMar>
              <w:top w:w="12" w:type="dxa"/>
              <w:left w:w="12" w:type="dxa"/>
              <w:right w:w="12" w:type="dxa"/>
            </w:tcMar>
            <w:vAlign w:val="center"/>
          </w:tcPr>
          <w:p>
            <w:pPr>
              <w:pStyle w:val="33"/>
              <w:rPr>
                <w:rStyle w:val="17"/>
                <w:rFonts w:cs="Times New Roman"/>
                <w:bCs w:val="0"/>
                <w:color w:val="auto"/>
                <w:highlight w:val="none"/>
              </w:rPr>
            </w:pPr>
            <w:r>
              <w:rPr>
                <w:rStyle w:val="17"/>
                <w:rFonts w:cs="Times New Roman"/>
                <w:bCs w:val="0"/>
                <w:color w:val="auto"/>
                <w:highlight w:val="none"/>
              </w:rPr>
              <w:t>权重</w:t>
            </w:r>
          </w:p>
        </w:tc>
        <w:tc>
          <w:tcPr>
            <w:tcW w:w="1161" w:type="dxa"/>
            <w:tcBorders>
              <w:top w:val="single" w:color="000000" w:sz="4" w:space="0"/>
              <w:left w:val="single" w:color="000000" w:sz="4" w:space="0"/>
              <w:bottom w:val="single" w:color="000000" w:sz="4" w:space="0"/>
              <w:right w:val="single" w:color="000000" w:sz="4" w:space="0"/>
            </w:tcBorders>
            <w:shd w:val="clear" w:color="auto" w:fill="AEAAAA" w:themeFill="background2" w:themeFillShade="BF"/>
            <w:tcMar>
              <w:top w:w="12" w:type="dxa"/>
              <w:left w:w="12" w:type="dxa"/>
              <w:right w:w="12" w:type="dxa"/>
            </w:tcMar>
            <w:vAlign w:val="center"/>
          </w:tcPr>
          <w:p>
            <w:pPr>
              <w:pStyle w:val="33"/>
              <w:rPr>
                <w:rStyle w:val="17"/>
                <w:rFonts w:cs="Times New Roman"/>
                <w:bCs w:val="0"/>
                <w:color w:val="auto"/>
                <w:highlight w:val="none"/>
              </w:rPr>
            </w:pPr>
            <w:r>
              <w:rPr>
                <w:rStyle w:val="17"/>
                <w:rFonts w:cs="Times New Roman"/>
                <w:bCs w:val="0"/>
                <w:color w:val="auto"/>
                <w:highlight w:val="none"/>
              </w:rPr>
              <w:t>目标值</w:t>
            </w:r>
          </w:p>
        </w:tc>
        <w:tc>
          <w:tcPr>
            <w:tcW w:w="1578" w:type="dxa"/>
            <w:tcBorders>
              <w:top w:val="single" w:color="000000" w:sz="4" w:space="0"/>
              <w:left w:val="single" w:color="000000" w:sz="4" w:space="0"/>
              <w:bottom w:val="single" w:color="000000" w:sz="4" w:space="0"/>
              <w:right w:val="single" w:color="000000" w:sz="4" w:space="0"/>
            </w:tcBorders>
            <w:shd w:val="clear" w:color="auto" w:fill="AEAAAA" w:themeFill="background2" w:themeFillShade="BF"/>
          </w:tcPr>
          <w:p>
            <w:pPr>
              <w:pStyle w:val="33"/>
              <w:rPr>
                <w:rStyle w:val="17"/>
                <w:rFonts w:cs="Times New Roman"/>
                <w:bCs w:val="0"/>
                <w:color w:val="auto"/>
                <w:highlight w:val="none"/>
              </w:rPr>
            </w:pPr>
            <w:r>
              <w:rPr>
                <w:rStyle w:val="17"/>
                <w:rFonts w:cs="Times New Roman"/>
                <w:bCs w:val="0"/>
                <w:color w:val="auto"/>
                <w:highlight w:val="none"/>
              </w:rPr>
              <w:t>业绩值</w:t>
            </w:r>
          </w:p>
        </w:tc>
        <w:tc>
          <w:tcPr>
            <w:tcW w:w="556" w:type="dxa"/>
            <w:tcBorders>
              <w:top w:val="single" w:color="000000" w:sz="4" w:space="0"/>
              <w:left w:val="single" w:color="000000" w:sz="4" w:space="0"/>
              <w:bottom w:val="single" w:color="000000" w:sz="4" w:space="0"/>
              <w:right w:val="single" w:color="000000" w:sz="4" w:space="0"/>
            </w:tcBorders>
            <w:shd w:val="clear" w:color="auto" w:fill="AEAAAA" w:themeFill="background2" w:themeFillShade="BF"/>
            <w:tcMar>
              <w:top w:w="12" w:type="dxa"/>
              <w:left w:w="12" w:type="dxa"/>
              <w:right w:w="12" w:type="dxa"/>
            </w:tcMar>
            <w:vAlign w:val="center"/>
          </w:tcPr>
          <w:p>
            <w:pPr>
              <w:pStyle w:val="33"/>
              <w:rPr>
                <w:rStyle w:val="17"/>
                <w:rFonts w:cs="Times New Roman"/>
                <w:bCs w:val="0"/>
                <w:color w:val="auto"/>
                <w:highlight w:val="none"/>
              </w:rPr>
            </w:pPr>
            <w:r>
              <w:rPr>
                <w:rStyle w:val="17"/>
                <w:rFonts w:cs="Times New Roman"/>
                <w:bCs w:val="0"/>
                <w:color w:val="auto"/>
                <w:highlight w:val="none"/>
              </w:rPr>
              <w:t>得分</w:t>
            </w:r>
          </w:p>
        </w:tc>
        <w:tc>
          <w:tcPr>
            <w:tcW w:w="930" w:type="dxa"/>
            <w:tcBorders>
              <w:top w:val="single" w:color="000000" w:sz="4" w:space="0"/>
              <w:left w:val="single" w:color="000000" w:sz="4" w:space="0"/>
              <w:bottom w:val="single" w:color="000000" w:sz="4" w:space="0"/>
              <w:right w:val="single" w:color="000000" w:sz="4" w:space="0"/>
            </w:tcBorders>
            <w:shd w:val="clear" w:color="auto" w:fill="AEAAAA" w:themeFill="background2" w:themeFillShade="BF"/>
            <w:tcMar>
              <w:top w:w="12" w:type="dxa"/>
              <w:left w:w="12" w:type="dxa"/>
              <w:right w:w="12" w:type="dxa"/>
            </w:tcMar>
            <w:vAlign w:val="center"/>
          </w:tcPr>
          <w:p>
            <w:pPr>
              <w:pStyle w:val="33"/>
              <w:rPr>
                <w:rStyle w:val="17"/>
                <w:rFonts w:cs="Times New Roman"/>
                <w:bCs w:val="0"/>
                <w:color w:val="auto"/>
                <w:highlight w:val="none"/>
              </w:rPr>
            </w:pPr>
            <w:r>
              <w:rPr>
                <w:rStyle w:val="17"/>
                <w:rFonts w:cs="Times New Roman"/>
                <w:bCs w:val="0"/>
                <w:color w:val="auto"/>
                <w:highlight w:val="none"/>
              </w:rPr>
              <w:t>得分率</w:t>
            </w:r>
          </w:p>
        </w:tc>
      </w:tr>
      <w:tr>
        <w:tblPrEx>
          <w:tblLayout w:type="fixed"/>
          <w:tblCellMar>
            <w:top w:w="0" w:type="dxa"/>
            <w:left w:w="0" w:type="dxa"/>
            <w:bottom w:w="0" w:type="dxa"/>
            <w:right w:w="0" w:type="dxa"/>
          </w:tblCellMar>
        </w:tblPrEx>
        <w:trPr>
          <w:trHeight w:val="20" w:hRule="atLeast"/>
        </w:trPr>
        <w:tc>
          <w:tcPr>
            <w:tcW w:w="35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33"/>
              <w:jc w:val="both"/>
              <w:rPr>
                <w:rFonts w:cs="Times New Roman"/>
                <w:color w:val="auto"/>
                <w:highlight w:val="none"/>
              </w:rPr>
            </w:pPr>
            <w:r>
              <w:rPr>
                <w:rFonts w:cs="Times New Roman"/>
                <w:color w:val="auto"/>
                <w:highlight w:val="none"/>
              </w:rPr>
              <w:t>D101取暖成本下降情况</w:t>
            </w:r>
          </w:p>
        </w:tc>
        <w:tc>
          <w:tcPr>
            <w:tcW w:w="5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33"/>
              <w:rPr>
                <w:rFonts w:cs="Times New Roman"/>
                <w:color w:val="auto"/>
                <w:highlight w:val="none"/>
              </w:rPr>
            </w:pPr>
            <w:r>
              <w:rPr>
                <w:rFonts w:cs="Times New Roman"/>
                <w:color w:val="auto"/>
                <w:highlight w:val="none"/>
              </w:rPr>
              <w:t>4.00</w:t>
            </w:r>
          </w:p>
        </w:tc>
        <w:tc>
          <w:tcPr>
            <w:tcW w:w="11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33"/>
              <w:rPr>
                <w:rFonts w:cs="Times New Roman"/>
                <w:color w:val="auto"/>
                <w:highlight w:val="none"/>
              </w:rPr>
            </w:pPr>
            <w:r>
              <w:rPr>
                <w:rFonts w:cs="Times New Roman"/>
                <w:color w:val="auto"/>
                <w:highlight w:val="none"/>
              </w:rPr>
              <w:t>下降</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33"/>
              <w:rPr>
                <w:rFonts w:cs="Times New Roman"/>
                <w:color w:val="auto"/>
                <w:highlight w:val="none"/>
              </w:rPr>
            </w:pPr>
            <w:r>
              <w:rPr>
                <w:rFonts w:cs="Times New Roman"/>
                <w:color w:val="auto"/>
                <w:highlight w:val="none"/>
              </w:rPr>
              <w:t>下降</w:t>
            </w:r>
          </w:p>
        </w:tc>
        <w:tc>
          <w:tcPr>
            <w:tcW w:w="5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33"/>
              <w:rPr>
                <w:rFonts w:cs="Times New Roman"/>
                <w:color w:val="auto"/>
                <w:highlight w:val="none"/>
              </w:rPr>
            </w:pPr>
            <w:r>
              <w:rPr>
                <w:rFonts w:cs="Times New Roman"/>
                <w:color w:val="auto"/>
                <w:highlight w:val="none"/>
              </w:rPr>
              <w:t>4.00</w:t>
            </w:r>
          </w:p>
        </w:tc>
        <w:tc>
          <w:tcPr>
            <w:tcW w:w="9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33"/>
              <w:rPr>
                <w:rFonts w:cs="Times New Roman"/>
                <w:color w:val="auto"/>
                <w:highlight w:val="none"/>
              </w:rPr>
            </w:pPr>
            <w:r>
              <w:rPr>
                <w:rFonts w:cs="Times New Roman"/>
                <w:color w:val="auto"/>
                <w:highlight w:val="none"/>
              </w:rPr>
              <w:t>100.00%</w:t>
            </w:r>
          </w:p>
        </w:tc>
      </w:tr>
      <w:tr>
        <w:tblPrEx>
          <w:tblLayout w:type="fixed"/>
          <w:tblCellMar>
            <w:top w:w="0" w:type="dxa"/>
            <w:left w:w="0" w:type="dxa"/>
            <w:bottom w:w="0" w:type="dxa"/>
            <w:right w:w="0" w:type="dxa"/>
          </w:tblCellMar>
        </w:tblPrEx>
        <w:trPr>
          <w:trHeight w:val="20" w:hRule="atLeast"/>
        </w:trPr>
        <w:tc>
          <w:tcPr>
            <w:tcW w:w="35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33"/>
              <w:jc w:val="both"/>
              <w:rPr>
                <w:rFonts w:cs="Times New Roman"/>
                <w:color w:val="auto"/>
                <w:highlight w:val="none"/>
              </w:rPr>
            </w:pPr>
            <w:r>
              <w:rPr>
                <w:rFonts w:cs="Times New Roman"/>
                <w:color w:val="auto"/>
                <w:highlight w:val="none"/>
              </w:rPr>
              <w:t>D102制冷费用节约情况</w:t>
            </w:r>
          </w:p>
        </w:tc>
        <w:tc>
          <w:tcPr>
            <w:tcW w:w="5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33"/>
              <w:rPr>
                <w:rFonts w:cs="Times New Roman"/>
                <w:color w:val="auto"/>
                <w:highlight w:val="none"/>
              </w:rPr>
            </w:pPr>
            <w:r>
              <w:rPr>
                <w:rFonts w:cs="Times New Roman"/>
                <w:color w:val="auto"/>
                <w:highlight w:val="none"/>
              </w:rPr>
              <w:t>4.00</w:t>
            </w:r>
          </w:p>
        </w:tc>
        <w:tc>
          <w:tcPr>
            <w:tcW w:w="11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33"/>
              <w:rPr>
                <w:rFonts w:cs="Times New Roman"/>
                <w:color w:val="auto"/>
                <w:highlight w:val="none"/>
              </w:rPr>
            </w:pPr>
            <w:r>
              <w:rPr>
                <w:rFonts w:cs="Times New Roman"/>
                <w:color w:val="auto"/>
                <w:highlight w:val="none"/>
              </w:rPr>
              <w:t>节约</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33"/>
              <w:rPr>
                <w:rFonts w:cs="Times New Roman"/>
                <w:color w:val="auto"/>
                <w:highlight w:val="none"/>
              </w:rPr>
            </w:pPr>
            <w:r>
              <w:rPr>
                <w:rFonts w:cs="Times New Roman"/>
                <w:color w:val="auto"/>
                <w:highlight w:val="none"/>
              </w:rPr>
              <w:t>节约</w:t>
            </w:r>
          </w:p>
        </w:tc>
        <w:tc>
          <w:tcPr>
            <w:tcW w:w="5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33"/>
              <w:rPr>
                <w:rFonts w:cs="Times New Roman"/>
                <w:color w:val="auto"/>
                <w:highlight w:val="none"/>
              </w:rPr>
            </w:pPr>
            <w:r>
              <w:rPr>
                <w:rFonts w:cs="Times New Roman"/>
                <w:color w:val="auto"/>
                <w:highlight w:val="none"/>
              </w:rPr>
              <w:t>4.00</w:t>
            </w:r>
          </w:p>
        </w:tc>
        <w:tc>
          <w:tcPr>
            <w:tcW w:w="9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33"/>
              <w:rPr>
                <w:rFonts w:cs="Times New Roman"/>
                <w:color w:val="auto"/>
                <w:highlight w:val="none"/>
              </w:rPr>
            </w:pPr>
            <w:r>
              <w:rPr>
                <w:rFonts w:cs="Times New Roman"/>
                <w:color w:val="auto"/>
                <w:highlight w:val="none"/>
              </w:rPr>
              <w:t>100.00%</w:t>
            </w:r>
          </w:p>
        </w:tc>
      </w:tr>
      <w:tr>
        <w:tblPrEx>
          <w:tblLayout w:type="fixed"/>
          <w:tblCellMar>
            <w:top w:w="0" w:type="dxa"/>
            <w:left w:w="0" w:type="dxa"/>
            <w:bottom w:w="0" w:type="dxa"/>
            <w:right w:w="0" w:type="dxa"/>
          </w:tblCellMar>
        </w:tblPrEx>
        <w:trPr>
          <w:trHeight w:val="20" w:hRule="atLeast"/>
        </w:trPr>
        <w:tc>
          <w:tcPr>
            <w:tcW w:w="355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jc w:val="both"/>
              <w:rPr>
                <w:rFonts w:cs="Times New Roman"/>
                <w:color w:val="auto"/>
                <w:highlight w:val="none"/>
              </w:rPr>
            </w:pPr>
            <w:r>
              <w:rPr>
                <w:rFonts w:cs="Times New Roman"/>
                <w:color w:val="auto"/>
                <w:highlight w:val="none"/>
              </w:rPr>
              <w:t>D201新建绿色建筑占新建建筑比重</w:t>
            </w:r>
          </w:p>
        </w:tc>
        <w:tc>
          <w:tcPr>
            <w:tcW w:w="54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Fonts w:cs="Times New Roman"/>
                <w:color w:val="auto"/>
                <w:highlight w:val="none"/>
              </w:rPr>
            </w:pPr>
            <w:r>
              <w:rPr>
                <w:rFonts w:cs="Times New Roman"/>
                <w:color w:val="auto"/>
                <w:highlight w:val="none"/>
              </w:rPr>
              <w:t>4.00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Fonts w:cs="Times New Roman"/>
                <w:color w:val="auto"/>
                <w:highlight w:val="none"/>
              </w:rPr>
            </w:pPr>
            <w:r>
              <w:rPr>
                <w:rFonts w:cs="Times New Roman"/>
                <w:color w:val="auto"/>
                <w:highlight w:val="none"/>
              </w:rPr>
              <w:t>90%</w:t>
            </w:r>
          </w:p>
        </w:tc>
        <w:tc>
          <w:tcPr>
            <w:tcW w:w="15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3"/>
              <w:rPr>
                <w:rFonts w:cs="Times New Roman"/>
                <w:color w:val="auto"/>
                <w:highlight w:val="none"/>
              </w:rPr>
            </w:pPr>
            <w:r>
              <w:rPr>
                <w:rFonts w:cs="Times New Roman"/>
                <w:color w:val="auto"/>
                <w:highlight w:val="none"/>
              </w:rPr>
              <w:t>90.3%</w:t>
            </w:r>
          </w:p>
        </w:tc>
        <w:tc>
          <w:tcPr>
            <w:tcW w:w="55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Fonts w:cs="Times New Roman"/>
                <w:color w:val="auto"/>
                <w:highlight w:val="none"/>
              </w:rPr>
            </w:pPr>
            <w:r>
              <w:rPr>
                <w:rFonts w:cs="Times New Roman"/>
                <w:color w:val="auto"/>
                <w:highlight w:val="none"/>
              </w:rPr>
              <w:t>4.00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Fonts w:cs="Times New Roman"/>
                <w:color w:val="auto"/>
                <w:highlight w:val="none"/>
              </w:rPr>
            </w:pPr>
            <w:r>
              <w:rPr>
                <w:rFonts w:cs="Times New Roman"/>
                <w:color w:val="auto"/>
                <w:highlight w:val="none"/>
              </w:rPr>
              <w:t>100.00%</w:t>
            </w:r>
          </w:p>
        </w:tc>
      </w:tr>
      <w:tr>
        <w:tblPrEx>
          <w:tblLayout w:type="fixed"/>
          <w:tblCellMar>
            <w:top w:w="0" w:type="dxa"/>
            <w:left w:w="0" w:type="dxa"/>
            <w:bottom w:w="0" w:type="dxa"/>
            <w:right w:w="0" w:type="dxa"/>
          </w:tblCellMar>
        </w:tblPrEx>
        <w:trPr>
          <w:trHeight w:val="20" w:hRule="atLeast"/>
        </w:trPr>
        <w:tc>
          <w:tcPr>
            <w:tcW w:w="355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jc w:val="both"/>
              <w:rPr>
                <w:rFonts w:cs="Times New Roman"/>
                <w:color w:val="auto"/>
                <w:highlight w:val="none"/>
              </w:rPr>
            </w:pPr>
            <w:r>
              <w:rPr>
                <w:rFonts w:cs="Times New Roman"/>
                <w:color w:val="auto"/>
                <w:highlight w:val="none"/>
              </w:rPr>
              <w:t>D202环境冷暖保障情况</w:t>
            </w:r>
          </w:p>
        </w:tc>
        <w:tc>
          <w:tcPr>
            <w:tcW w:w="54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Fonts w:eastAsia="等线" w:cs="Times New Roman"/>
                <w:color w:val="auto"/>
                <w:highlight w:val="none"/>
              </w:rPr>
            </w:pPr>
            <w:r>
              <w:rPr>
                <w:rFonts w:cs="Times New Roman"/>
                <w:color w:val="auto"/>
                <w:highlight w:val="none"/>
              </w:rPr>
              <w:t>3.00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Fonts w:cs="Times New Roman"/>
                <w:color w:val="auto"/>
                <w:highlight w:val="none"/>
              </w:rPr>
            </w:pPr>
            <w:r>
              <w:rPr>
                <w:rFonts w:cs="Times New Roman"/>
                <w:color w:val="auto"/>
                <w:highlight w:val="none"/>
              </w:rPr>
              <w:t>90%</w:t>
            </w:r>
          </w:p>
        </w:tc>
        <w:tc>
          <w:tcPr>
            <w:tcW w:w="15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3"/>
              <w:rPr>
                <w:rFonts w:cs="Times New Roman"/>
                <w:color w:val="auto"/>
                <w:highlight w:val="none"/>
              </w:rPr>
            </w:pPr>
            <w:r>
              <w:rPr>
                <w:rFonts w:cs="Times New Roman"/>
                <w:color w:val="auto"/>
                <w:highlight w:val="none"/>
              </w:rPr>
              <w:t>93.33%</w:t>
            </w:r>
          </w:p>
        </w:tc>
        <w:tc>
          <w:tcPr>
            <w:tcW w:w="55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Fonts w:eastAsia="等线" w:cs="Times New Roman"/>
                <w:color w:val="auto"/>
                <w:highlight w:val="none"/>
              </w:rPr>
            </w:pPr>
            <w:r>
              <w:rPr>
                <w:rFonts w:cs="Times New Roman"/>
                <w:color w:val="auto"/>
                <w:highlight w:val="none"/>
              </w:rPr>
              <w:t>3.00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Fonts w:cs="Times New Roman"/>
                <w:color w:val="auto"/>
                <w:highlight w:val="none"/>
              </w:rPr>
            </w:pPr>
            <w:r>
              <w:rPr>
                <w:rFonts w:cs="Times New Roman"/>
                <w:color w:val="auto"/>
                <w:highlight w:val="none"/>
              </w:rPr>
              <w:t>100.00%</w:t>
            </w:r>
          </w:p>
        </w:tc>
      </w:tr>
      <w:tr>
        <w:tblPrEx>
          <w:tblLayout w:type="fixed"/>
          <w:tblCellMar>
            <w:top w:w="0" w:type="dxa"/>
            <w:left w:w="0" w:type="dxa"/>
            <w:bottom w:w="0" w:type="dxa"/>
            <w:right w:w="0" w:type="dxa"/>
          </w:tblCellMar>
        </w:tblPrEx>
        <w:trPr>
          <w:trHeight w:val="20" w:hRule="atLeast"/>
        </w:trPr>
        <w:tc>
          <w:tcPr>
            <w:tcW w:w="355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jc w:val="both"/>
              <w:rPr>
                <w:rFonts w:cs="Times New Roman"/>
                <w:color w:val="auto"/>
                <w:highlight w:val="none"/>
              </w:rPr>
            </w:pPr>
            <w:r>
              <w:rPr>
                <w:rFonts w:cs="Times New Roman"/>
                <w:color w:val="auto"/>
                <w:highlight w:val="none"/>
              </w:rPr>
              <w:t>D302二氧化碳减排量</w:t>
            </w:r>
          </w:p>
        </w:tc>
        <w:tc>
          <w:tcPr>
            <w:tcW w:w="54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Fonts w:eastAsia="等线" w:cs="Times New Roman"/>
                <w:color w:val="auto"/>
                <w:highlight w:val="none"/>
              </w:rPr>
            </w:pPr>
            <w:r>
              <w:rPr>
                <w:rFonts w:eastAsia="等线" w:cs="Times New Roman"/>
                <w:color w:val="auto"/>
                <w:highlight w:val="none"/>
              </w:rPr>
              <w:t>3.00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Fonts w:cs="Times New Roman"/>
                <w:color w:val="auto"/>
                <w:highlight w:val="none"/>
              </w:rPr>
            </w:pPr>
            <w:r>
              <w:rPr>
                <w:rFonts w:cs="Times New Roman"/>
                <w:color w:val="auto"/>
                <w:highlight w:val="none"/>
              </w:rPr>
              <w:t>5.34万吨</w:t>
            </w:r>
          </w:p>
        </w:tc>
        <w:tc>
          <w:tcPr>
            <w:tcW w:w="15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3"/>
              <w:rPr>
                <w:rFonts w:cs="Times New Roman"/>
                <w:color w:val="auto"/>
                <w:highlight w:val="none"/>
              </w:rPr>
            </w:pPr>
            <w:r>
              <w:rPr>
                <w:rFonts w:cs="Times New Roman"/>
                <w:color w:val="auto"/>
                <w:highlight w:val="none"/>
              </w:rPr>
              <w:t>5.34万吨</w:t>
            </w:r>
          </w:p>
        </w:tc>
        <w:tc>
          <w:tcPr>
            <w:tcW w:w="55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Fonts w:eastAsia="等线" w:cs="Times New Roman"/>
                <w:color w:val="auto"/>
                <w:highlight w:val="none"/>
              </w:rPr>
            </w:pPr>
            <w:r>
              <w:rPr>
                <w:rFonts w:eastAsia="等线" w:cs="Times New Roman"/>
                <w:color w:val="auto"/>
                <w:highlight w:val="none"/>
              </w:rPr>
              <w:t>3.00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Fonts w:cs="Times New Roman"/>
                <w:color w:val="auto"/>
                <w:highlight w:val="none"/>
              </w:rPr>
            </w:pPr>
            <w:r>
              <w:rPr>
                <w:rFonts w:cs="Times New Roman"/>
                <w:color w:val="auto"/>
                <w:highlight w:val="none"/>
              </w:rPr>
              <w:t>100.00%</w:t>
            </w:r>
          </w:p>
        </w:tc>
      </w:tr>
      <w:tr>
        <w:tblPrEx>
          <w:tblLayout w:type="fixed"/>
          <w:tblCellMar>
            <w:top w:w="0" w:type="dxa"/>
            <w:left w:w="0" w:type="dxa"/>
            <w:bottom w:w="0" w:type="dxa"/>
            <w:right w:w="0" w:type="dxa"/>
          </w:tblCellMar>
        </w:tblPrEx>
        <w:trPr>
          <w:trHeight w:val="20" w:hRule="atLeast"/>
        </w:trPr>
        <w:tc>
          <w:tcPr>
            <w:tcW w:w="355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jc w:val="both"/>
              <w:rPr>
                <w:rFonts w:cs="Times New Roman"/>
                <w:color w:val="auto"/>
                <w:highlight w:val="none"/>
              </w:rPr>
            </w:pPr>
            <w:r>
              <w:rPr>
                <w:rFonts w:cs="Times New Roman"/>
                <w:color w:val="auto"/>
                <w:highlight w:val="none"/>
              </w:rPr>
              <w:t>D302二氧化硫减排量</w:t>
            </w:r>
          </w:p>
        </w:tc>
        <w:tc>
          <w:tcPr>
            <w:tcW w:w="54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Fonts w:eastAsia="等线" w:cs="Times New Roman"/>
                <w:color w:val="auto"/>
                <w:highlight w:val="none"/>
              </w:rPr>
            </w:pPr>
            <w:r>
              <w:rPr>
                <w:rFonts w:eastAsia="等线" w:cs="Times New Roman"/>
                <w:color w:val="auto"/>
                <w:highlight w:val="none"/>
              </w:rPr>
              <w:t>2.00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Fonts w:cs="Times New Roman"/>
                <w:color w:val="auto"/>
                <w:highlight w:val="none"/>
              </w:rPr>
            </w:pPr>
            <w:r>
              <w:rPr>
                <w:rFonts w:cs="Times New Roman"/>
                <w:color w:val="auto"/>
                <w:highlight w:val="none"/>
              </w:rPr>
              <w:t>0.03万吨</w:t>
            </w:r>
          </w:p>
        </w:tc>
        <w:tc>
          <w:tcPr>
            <w:tcW w:w="15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3"/>
              <w:rPr>
                <w:rFonts w:cs="Times New Roman"/>
                <w:color w:val="auto"/>
                <w:highlight w:val="none"/>
              </w:rPr>
            </w:pPr>
            <w:r>
              <w:rPr>
                <w:rFonts w:cs="Times New Roman"/>
                <w:color w:val="auto"/>
                <w:highlight w:val="none"/>
              </w:rPr>
              <w:t>0.03万吨</w:t>
            </w:r>
          </w:p>
        </w:tc>
        <w:tc>
          <w:tcPr>
            <w:tcW w:w="55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Fonts w:eastAsia="等线" w:cs="Times New Roman"/>
                <w:color w:val="auto"/>
                <w:highlight w:val="none"/>
              </w:rPr>
            </w:pPr>
            <w:r>
              <w:rPr>
                <w:rFonts w:eastAsia="等线" w:cs="Times New Roman"/>
                <w:color w:val="auto"/>
                <w:highlight w:val="none"/>
              </w:rPr>
              <w:t>2.00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Fonts w:cs="Times New Roman"/>
                <w:color w:val="auto"/>
                <w:highlight w:val="none"/>
              </w:rPr>
            </w:pPr>
            <w:r>
              <w:rPr>
                <w:rFonts w:cs="Times New Roman"/>
                <w:color w:val="auto"/>
                <w:highlight w:val="none"/>
              </w:rPr>
              <w:t>100.00%</w:t>
            </w:r>
          </w:p>
        </w:tc>
      </w:tr>
      <w:tr>
        <w:tblPrEx>
          <w:tblLayout w:type="fixed"/>
          <w:tblCellMar>
            <w:top w:w="0" w:type="dxa"/>
            <w:left w:w="0" w:type="dxa"/>
            <w:bottom w:w="0" w:type="dxa"/>
            <w:right w:w="0" w:type="dxa"/>
          </w:tblCellMar>
        </w:tblPrEx>
        <w:trPr>
          <w:trHeight w:val="20" w:hRule="atLeast"/>
        </w:trPr>
        <w:tc>
          <w:tcPr>
            <w:tcW w:w="355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jc w:val="both"/>
              <w:rPr>
                <w:rFonts w:cs="Times New Roman"/>
                <w:color w:val="auto"/>
                <w:highlight w:val="none"/>
              </w:rPr>
            </w:pPr>
            <w:r>
              <w:rPr>
                <w:rFonts w:cs="Times New Roman"/>
                <w:color w:val="auto"/>
                <w:highlight w:val="none"/>
              </w:rPr>
              <w:t>D303标准煤节约量</w:t>
            </w:r>
          </w:p>
        </w:tc>
        <w:tc>
          <w:tcPr>
            <w:tcW w:w="54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Fonts w:eastAsia="等线" w:cs="Times New Roman"/>
                <w:color w:val="auto"/>
                <w:highlight w:val="none"/>
              </w:rPr>
            </w:pPr>
            <w:r>
              <w:rPr>
                <w:rFonts w:eastAsia="等线" w:cs="Times New Roman"/>
                <w:color w:val="auto"/>
                <w:highlight w:val="none"/>
              </w:rPr>
              <w:t>3.00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Fonts w:cs="Times New Roman"/>
                <w:color w:val="auto"/>
                <w:highlight w:val="none"/>
              </w:rPr>
            </w:pPr>
            <w:r>
              <w:rPr>
                <w:rFonts w:cs="Times New Roman"/>
                <w:color w:val="auto"/>
                <w:highlight w:val="none"/>
              </w:rPr>
              <w:t>2.16万吨</w:t>
            </w:r>
          </w:p>
        </w:tc>
        <w:tc>
          <w:tcPr>
            <w:tcW w:w="15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3"/>
              <w:rPr>
                <w:rFonts w:cs="Times New Roman"/>
                <w:color w:val="auto"/>
                <w:highlight w:val="none"/>
              </w:rPr>
            </w:pPr>
            <w:r>
              <w:rPr>
                <w:rFonts w:cs="Times New Roman"/>
                <w:color w:val="auto"/>
                <w:highlight w:val="none"/>
              </w:rPr>
              <w:t>2.16万吨</w:t>
            </w:r>
          </w:p>
        </w:tc>
        <w:tc>
          <w:tcPr>
            <w:tcW w:w="55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Fonts w:eastAsia="等线" w:cs="Times New Roman"/>
                <w:color w:val="auto"/>
                <w:highlight w:val="none"/>
              </w:rPr>
            </w:pPr>
            <w:r>
              <w:rPr>
                <w:rFonts w:eastAsia="等线" w:cs="Times New Roman"/>
                <w:color w:val="auto"/>
                <w:highlight w:val="none"/>
              </w:rPr>
              <w:t>3.00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Fonts w:cs="Times New Roman"/>
                <w:color w:val="auto"/>
                <w:highlight w:val="none"/>
              </w:rPr>
            </w:pPr>
            <w:r>
              <w:rPr>
                <w:rFonts w:cs="Times New Roman"/>
                <w:color w:val="auto"/>
                <w:highlight w:val="none"/>
              </w:rPr>
              <w:t>100.00%</w:t>
            </w:r>
          </w:p>
        </w:tc>
      </w:tr>
      <w:tr>
        <w:tblPrEx>
          <w:tblLayout w:type="fixed"/>
          <w:tblCellMar>
            <w:top w:w="0" w:type="dxa"/>
            <w:left w:w="0" w:type="dxa"/>
            <w:bottom w:w="0" w:type="dxa"/>
            <w:right w:w="0" w:type="dxa"/>
          </w:tblCellMar>
        </w:tblPrEx>
        <w:trPr>
          <w:trHeight w:val="20" w:hRule="atLeast"/>
        </w:trPr>
        <w:tc>
          <w:tcPr>
            <w:tcW w:w="355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jc w:val="both"/>
              <w:rPr>
                <w:rFonts w:cs="Times New Roman"/>
                <w:color w:val="auto"/>
                <w:highlight w:val="none"/>
              </w:rPr>
            </w:pPr>
            <w:r>
              <w:rPr>
                <w:rFonts w:cs="Times New Roman"/>
                <w:color w:val="auto"/>
                <w:highlight w:val="none"/>
              </w:rPr>
              <w:t>D401长效机制健全性</w:t>
            </w:r>
          </w:p>
        </w:tc>
        <w:tc>
          <w:tcPr>
            <w:tcW w:w="54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Fonts w:eastAsia="等线" w:cs="Times New Roman"/>
                <w:color w:val="auto"/>
                <w:highlight w:val="none"/>
              </w:rPr>
            </w:pPr>
            <w:r>
              <w:rPr>
                <w:rFonts w:eastAsia="等线" w:cs="Times New Roman"/>
                <w:color w:val="auto"/>
                <w:highlight w:val="none"/>
              </w:rPr>
              <w:t>3.00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Fonts w:cs="Times New Roman"/>
                <w:color w:val="auto"/>
                <w:highlight w:val="none"/>
              </w:rPr>
            </w:pPr>
            <w:r>
              <w:rPr>
                <w:rFonts w:cs="Times New Roman"/>
                <w:color w:val="auto"/>
                <w:highlight w:val="none"/>
              </w:rPr>
              <w:t>健全</w:t>
            </w:r>
          </w:p>
        </w:tc>
        <w:tc>
          <w:tcPr>
            <w:tcW w:w="15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3"/>
              <w:rPr>
                <w:rFonts w:cs="Times New Roman"/>
                <w:color w:val="auto"/>
                <w:highlight w:val="none"/>
              </w:rPr>
            </w:pPr>
            <w:r>
              <w:rPr>
                <w:rFonts w:cs="Times New Roman"/>
                <w:color w:val="auto"/>
                <w:highlight w:val="none"/>
              </w:rPr>
              <w:t>健全</w:t>
            </w:r>
          </w:p>
        </w:tc>
        <w:tc>
          <w:tcPr>
            <w:tcW w:w="55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Fonts w:eastAsia="等线" w:cs="Times New Roman"/>
                <w:color w:val="auto"/>
                <w:highlight w:val="none"/>
              </w:rPr>
            </w:pPr>
            <w:r>
              <w:rPr>
                <w:rFonts w:eastAsia="等线" w:cs="Times New Roman"/>
                <w:color w:val="auto"/>
                <w:highlight w:val="none"/>
              </w:rPr>
              <w:t>3.00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Fonts w:cs="Times New Roman"/>
                <w:color w:val="auto"/>
                <w:highlight w:val="none"/>
              </w:rPr>
            </w:pPr>
            <w:r>
              <w:rPr>
                <w:rFonts w:cs="Times New Roman"/>
                <w:color w:val="auto"/>
                <w:highlight w:val="none"/>
              </w:rPr>
              <w:t>100.00%</w:t>
            </w:r>
          </w:p>
        </w:tc>
      </w:tr>
      <w:tr>
        <w:tblPrEx>
          <w:tblLayout w:type="fixed"/>
          <w:tblCellMar>
            <w:top w:w="0" w:type="dxa"/>
            <w:left w:w="0" w:type="dxa"/>
            <w:bottom w:w="0" w:type="dxa"/>
            <w:right w:w="0" w:type="dxa"/>
          </w:tblCellMar>
        </w:tblPrEx>
        <w:trPr>
          <w:trHeight w:val="20" w:hRule="atLeast"/>
        </w:trPr>
        <w:tc>
          <w:tcPr>
            <w:tcW w:w="355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jc w:val="both"/>
              <w:rPr>
                <w:rFonts w:cs="Times New Roman"/>
                <w:color w:val="auto"/>
                <w:highlight w:val="none"/>
              </w:rPr>
            </w:pPr>
            <w:r>
              <w:rPr>
                <w:rFonts w:cs="Times New Roman"/>
                <w:color w:val="auto"/>
                <w:highlight w:val="none"/>
              </w:rPr>
              <w:t>D501受益群众满意度</w:t>
            </w:r>
          </w:p>
        </w:tc>
        <w:tc>
          <w:tcPr>
            <w:tcW w:w="54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Fonts w:eastAsia="等线" w:cs="Times New Roman"/>
                <w:color w:val="auto"/>
                <w:highlight w:val="none"/>
              </w:rPr>
            </w:pPr>
            <w:r>
              <w:rPr>
                <w:rFonts w:eastAsia="等线" w:cs="Times New Roman"/>
                <w:color w:val="auto"/>
                <w:highlight w:val="none"/>
              </w:rPr>
              <w:t>4.00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Fonts w:cs="Times New Roman"/>
                <w:color w:val="auto"/>
                <w:highlight w:val="none"/>
              </w:rPr>
            </w:pPr>
            <w:r>
              <w:rPr>
                <w:rFonts w:cs="Times New Roman"/>
                <w:color w:val="auto"/>
                <w:highlight w:val="none"/>
              </w:rPr>
              <w:t>90%</w:t>
            </w:r>
          </w:p>
        </w:tc>
        <w:tc>
          <w:tcPr>
            <w:tcW w:w="15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3"/>
              <w:rPr>
                <w:rFonts w:cs="Times New Roman"/>
                <w:color w:val="auto"/>
                <w:highlight w:val="none"/>
              </w:rPr>
            </w:pPr>
            <w:r>
              <w:rPr>
                <w:rFonts w:cs="Times New Roman"/>
                <w:color w:val="auto"/>
                <w:highlight w:val="none"/>
              </w:rPr>
              <w:t>94.29%</w:t>
            </w:r>
          </w:p>
        </w:tc>
        <w:tc>
          <w:tcPr>
            <w:tcW w:w="55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Fonts w:eastAsia="等线" w:cs="Times New Roman"/>
                <w:color w:val="auto"/>
                <w:highlight w:val="none"/>
              </w:rPr>
            </w:pPr>
            <w:r>
              <w:rPr>
                <w:rFonts w:eastAsia="等线" w:cs="Times New Roman"/>
                <w:color w:val="auto"/>
                <w:highlight w:val="none"/>
              </w:rPr>
              <w:t>4.00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Fonts w:cs="Times New Roman"/>
                <w:color w:val="auto"/>
                <w:highlight w:val="none"/>
              </w:rPr>
            </w:pPr>
            <w:r>
              <w:rPr>
                <w:rFonts w:cs="Times New Roman"/>
                <w:color w:val="auto"/>
                <w:highlight w:val="none"/>
              </w:rPr>
              <w:t>100.00%</w:t>
            </w:r>
          </w:p>
        </w:tc>
      </w:tr>
      <w:tr>
        <w:tblPrEx>
          <w:tblLayout w:type="fixed"/>
          <w:tblCellMar>
            <w:top w:w="0" w:type="dxa"/>
            <w:left w:w="0" w:type="dxa"/>
            <w:bottom w:w="0" w:type="dxa"/>
            <w:right w:w="0" w:type="dxa"/>
          </w:tblCellMar>
        </w:tblPrEx>
        <w:trPr>
          <w:trHeight w:val="20" w:hRule="atLeast"/>
        </w:trPr>
        <w:tc>
          <w:tcPr>
            <w:tcW w:w="355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Style w:val="17"/>
                <w:rFonts w:cs="Times New Roman"/>
                <w:bCs w:val="0"/>
                <w:color w:val="auto"/>
                <w:highlight w:val="none"/>
              </w:rPr>
            </w:pPr>
            <w:r>
              <w:rPr>
                <w:rStyle w:val="17"/>
                <w:rFonts w:cs="Times New Roman"/>
                <w:bCs w:val="0"/>
                <w:color w:val="auto"/>
                <w:highlight w:val="none"/>
              </w:rPr>
              <w:t>合计</w:t>
            </w:r>
          </w:p>
        </w:tc>
        <w:tc>
          <w:tcPr>
            <w:tcW w:w="54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Fonts w:cs="Times New Roman"/>
                <w:color w:val="auto"/>
                <w:highlight w:val="none"/>
              </w:rPr>
            </w:pPr>
            <w:r>
              <w:rPr>
                <w:rFonts w:cs="Times New Roman"/>
                <w:color w:val="auto"/>
                <w:highlight w:val="none"/>
              </w:rPr>
              <w:t>30.00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Fonts w:cs="Times New Roman"/>
                <w:color w:val="auto"/>
                <w:highlight w:val="none"/>
              </w:rPr>
            </w:pPr>
            <w:r>
              <w:rPr>
                <w:rFonts w:cs="Times New Roman"/>
                <w:color w:val="auto"/>
                <w:highlight w:val="none"/>
              </w:rPr>
              <w:t>-</w:t>
            </w:r>
          </w:p>
        </w:tc>
        <w:tc>
          <w:tcPr>
            <w:tcW w:w="15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3"/>
              <w:rPr>
                <w:rFonts w:cs="Times New Roman"/>
                <w:color w:val="auto"/>
                <w:highlight w:val="none"/>
              </w:rPr>
            </w:pPr>
            <w:r>
              <w:rPr>
                <w:rFonts w:cs="Times New Roman"/>
                <w:color w:val="auto"/>
                <w:highlight w:val="none"/>
              </w:rPr>
              <w:t>-</w:t>
            </w:r>
          </w:p>
        </w:tc>
        <w:tc>
          <w:tcPr>
            <w:tcW w:w="55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Fonts w:cs="Times New Roman"/>
                <w:color w:val="auto"/>
                <w:highlight w:val="none"/>
              </w:rPr>
            </w:pPr>
            <w:r>
              <w:rPr>
                <w:rFonts w:cs="Times New Roman"/>
                <w:color w:val="auto"/>
                <w:highlight w:val="none"/>
              </w:rPr>
              <w:t>30.00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pStyle w:val="33"/>
              <w:rPr>
                <w:rFonts w:cs="Times New Roman"/>
                <w:color w:val="auto"/>
                <w:highlight w:val="none"/>
              </w:rPr>
            </w:pPr>
            <w:r>
              <w:rPr>
                <w:rFonts w:cs="Times New Roman"/>
                <w:color w:val="auto"/>
                <w:highlight w:val="none"/>
              </w:rPr>
              <w:t>100.00%</w:t>
            </w:r>
          </w:p>
        </w:tc>
      </w:tr>
    </w:tbl>
    <w:p>
      <w:pPr>
        <w:ind w:firstLine="562"/>
        <w:rPr>
          <w:rFonts w:cs="Times New Roman"/>
          <w:highlight w:val="none"/>
        </w:rPr>
      </w:pPr>
      <w:r>
        <w:rPr>
          <w:rFonts w:cs="Times New Roman"/>
          <w:b/>
          <w:bCs/>
          <w:highlight w:val="none"/>
        </w:rPr>
        <w:t>D101取暖成本下降情况：</w:t>
      </w:r>
      <w:r>
        <w:rPr>
          <w:rFonts w:cs="Times New Roman"/>
          <w:highlight w:val="none"/>
        </w:rPr>
        <w:t>该项指标权重分为4分，实际得分4分。具体依据为：通过现场调研及对项目单位和住建厅主要负责人的访谈可知，采用热泵系统供暖的建设项目，采暖费用节省10-15元/㎡。综上，根据评分标准，该指标得100%权重分。</w:t>
      </w:r>
    </w:p>
    <w:p>
      <w:pPr>
        <w:ind w:firstLine="562"/>
        <w:rPr>
          <w:rFonts w:cs="Times New Roman"/>
          <w:highlight w:val="none"/>
        </w:rPr>
      </w:pPr>
      <w:r>
        <w:rPr>
          <w:rFonts w:cs="Times New Roman"/>
          <w:b/>
          <w:bCs/>
          <w:highlight w:val="none"/>
        </w:rPr>
        <w:t>D102制冷费用节约情况：</w:t>
      </w:r>
      <w:r>
        <w:rPr>
          <w:rFonts w:cs="Times New Roman"/>
          <w:highlight w:val="none"/>
        </w:rPr>
        <w:t>该项指标权重分为4分，实际得分4分。具体依据为：通过现场调研及对项目单位和住建厅主要负责人的访谈可知，采用可再生能源建筑项目的制冷费用相对传统空调节约50%左右。综上，根据评分标准，该指标得100%权重分。</w:t>
      </w:r>
    </w:p>
    <w:p>
      <w:pPr>
        <w:ind w:firstLine="562"/>
        <w:rPr>
          <w:rFonts w:cs="Times New Roman"/>
          <w:highlight w:val="none"/>
        </w:rPr>
      </w:pPr>
      <w:r>
        <w:rPr>
          <w:rFonts w:cs="Times New Roman"/>
          <w:b/>
          <w:bCs/>
          <w:highlight w:val="none"/>
        </w:rPr>
        <w:t>D201新建绿色建筑占新建建筑比重：</w:t>
      </w:r>
      <w:r>
        <w:rPr>
          <w:rFonts w:cs="Times New Roman"/>
          <w:highlight w:val="none"/>
        </w:rPr>
        <w:t>该项指标权重分为4分，实际得分4分。具体依据为：通过现场访谈，全省累计建成绿色建筑面积1亿平方米，城镇绿色建筑占新建建筑比例从2017年40%，到2022年90.3%，平均每年增加10%，达到全国平均水平以上。同时，2023年第一季度城镇绿色建筑面积占城镇新建建筑比重超过90%，达到全国平均值以上。综上，根据评分标准，该指标得100%权重分。。</w:t>
      </w:r>
    </w:p>
    <w:p>
      <w:pPr>
        <w:ind w:firstLine="562"/>
        <w:rPr>
          <w:rFonts w:cs="Times New Roman"/>
          <w:highlight w:val="none"/>
        </w:rPr>
      </w:pPr>
      <w:r>
        <w:rPr>
          <w:rFonts w:cs="Times New Roman"/>
          <w:b/>
          <w:highlight w:val="none"/>
        </w:rPr>
        <w:t>D202环境冷暖保障情况：</w:t>
      </w:r>
      <w:r>
        <w:rPr>
          <w:rFonts w:cs="Times New Roman"/>
          <w:highlight w:val="none"/>
        </w:rPr>
        <w:t>该项指标权重分为3分，实际得分3分。具体依据为：通过调查问卷，对可再生能源取暖项目取暖制冷等效果的满意度均为94.29%。综上，根据评分标准，该指标得100%权重分。</w:t>
      </w:r>
    </w:p>
    <w:p>
      <w:pPr>
        <w:ind w:firstLine="562"/>
        <w:rPr>
          <w:rFonts w:cs="Times New Roman"/>
          <w:highlight w:val="none"/>
        </w:rPr>
      </w:pPr>
      <w:r>
        <w:rPr>
          <w:rFonts w:cs="Times New Roman"/>
          <w:b/>
          <w:bCs/>
          <w:highlight w:val="none"/>
        </w:rPr>
        <w:t>D301二氧化碳减排量：</w:t>
      </w:r>
      <w:r>
        <w:rPr>
          <w:rFonts w:cs="Times New Roman"/>
          <w:highlight w:val="none"/>
        </w:rPr>
        <w:t>该项指标权重分为3分，实际得分3分。具体依据为：通过对基础数据表的复核及对项目单位和住建厅主要负责人的访谈可知，2021-2023年53个项目可减排二氧化碳5.34万吨。综上，根据评分标准，该指标得100%权重分。</w:t>
      </w:r>
    </w:p>
    <w:p>
      <w:pPr>
        <w:ind w:firstLine="562"/>
        <w:rPr>
          <w:rFonts w:cs="Times New Roman"/>
          <w:highlight w:val="none"/>
        </w:rPr>
      </w:pPr>
      <w:r>
        <w:rPr>
          <w:rFonts w:cs="Times New Roman"/>
          <w:b/>
          <w:bCs/>
          <w:highlight w:val="none"/>
        </w:rPr>
        <w:t>D302二氧化硫减排量：</w:t>
      </w:r>
      <w:r>
        <w:rPr>
          <w:rFonts w:cs="Times New Roman"/>
          <w:highlight w:val="none"/>
        </w:rPr>
        <w:t>该项指标权重分为2分，实际得分2分。具体依据为：通过对基础数据表的复核及对项目单位和住建厅主要负责人的访谈可知，2021-2023年53个项目可减排二氧化硫0.03万吨。综上，根据评分标准，该指标得100%权重分。</w:t>
      </w:r>
    </w:p>
    <w:p>
      <w:pPr>
        <w:ind w:firstLine="562"/>
        <w:rPr>
          <w:rFonts w:cs="Times New Roman"/>
          <w:highlight w:val="none"/>
        </w:rPr>
      </w:pPr>
      <w:r>
        <w:rPr>
          <w:rFonts w:cs="Times New Roman"/>
          <w:b/>
          <w:bCs/>
          <w:highlight w:val="none"/>
        </w:rPr>
        <w:t>D303标准煤节约量：</w:t>
      </w:r>
      <w:r>
        <w:rPr>
          <w:rFonts w:cs="Times New Roman"/>
          <w:highlight w:val="none"/>
        </w:rPr>
        <w:t>该项指标权重分为3分，实际得分3分。具体依据为：通过对基础数据表的复核及对项目单位和住建厅主要负责人的访谈可知，2021-2023年53个项目可节约标准煤2.16万吨。综上，根据评分标准，该指标得100%权重分。</w:t>
      </w:r>
    </w:p>
    <w:p>
      <w:pPr>
        <w:ind w:firstLine="562"/>
        <w:rPr>
          <w:rFonts w:cs="Times New Roman"/>
          <w:highlight w:val="none"/>
        </w:rPr>
      </w:pPr>
      <w:r>
        <w:rPr>
          <w:rFonts w:cs="Times New Roman"/>
          <w:b/>
          <w:bCs/>
          <w:highlight w:val="none"/>
        </w:rPr>
        <w:t>D401长效机制健全性：</w:t>
      </w:r>
      <w:r>
        <w:rPr>
          <w:rFonts w:cs="Times New Roman"/>
          <w:highlight w:val="none"/>
        </w:rPr>
        <w:t>该项指标权重分为3分，实际得分3分。具体依据为：该项目立项依据充分必要，具备健全的长效机制，项目管理机制健全，财务管理有效，项目实施效益较佳，因此该项目发展具有可持续性。综上，根据评分标准，该指标得100%权重分。</w:t>
      </w:r>
    </w:p>
    <w:p>
      <w:pPr>
        <w:ind w:firstLine="562"/>
        <w:rPr>
          <w:rFonts w:cs="Times New Roman"/>
          <w:highlight w:val="none"/>
        </w:rPr>
      </w:pPr>
      <w:r>
        <w:rPr>
          <w:rFonts w:cs="Times New Roman"/>
          <w:b/>
          <w:bCs/>
          <w:highlight w:val="none"/>
        </w:rPr>
        <w:t>D501受益群众满意度：</w:t>
      </w:r>
      <w:r>
        <w:rPr>
          <w:rFonts w:cs="Times New Roman"/>
          <w:highlight w:val="none"/>
        </w:rPr>
        <w:t>该项指标权重分为4分，实际得分4分。具体依据为：调查问卷显示项目整体的满意度为94.29%。综上，根据评分标准，该指标得100%权重分。</w:t>
      </w:r>
    </w:p>
    <w:p>
      <w:pPr>
        <w:pStyle w:val="4"/>
        <w:rPr>
          <w:rFonts w:cs="Times New Roman"/>
          <w:highlight w:val="none"/>
        </w:rPr>
      </w:pPr>
      <w:bookmarkStart w:id="21" w:name="_Toc136264992"/>
      <w:r>
        <w:rPr>
          <w:rFonts w:cs="Times New Roman"/>
          <w:highlight w:val="none"/>
        </w:rPr>
        <w:t>五、主要经验及做法、存在的问题</w:t>
      </w:r>
      <w:bookmarkEnd w:id="21"/>
    </w:p>
    <w:p>
      <w:pPr>
        <w:pStyle w:val="5"/>
        <w:rPr>
          <w:rFonts w:ascii="Times New Roman" w:hAnsi="Times New Roman" w:cs="Times New Roman"/>
          <w:highlight w:val="none"/>
        </w:rPr>
      </w:pPr>
      <w:bookmarkStart w:id="22" w:name="_Toc136264993"/>
      <w:r>
        <w:rPr>
          <w:rFonts w:ascii="Times New Roman" w:hAnsi="Times New Roman" w:cs="Times New Roman"/>
          <w:highlight w:val="none"/>
        </w:rPr>
        <w:t>（一）经验做法</w:t>
      </w:r>
      <w:bookmarkEnd w:id="22"/>
    </w:p>
    <w:p>
      <w:pPr>
        <w:pStyle w:val="6"/>
        <w:rPr>
          <w:rFonts w:cs="Times New Roman"/>
          <w:b/>
          <w:bCs w:val="0"/>
          <w:highlight w:val="none"/>
        </w:rPr>
      </w:pPr>
      <w:r>
        <w:rPr>
          <w:rFonts w:cs="Times New Roman"/>
          <w:b/>
          <w:bCs w:val="0"/>
          <w:highlight w:val="none"/>
        </w:rPr>
        <w:t>1.</w:t>
      </w:r>
      <w:r>
        <w:rPr>
          <w:rFonts w:cs="Times New Roman"/>
          <w:highlight w:val="none"/>
        </w:rPr>
        <w:t xml:space="preserve"> </w:t>
      </w:r>
      <w:r>
        <w:rPr>
          <w:rFonts w:cs="Times New Roman"/>
          <w:b/>
          <w:bCs w:val="0"/>
          <w:highlight w:val="none"/>
        </w:rPr>
        <w:t>可再生能源建筑应用是城市实现节能减排、改善居民生产生活环境的优先途径</w:t>
      </w:r>
    </w:p>
    <w:p>
      <w:pPr>
        <w:ind w:firstLine="560"/>
        <w:rPr>
          <w:rFonts w:cs="Times New Roman"/>
          <w:highlight w:val="none"/>
        </w:rPr>
      </w:pPr>
      <w:r>
        <w:rPr>
          <w:rFonts w:cs="Times New Roman"/>
          <w:highlight w:val="none"/>
        </w:rPr>
        <w:t>可再生能源建筑应用是一种集约化、科学化、低碳化的采暖方式，是城市基础设施建设的优先选项。取暖去煤化，提升建筑能效，并逐步提高清洁能源在采暖中的使用比例，不仅有利于保护环境和生态，明显提高人民群众的生活质量，还将促进电力和建材等相关行业的发展，提高产品质量及生产效率，改善产业结构，延伸产业链，提高产品附加值，培育新的经济增长点，对相关产业群体将会产生重大和深远的影响。</w:t>
      </w:r>
    </w:p>
    <w:p>
      <w:pPr>
        <w:pStyle w:val="6"/>
        <w:rPr>
          <w:rFonts w:cs="Times New Roman"/>
          <w:b/>
          <w:bCs w:val="0"/>
          <w:highlight w:val="none"/>
        </w:rPr>
      </w:pPr>
      <w:r>
        <w:rPr>
          <w:rFonts w:cs="Times New Roman"/>
          <w:b/>
          <w:bCs w:val="0"/>
          <w:highlight w:val="none"/>
        </w:rPr>
        <w:t>2.</w:t>
      </w:r>
      <w:r>
        <w:rPr>
          <w:rFonts w:cs="Times New Roman"/>
          <w:highlight w:val="none"/>
        </w:rPr>
        <w:t xml:space="preserve"> </w:t>
      </w:r>
      <w:r>
        <w:rPr>
          <w:rFonts w:cs="Times New Roman"/>
          <w:b/>
          <w:bCs w:val="0"/>
          <w:highlight w:val="none"/>
        </w:rPr>
        <w:t>可再生能源技术应用是节能减排、改善环境的重要方式</w:t>
      </w:r>
    </w:p>
    <w:p>
      <w:pPr>
        <w:ind w:firstLine="560"/>
        <w:rPr>
          <w:rFonts w:cs="Times New Roman"/>
          <w:highlight w:val="none"/>
        </w:rPr>
      </w:pPr>
      <w:r>
        <w:rPr>
          <w:rFonts w:cs="Times New Roman"/>
          <w:highlight w:val="none"/>
        </w:rPr>
        <w:t>首先，可再生能源建筑技术通过电能转化为其他能源类型，能够达到高效利用，不仅替代传统能源（如煤炭）消耗，而且减少碳排放，有利用实现碳达峰总体目标，最大程度实现提高能源利用效率。</w:t>
      </w:r>
    </w:p>
    <w:p>
      <w:pPr>
        <w:ind w:firstLine="560"/>
        <w:rPr>
          <w:rFonts w:cs="Times New Roman"/>
          <w:highlight w:val="none"/>
        </w:rPr>
      </w:pPr>
      <w:r>
        <w:rPr>
          <w:rFonts w:cs="Times New Roman"/>
          <w:highlight w:val="none"/>
        </w:rPr>
        <w:t>其次，可再生能源建筑技术不再使用化石能源（煤炭）作为燃料提供能量，减少此类能源在开采、运输、加工、利用及消费过程对生态环境的各种影响，避免此类能源造成的温室效应以及排放的粉尘、烟雾、二氧化硫等大气污染物对生态环境的破坏和污染。</w:t>
      </w:r>
    </w:p>
    <w:p>
      <w:pPr>
        <w:ind w:firstLine="560"/>
        <w:rPr>
          <w:rFonts w:cs="Times New Roman"/>
          <w:highlight w:val="none"/>
        </w:rPr>
      </w:pPr>
      <w:r>
        <w:rPr>
          <w:rFonts w:cs="Times New Roman"/>
          <w:highlight w:val="none"/>
        </w:rPr>
        <w:t>总之，与传统的燃煤供热相比，可再生能源技术应用能够大量减少二氧化硫、氮氧化物、二氧化碳、煤尘等排放，有利于加快调整能源结构，同时也节约大量的环境治理费用。</w:t>
      </w:r>
    </w:p>
    <w:p>
      <w:pPr>
        <w:pStyle w:val="5"/>
        <w:rPr>
          <w:rFonts w:ascii="Times New Roman" w:hAnsi="Times New Roman" w:cs="Times New Roman"/>
          <w:highlight w:val="none"/>
        </w:rPr>
      </w:pPr>
      <w:bookmarkStart w:id="23" w:name="_Toc136264994"/>
      <w:r>
        <w:rPr>
          <w:rFonts w:ascii="Times New Roman" w:hAnsi="Times New Roman" w:cs="Times New Roman"/>
          <w:highlight w:val="none"/>
        </w:rPr>
        <w:t>（二）存在的问题</w:t>
      </w:r>
      <w:bookmarkEnd w:id="23"/>
    </w:p>
    <w:p>
      <w:pPr>
        <w:pStyle w:val="6"/>
        <w:ind w:left="560" w:leftChars="200" w:firstLine="0" w:firstLineChars="0"/>
        <w:rPr>
          <w:rFonts w:cs="Times New Roman"/>
          <w:bCs w:val="0"/>
          <w:szCs w:val="22"/>
          <w:highlight w:val="none"/>
        </w:rPr>
      </w:pPr>
      <w:r>
        <w:rPr>
          <w:rFonts w:cs="Times New Roman"/>
          <w:b/>
          <w:bCs w:val="0"/>
          <w:highlight w:val="none"/>
        </w:rPr>
        <w:t>1.项目缺乏绩效目标，绩效指标设定不明确，影响实现预期绩效</w:t>
      </w:r>
    </w:p>
    <w:p>
      <w:pPr>
        <w:ind w:firstLine="560"/>
        <w:rPr>
          <w:rFonts w:cs="Times New Roman"/>
          <w:highlight w:val="none"/>
        </w:rPr>
      </w:pPr>
      <w:r>
        <w:rPr>
          <w:rFonts w:cs="Times New Roman"/>
          <w:highlight w:val="none"/>
        </w:rPr>
        <w:t>通过评价组对本项目的核查发现，专项资金实施期、2021和2022年均未设置绩效目标，仅2023年设置了绩效目标，同时，由于对绩效目标设定工作的认识不足，绩效指标设计比较模糊，不具有可衡量性。</w:t>
      </w:r>
    </w:p>
    <w:p>
      <w:pPr>
        <w:ind w:firstLine="560"/>
        <w:rPr>
          <w:rFonts w:cs="Times New Roman"/>
          <w:highlight w:val="none"/>
        </w:rPr>
      </w:pPr>
      <w:r>
        <w:rPr>
          <w:rFonts w:cs="Times New Roman"/>
          <w:highlight w:val="none"/>
        </w:rPr>
        <w:t>上述情况的发生，原因之一是项目单位预算绩效管理工作并未得到有效实施，事前未按照预算绩效管理制度对项目活动的产出与效果开展有效的剖析与解读；原因之二是项目单位对项目开展缺乏数据统筹意识，对于预算绩效管理的工作重要性认识不足，进而导致项目实施完成后，无法对其效益进行衡量。</w:t>
      </w:r>
    </w:p>
    <w:p>
      <w:pPr>
        <w:pStyle w:val="6"/>
        <w:rPr>
          <w:rFonts w:cs="Times New Roman"/>
          <w:b/>
          <w:bCs w:val="0"/>
          <w:highlight w:val="none"/>
        </w:rPr>
      </w:pPr>
      <w:r>
        <w:rPr>
          <w:rFonts w:cs="Times New Roman"/>
          <w:b/>
          <w:bCs w:val="0"/>
          <w:highlight w:val="none"/>
        </w:rPr>
        <w:t>2.部分项目申请延期，缺乏后续跟踪和监督落实</w:t>
      </w:r>
    </w:p>
    <w:p>
      <w:pPr>
        <w:ind w:firstLine="560"/>
        <w:rPr>
          <w:rFonts w:cs="Times New Roman"/>
          <w:highlight w:val="none"/>
        </w:rPr>
      </w:pPr>
      <w:r>
        <w:rPr>
          <w:rFonts w:cs="Times New Roman"/>
          <w:highlight w:val="none"/>
        </w:rPr>
        <w:t>通过评价组对本项目的核查发现，2022年，敦化市和临江市由于疫情影响，建筑主体未完工，申请延期。截止目前没有对敦化市和临江市涉及的3个项目进行验收。</w:t>
      </w:r>
    </w:p>
    <w:p>
      <w:pPr>
        <w:ind w:firstLine="560"/>
        <w:rPr>
          <w:rFonts w:cs="Times New Roman"/>
          <w:highlight w:val="none"/>
        </w:rPr>
      </w:pPr>
      <w:r>
        <w:rPr>
          <w:rFonts w:cs="Times New Roman"/>
          <w:highlight w:val="none"/>
        </w:rPr>
        <w:t>上述情况的发生，原因是在项目申报及评审验收的流程中缺乏跟踪机制，没有及时的跟进未完工项目，并相应进行验收等后继工作。</w:t>
      </w:r>
    </w:p>
    <w:p>
      <w:pPr>
        <w:pStyle w:val="4"/>
        <w:rPr>
          <w:rFonts w:cs="Times New Roman"/>
          <w:highlight w:val="none"/>
        </w:rPr>
      </w:pPr>
      <w:bookmarkStart w:id="24" w:name="_Toc136264995"/>
      <w:r>
        <w:rPr>
          <w:rFonts w:cs="Times New Roman"/>
          <w:highlight w:val="none"/>
        </w:rPr>
        <w:t>六、有关建议</w:t>
      </w:r>
      <w:bookmarkEnd w:id="24"/>
    </w:p>
    <w:p>
      <w:pPr>
        <w:pStyle w:val="6"/>
        <w:rPr>
          <w:rFonts w:cs="Times New Roman"/>
          <w:b/>
          <w:bCs w:val="0"/>
          <w:highlight w:val="none"/>
        </w:rPr>
      </w:pPr>
      <w:r>
        <w:rPr>
          <w:rFonts w:cs="Times New Roman"/>
          <w:b/>
          <w:bCs w:val="0"/>
          <w:highlight w:val="none"/>
        </w:rPr>
        <w:t>1.</w:t>
      </w:r>
      <w:r>
        <w:rPr>
          <w:rFonts w:cs="Times New Roman"/>
          <w:highlight w:val="none"/>
        </w:rPr>
        <w:t xml:space="preserve"> </w:t>
      </w:r>
      <w:r>
        <w:rPr>
          <w:rFonts w:cs="Times New Roman"/>
          <w:b/>
          <w:bCs w:val="0"/>
          <w:highlight w:val="none"/>
        </w:rPr>
        <w:t>加强目标填报管理，提升指标填报质量</w:t>
      </w:r>
    </w:p>
    <w:p>
      <w:pPr>
        <w:ind w:firstLine="560"/>
        <w:rPr>
          <w:rFonts w:cs="Times New Roman"/>
          <w:highlight w:val="none"/>
        </w:rPr>
      </w:pPr>
      <w:r>
        <w:rPr>
          <w:rFonts w:cs="Times New Roman"/>
          <w:highlight w:val="none"/>
        </w:rPr>
        <w:t>建议预算单位加强项目绩效目标填报工作的管理，组织相关人员开展绩效目标填报学习，开展相关培训，提升项目单位绩效目标填报水平。绩效目标填报人员应掌握项目支出绩效目标设置的要求，首先是分解细化指标，分析、归纳总体绩效目标，明确完成的工作任务，将其分解成多个子目标，细化任务清单。根据任务内容，分析投入资源、开展活动、质量标准、成本要求、产出内容、产生效果，设置绩效指标。其次是设置指标值，绩效指标选定后，应参考相关历史数据、行业标准、计划标准等，科学设定指标值。指标值的设定要在考虑可实现性的基础上，尽量从严、从高设定，以充分发挥绩效目标对预算编制执行的引导约束和控制作用。避免选用难以确定具体指标值、标准不明确或缺乏约束力的指标。</w:t>
      </w:r>
    </w:p>
    <w:p>
      <w:pPr>
        <w:pStyle w:val="6"/>
        <w:rPr>
          <w:rFonts w:cs="Times New Roman"/>
          <w:b/>
          <w:bCs w:val="0"/>
          <w:highlight w:val="none"/>
        </w:rPr>
      </w:pPr>
      <w:r>
        <w:rPr>
          <w:rFonts w:cs="Times New Roman"/>
          <w:b/>
          <w:bCs w:val="0"/>
          <w:highlight w:val="none"/>
        </w:rPr>
        <w:t>2.</w:t>
      </w:r>
      <w:r>
        <w:rPr>
          <w:rFonts w:cs="Times New Roman"/>
          <w:highlight w:val="none"/>
        </w:rPr>
        <w:t xml:space="preserve"> </w:t>
      </w:r>
      <w:r>
        <w:rPr>
          <w:rFonts w:cs="Times New Roman"/>
          <w:b/>
          <w:bCs w:val="0"/>
          <w:highlight w:val="none"/>
        </w:rPr>
        <w:t>完善项目管理全过程监管机制，提升资金使用效率</w:t>
      </w:r>
    </w:p>
    <w:p>
      <w:pPr>
        <w:ind w:firstLine="560"/>
        <w:rPr>
          <w:rFonts w:cs="Times New Roman"/>
          <w:highlight w:val="none"/>
        </w:rPr>
      </w:pPr>
      <w:r>
        <w:rPr>
          <w:rFonts w:cs="Times New Roman"/>
          <w:highlight w:val="none"/>
        </w:rPr>
        <w:t>建议市县层面建立健全专项资金运行的跟踪监管机制，随时掌握项目的进度和专项资金的使用情况。建立项目全过程监管机制或制度，在遇到疫情等不可控的因素或其他事件时，能够迅速有效的进行应对和补救，从而保证项目按计划实施。省级层面要做好抽查监督工作，保证专项资金的使用效率。</w:t>
      </w:r>
    </w:p>
    <w:p>
      <w:pPr>
        <w:pStyle w:val="6"/>
        <w:rPr>
          <w:rFonts w:cs="Times New Roman"/>
          <w:b/>
          <w:bCs w:val="0"/>
          <w:highlight w:val="none"/>
        </w:rPr>
      </w:pPr>
      <w:r>
        <w:rPr>
          <w:rFonts w:cs="Times New Roman"/>
          <w:b/>
          <w:bCs w:val="0"/>
          <w:highlight w:val="none"/>
        </w:rPr>
        <w:t>3.继续实施专项资金政策，推动全省新建建筑能效水平稳步提升</w:t>
      </w:r>
    </w:p>
    <w:p>
      <w:pPr>
        <w:ind w:firstLine="560"/>
        <w:rPr>
          <w:rFonts w:cs="Times New Roman"/>
          <w:highlight w:val="none"/>
        </w:rPr>
      </w:pPr>
      <w:r>
        <w:rPr>
          <w:rFonts w:cs="Times New Roman"/>
          <w:highlight w:val="none"/>
        </w:rPr>
        <w:t>专项资金政策实施以来，全省城镇绿色建筑面积占城镇新建建筑比重超过90%，达到全国平均值以上。新建建筑能效水平稳步提升。可再生能源建筑应用效益凸显。可再生能源技术应用能够大量减少二氧化硫、氮氧化物、二氧化碳、煤尘等排放，有利于加快调整能源结构，同时也节约大量的环境治理费用。冬季采暖期，居住建筑运行费用较集中供热降低5-10元/m</w:t>
      </w:r>
      <w:r>
        <w:rPr>
          <w:rFonts w:cs="Times New Roman"/>
          <w:highlight w:val="none"/>
          <w:vertAlign w:val="superscript"/>
        </w:rPr>
        <w:t>2</w:t>
      </w:r>
      <w:r>
        <w:rPr>
          <w:rFonts w:cs="Times New Roman"/>
          <w:highlight w:val="none"/>
        </w:rPr>
        <w:t>，公共建筑降低10-15元/m</w:t>
      </w:r>
      <w:r>
        <w:rPr>
          <w:rFonts w:cs="Times New Roman"/>
          <w:highlight w:val="none"/>
          <w:vertAlign w:val="superscript"/>
        </w:rPr>
        <w:t>2</w:t>
      </w:r>
      <w:r>
        <w:rPr>
          <w:rFonts w:cs="Times New Roman"/>
          <w:highlight w:val="none"/>
        </w:rPr>
        <w:t>；夏季制冷期，宾馆、办公楼等公共建筑制冷费用仅为4-10元/m</w:t>
      </w:r>
      <w:r>
        <w:rPr>
          <w:rFonts w:cs="Times New Roman"/>
          <w:highlight w:val="none"/>
          <w:vertAlign w:val="superscript"/>
        </w:rPr>
        <w:t>2</w:t>
      </w:r>
      <w:r>
        <w:rPr>
          <w:rFonts w:cs="Times New Roman"/>
          <w:highlight w:val="none"/>
        </w:rPr>
        <w:t>，较传统空调制冷系统降低4-8元/m</w:t>
      </w:r>
      <w:r>
        <w:rPr>
          <w:rFonts w:cs="Times New Roman"/>
          <w:highlight w:val="none"/>
          <w:vertAlign w:val="superscript"/>
        </w:rPr>
        <w:t>2</w:t>
      </w:r>
      <w:r>
        <w:rPr>
          <w:rFonts w:cs="Times New Roman"/>
          <w:highlight w:val="none"/>
        </w:rPr>
        <w:t>。</w:t>
      </w:r>
    </w:p>
    <w:p>
      <w:pPr>
        <w:ind w:firstLine="560"/>
        <w:rPr>
          <w:rFonts w:cs="Times New Roman"/>
          <w:highlight w:val="none"/>
        </w:rPr>
      </w:pPr>
      <w:r>
        <w:rPr>
          <w:rFonts w:cs="Times New Roman"/>
          <w:highlight w:val="none"/>
        </w:rPr>
        <w:t>因此，为了落实城乡建设领域碳达峰目标，进一步提升全省建筑能效水平，建议继续实施专项资金政策。</w:t>
      </w:r>
    </w:p>
    <w:p>
      <w:pPr>
        <w:pStyle w:val="4"/>
        <w:rPr>
          <w:rFonts w:cs="Times New Roman"/>
          <w:highlight w:val="none"/>
        </w:rPr>
      </w:pPr>
      <w:bookmarkStart w:id="25" w:name="_Toc136264996"/>
      <w:r>
        <w:rPr>
          <w:rFonts w:cs="Times New Roman"/>
          <w:highlight w:val="none"/>
        </w:rPr>
        <w:t>七、其他需要说明的问题</w:t>
      </w:r>
      <w:bookmarkEnd w:id="25"/>
    </w:p>
    <w:p>
      <w:pPr>
        <w:ind w:firstLine="560"/>
        <w:rPr>
          <w:rFonts w:cs="Times New Roman"/>
          <w:highlight w:val="none"/>
        </w:rPr>
        <w:sectPr>
          <w:pgSz w:w="11906" w:h="16838"/>
          <w:pgMar w:top="1440" w:right="1800" w:bottom="1440" w:left="1800" w:header="851" w:footer="992" w:gutter="0"/>
          <w:cols w:space="425" w:num="1"/>
          <w:docGrid w:type="lines" w:linePitch="312" w:charSpace="0"/>
        </w:sectPr>
      </w:pPr>
      <w:r>
        <w:rPr>
          <w:rFonts w:cs="Times New Roman"/>
          <w:highlight w:val="none"/>
        </w:rPr>
        <w:t>无。</w:t>
      </w:r>
    </w:p>
    <w:p>
      <w:pPr>
        <w:pStyle w:val="4"/>
        <w:rPr>
          <w:rFonts w:cs="Times New Roman"/>
          <w:highlight w:val="none"/>
        </w:rPr>
      </w:pPr>
      <w:bookmarkStart w:id="26" w:name="_Toc136264997"/>
      <w:r>
        <w:rPr>
          <w:rFonts w:cs="Times New Roman"/>
          <w:highlight w:val="none"/>
        </w:rPr>
        <w:t>附件1 项目绩效评价指标体系</w:t>
      </w:r>
      <w:bookmarkEnd w:id="26"/>
    </w:p>
    <w:tbl>
      <w:tblPr>
        <w:tblStyle w:val="21"/>
        <w:tblW w:w="13968" w:type="dxa"/>
        <w:tblInd w:w="0" w:type="dxa"/>
        <w:tblLayout w:type="fixed"/>
        <w:tblCellMar>
          <w:top w:w="0" w:type="dxa"/>
          <w:left w:w="0" w:type="dxa"/>
          <w:bottom w:w="0" w:type="dxa"/>
          <w:right w:w="0" w:type="dxa"/>
        </w:tblCellMar>
      </w:tblPr>
      <w:tblGrid>
        <w:gridCol w:w="739"/>
        <w:gridCol w:w="661"/>
        <w:gridCol w:w="695"/>
        <w:gridCol w:w="697"/>
        <w:gridCol w:w="1119"/>
        <w:gridCol w:w="706"/>
        <w:gridCol w:w="870"/>
        <w:gridCol w:w="815"/>
        <w:gridCol w:w="2349"/>
        <w:gridCol w:w="1134"/>
        <w:gridCol w:w="2601"/>
        <w:gridCol w:w="1031"/>
        <w:gridCol w:w="551"/>
      </w:tblGrid>
      <w:tr>
        <w:tblPrEx>
          <w:tblLayout w:type="fixed"/>
          <w:tblCellMar>
            <w:top w:w="0" w:type="dxa"/>
            <w:left w:w="0" w:type="dxa"/>
            <w:bottom w:w="0" w:type="dxa"/>
            <w:right w:w="0" w:type="dxa"/>
          </w:tblCellMar>
        </w:tblPrEx>
        <w:trPr>
          <w:tblHeader/>
        </w:trPr>
        <w:tc>
          <w:tcPr>
            <w:tcW w:w="739"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spacing w:line="320" w:lineRule="exact"/>
              <w:ind w:firstLine="0" w:firstLineChars="0"/>
              <w:jc w:val="center"/>
              <w:rPr>
                <w:rFonts w:cs="Times New Roman"/>
                <w:b/>
                <w:bCs/>
                <w:kern w:val="0"/>
                <w:sz w:val="24"/>
                <w:szCs w:val="24"/>
                <w:highlight w:val="none"/>
              </w:rPr>
            </w:pPr>
            <w:r>
              <w:rPr>
                <w:rFonts w:cs="Times New Roman"/>
                <w:b/>
                <w:bCs/>
                <w:kern w:val="0"/>
                <w:sz w:val="24"/>
                <w:szCs w:val="24"/>
                <w:highlight w:val="none"/>
              </w:rPr>
              <w:t>一级指标</w:t>
            </w:r>
          </w:p>
        </w:tc>
        <w:tc>
          <w:tcPr>
            <w:tcW w:w="661" w:type="dxa"/>
            <w:tcBorders>
              <w:top w:val="single" w:color="auto" w:sz="4" w:space="0"/>
              <w:left w:val="nil"/>
              <w:bottom w:val="single" w:color="auto" w:sz="4" w:space="0"/>
              <w:right w:val="single" w:color="auto" w:sz="4" w:space="0"/>
            </w:tcBorders>
            <w:shd w:val="clear" w:color="000000" w:fill="BFBFBF"/>
            <w:vAlign w:val="center"/>
          </w:tcPr>
          <w:p>
            <w:pPr>
              <w:widowControl/>
              <w:spacing w:line="320" w:lineRule="exact"/>
              <w:ind w:firstLine="0" w:firstLineChars="0"/>
              <w:jc w:val="center"/>
              <w:rPr>
                <w:rFonts w:cs="Times New Roman"/>
                <w:b/>
                <w:bCs/>
                <w:kern w:val="0"/>
                <w:sz w:val="24"/>
                <w:szCs w:val="24"/>
                <w:highlight w:val="none"/>
              </w:rPr>
            </w:pPr>
            <w:r>
              <w:rPr>
                <w:rFonts w:cs="Times New Roman"/>
                <w:b/>
                <w:bCs/>
                <w:kern w:val="0"/>
                <w:sz w:val="24"/>
                <w:szCs w:val="24"/>
                <w:highlight w:val="none"/>
              </w:rPr>
              <w:t>二级指标</w:t>
            </w:r>
          </w:p>
        </w:tc>
        <w:tc>
          <w:tcPr>
            <w:tcW w:w="695" w:type="dxa"/>
            <w:tcBorders>
              <w:top w:val="single" w:color="auto" w:sz="4" w:space="0"/>
              <w:left w:val="nil"/>
              <w:bottom w:val="single" w:color="auto" w:sz="4" w:space="0"/>
              <w:right w:val="single" w:color="auto" w:sz="4" w:space="0"/>
            </w:tcBorders>
            <w:shd w:val="clear" w:color="000000" w:fill="BFBFBF"/>
            <w:vAlign w:val="center"/>
          </w:tcPr>
          <w:p>
            <w:pPr>
              <w:widowControl/>
              <w:spacing w:line="320" w:lineRule="exact"/>
              <w:ind w:firstLine="0" w:firstLineChars="0"/>
              <w:jc w:val="center"/>
              <w:rPr>
                <w:rFonts w:cs="Times New Roman"/>
                <w:b/>
                <w:bCs/>
                <w:kern w:val="0"/>
                <w:sz w:val="24"/>
                <w:szCs w:val="24"/>
                <w:highlight w:val="none"/>
              </w:rPr>
            </w:pPr>
            <w:r>
              <w:rPr>
                <w:rFonts w:cs="Times New Roman"/>
                <w:b/>
                <w:bCs/>
                <w:kern w:val="0"/>
                <w:sz w:val="24"/>
                <w:szCs w:val="24"/>
                <w:highlight w:val="none"/>
              </w:rPr>
              <w:t>三级指标</w:t>
            </w:r>
          </w:p>
        </w:tc>
        <w:tc>
          <w:tcPr>
            <w:tcW w:w="697" w:type="dxa"/>
            <w:tcBorders>
              <w:top w:val="single" w:color="auto" w:sz="4" w:space="0"/>
              <w:left w:val="nil"/>
              <w:bottom w:val="single" w:color="auto" w:sz="4" w:space="0"/>
              <w:right w:val="single" w:color="auto" w:sz="4" w:space="0"/>
            </w:tcBorders>
            <w:shd w:val="clear" w:color="000000" w:fill="BFBFBF"/>
            <w:vAlign w:val="center"/>
          </w:tcPr>
          <w:p>
            <w:pPr>
              <w:widowControl/>
              <w:spacing w:line="320" w:lineRule="exact"/>
              <w:ind w:firstLine="0" w:firstLineChars="0"/>
              <w:jc w:val="center"/>
              <w:rPr>
                <w:rFonts w:cs="Times New Roman"/>
                <w:b/>
                <w:bCs/>
                <w:kern w:val="0"/>
                <w:sz w:val="24"/>
                <w:szCs w:val="24"/>
                <w:highlight w:val="none"/>
              </w:rPr>
            </w:pPr>
            <w:r>
              <w:rPr>
                <w:rFonts w:cs="Times New Roman"/>
                <w:b/>
                <w:bCs/>
                <w:kern w:val="0"/>
                <w:sz w:val="24"/>
                <w:szCs w:val="24"/>
                <w:highlight w:val="none"/>
              </w:rPr>
              <w:t>权重</w:t>
            </w:r>
          </w:p>
        </w:tc>
        <w:tc>
          <w:tcPr>
            <w:tcW w:w="1119" w:type="dxa"/>
            <w:tcBorders>
              <w:top w:val="single" w:color="auto" w:sz="4" w:space="0"/>
              <w:left w:val="nil"/>
              <w:bottom w:val="single" w:color="auto" w:sz="4" w:space="0"/>
              <w:right w:val="single" w:color="auto" w:sz="4" w:space="0"/>
            </w:tcBorders>
            <w:shd w:val="clear" w:color="000000" w:fill="BFBFBF"/>
            <w:vAlign w:val="center"/>
          </w:tcPr>
          <w:p>
            <w:pPr>
              <w:widowControl/>
              <w:spacing w:line="320" w:lineRule="exact"/>
              <w:ind w:firstLine="0" w:firstLineChars="0"/>
              <w:jc w:val="center"/>
              <w:rPr>
                <w:rFonts w:cs="Times New Roman"/>
                <w:b/>
                <w:bCs/>
                <w:kern w:val="0"/>
                <w:sz w:val="24"/>
                <w:szCs w:val="24"/>
                <w:highlight w:val="none"/>
              </w:rPr>
            </w:pPr>
            <w:r>
              <w:rPr>
                <w:rFonts w:cs="Times New Roman"/>
                <w:b/>
                <w:bCs/>
                <w:kern w:val="0"/>
                <w:sz w:val="24"/>
                <w:szCs w:val="24"/>
                <w:highlight w:val="none"/>
              </w:rPr>
              <w:t>指标解释</w:t>
            </w:r>
          </w:p>
        </w:tc>
        <w:tc>
          <w:tcPr>
            <w:tcW w:w="706" w:type="dxa"/>
            <w:tcBorders>
              <w:top w:val="single" w:color="auto" w:sz="4" w:space="0"/>
              <w:left w:val="nil"/>
              <w:bottom w:val="single" w:color="auto" w:sz="4" w:space="0"/>
              <w:right w:val="single" w:color="auto" w:sz="4" w:space="0"/>
            </w:tcBorders>
            <w:shd w:val="clear" w:color="000000" w:fill="BFBFBF"/>
            <w:vAlign w:val="center"/>
          </w:tcPr>
          <w:p>
            <w:pPr>
              <w:widowControl/>
              <w:spacing w:line="320" w:lineRule="exact"/>
              <w:ind w:firstLine="0" w:firstLineChars="0"/>
              <w:jc w:val="center"/>
              <w:rPr>
                <w:rFonts w:cs="Times New Roman"/>
                <w:b/>
                <w:bCs/>
                <w:kern w:val="0"/>
                <w:sz w:val="24"/>
                <w:szCs w:val="24"/>
                <w:highlight w:val="none"/>
              </w:rPr>
            </w:pPr>
            <w:r>
              <w:rPr>
                <w:rFonts w:cs="Times New Roman"/>
                <w:b/>
                <w:bCs/>
                <w:kern w:val="0"/>
                <w:sz w:val="24"/>
                <w:szCs w:val="24"/>
                <w:highlight w:val="none"/>
              </w:rPr>
              <w:t>指标公式</w:t>
            </w:r>
          </w:p>
        </w:tc>
        <w:tc>
          <w:tcPr>
            <w:tcW w:w="870" w:type="dxa"/>
            <w:tcBorders>
              <w:top w:val="single" w:color="auto" w:sz="4" w:space="0"/>
              <w:left w:val="nil"/>
              <w:bottom w:val="single" w:color="auto" w:sz="4" w:space="0"/>
              <w:right w:val="single" w:color="auto" w:sz="4" w:space="0"/>
            </w:tcBorders>
            <w:shd w:val="clear" w:color="000000" w:fill="BFBFBF"/>
            <w:vAlign w:val="center"/>
          </w:tcPr>
          <w:p>
            <w:pPr>
              <w:widowControl/>
              <w:spacing w:line="320" w:lineRule="exact"/>
              <w:ind w:firstLine="0" w:firstLineChars="0"/>
              <w:jc w:val="center"/>
              <w:rPr>
                <w:rFonts w:cs="Times New Roman"/>
                <w:b/>
                <w:bCs/>
                <w:kern w:val="0"/>
                <w:sz w:val="24"/>
                <w:szCs w:val="24"/>
                <w:highlight w:val="none"/>
              </w:rPr>
            </w:pPr>
            <w:r>
              <w:rPr>
                <w:rFonts w:cs="Times New Roman"/>
                <w:b/>
                <w:bCs/>
                <w:kern w:val="0"/>
                <w:sz w:val="24"/>
                <w:szCs w:val="24"/>
                <w:highlight w:val="none"/>
              </w:rPr>
              <w:t>目标值</w:t>
            </w:r>
          </w:p>
        </w:tc>
        <w:tc>
          <w:tcPr>
            <w:tcW w:w="815" w:type="dxa"/>
            <w:tcBorders>
              <w:top w:val="single" w:color="auto" w:sz="4" w:space="0"/>
              <w:left w:val="nil"/>
              <w:bottom w:val="single" w:color="auto" w:sz="4" w:space="0"/>
              <w:right w:val="single" w:color="auto" w:sz="4" w:space="0"/>
            </w:tcBorders>
            <w:shd w:val="clear" w:color="000000" w:fill="BFBFBF"/>
            <w:vAlign w:val="center"/>
          </w:tcPr>
          <w:p>
            <w:pPr>
              <w:widowControl/>
              <w:spacing w:line="320" w:lineRule="exact"/>
              <w:ind w:firstLine="0" w:firstLineChars="0"/>
              <w:jc w:val="center"/>
              <w:rPr>
                <w:rFonts w:cs="Times New Roman"/>
                <w:b/>
                <w:bCs/>
                <w:kern w:val="0"/>
                <w:sz w:val="24"/>
                <w:szCs w:val="24"/>
                <w:highlight w:val="none"/>
              </w:rPr>
            </w:pPr>
            <w:r>
              <w:rPr>
                <w:rFonts w:cs="Times New Roman"/>
                <w:b/>
                <w:bCs/>
                <w:kern w:val="0"/>
                <w:sz w:val="24"/>
                <w:szCs w:val="24"/>
                <w:highlight w:val="none"/>
              </w:rPr>
              <w:t>评分依据</w:t>
            </w:r>
          </w:p>
        </w:tc>
        <w:tc>
          <w:tcPr>
            <w:tcW w:w="2349" w:type="dxa"/>
            <w:tcBorders>
              <w:top w:val="single" w:color="auto" w:sz="4" w:space="0"/>
              <w:left w:val="nil"/>
              <w:bottom w:val="single" w:color="auto" w:sz="4" w:space="0"/>
              <w:right w:val="single" w:color="auto" w:sz="4" w:space="0"/>
            </w:tcBorders>
            <w:shd w:val="clear" w:color="000000" w:fill="BFBFBF"/>
            <w:vAlign w:val="center"/>
          </w:tcPr>
          <w:p>
            <w:pPr>
              <w:widowControl/>
              <w:spacing w:line="320" w:lineRule="exact"/>
              <w:ind w:firstLine="0" w:firstLineChars="0"/>
              <w:jc w:val="center"/>
              <w:rPr>
                <w:rFonts w:cs="Times New Roman"/>
                <w:b/>
                <w:bCs/>
                <w:kern w:val="0"/>
                <w:sz w:val="24"/>
                <w:szCs w:val="24"/>
                <w:highlight w:val="none"/>
              </w:rPr>
            </w:pPr>
            <w:r>
              <w:rPr>
                <w:rFonts w:cs="Times New Roman"/>
                <w:b/>
                <w:bCs/>
                <w:kern w:val="0"/>
                <w:sz w:val="24"/>
                <w:szCs w:val="24"/>
                <w:highlight w:val="none"/>
              </w:rPr>
              <w:t>评分标准</w:t>
            </w:r>
          </w:p>
        </w:tc>
        <w:tc>
          <w:tcPr>
            <w:tcW w:w="1134" w:type="dxa"/>
            <w:tcBorders>
              <w:top w:val="single" w:color="auto" w:sz="4" w:space="0"/>
              <w:left w:val="nil"/>
              <w:bottom w:val="single" w:color="auto" w:sz="4" w:space="0"/>
              <w:right w:val="single" w:color="auto" w:sz="4" w:space="0"/>
            </w:tcBorders>
            <w:shd w:val="clear" w:color="000000" w:fill="BFBFBF"/>
            <w:vAlign w:val="center"/>
          </w:tcPr>
          <w:p>
            <w:pPr>
              <w:widowControl/>
              <w:spacing w:line="320" w:lineRule="exact"/>
              <w:ind w:firstLine="0" w:firstLineChars="0"/>
              <w:jc w:val="center"/>
              <w:rPr>
                <w:rFonts w:cs="Times New Roman"/>
                <w:b/>
                <w:bCs/>
                <w:kern w:val="0"/>
                <w:sz w:val="24"/>
                <w:szCs w:val="24"/>
                <w:highlight w:val="none"/>
              </w:rPr>
            </w:pPr>
            <w:r>
              <w:rPr>
                <w:rFonts w:cs="Times New Roman"/>
                <w:b/>
                <w:bCs/>
                <w:kern w:val="0"/>
                <w:sz w:val="24"/>
                <w:szCs w:val="24"/>
                <w:highlight w:val="none"/>
              </w:rPr>
              <w:t>数据来源</w:t>
            </w:r>
          </w:p>
        </w:tc>
        <w:tc>
          <w:tcPr>
            <w:tcW w:w="2601" w:type="dxa"/>
            <w:tcBorders>
              <w:top w:val="single" w:color="auto" w:sz="4" w:space="0"/>
              <w:left w:val="nil"/>
              <w:bottom w:val="single" w:color="auto" w:sz="4" w:space="0"/>
              <w:right w:val="single" w:color="auto" w:sz="4" w:space="0"/>
            </w:tcBorders>
            <w:shd w:val="clear" w:color="000000" w:fill="BFBFBF"/>
            <w:vAlign w:val="center"/>
          </w:tcPr>
          <w:p>
            <w:pPr>
              <w:widowControl/>
              <w:spacing w:line="320" w:lineRule="exact"/>
              <w:ind w:firstLine="0" w:firstLineChars="0"/>
              <w:jc w:val="center"/>
              <w:rPr>
                <w:rFonts w:cs="Times New Roman"/>
                <w:b/>
                <w:bCs/>
                <w:kern w:val="0"/>
                <w:sz w:val="24"/>
                <w:szCs w:val="24"/>
                <w:highlight w:val="none"/>
              </w:rPr>
            </w:pPr>
            <w:r>
              <w:rPr>
                <w:rFonts w:cs="Times New Roman"/>
                <w:b/>
                <w:bCs/>
                <w:kern w:val="0"/>
                <w:sz w:val="24"/>
                <w:szCs w:val="24"/>
                <w:highlight w:val="none"/>
              </w:rPr>
              <w:t>指标评分计算过程及依据</w:t>
            </w:r>
          </w:p>
        </w:tc>
        <w:tc>
          <w:tcPr>
            <w:tcW w:w="1031" w:type="dxa"/>
            <w:tcBorders>
              <w:top w:val="single" w:color="auto" w:sz="4" w:space="0"/>
              <w:left w:val="nil"/>
              <w:bottom w:val="single" w:color="auto" w:sz="4" w:space="0"/>
              <w:right w:val="single" w:color="auto" w:sz="4" w:space="0"/>
            </w:tcBorders>
            <w:shd w:val="clear" w:color="000000" w:fill="BFBFBF"/>
            <w:vAlign w:val="center"/>
          </w:tcPr>
          <w:p>
            <w:pPr>
              <w:widowControl/>
              <w:spacing w:line="320" w:lineRule="exact"/>
              <w:ind w:firstLine="0" w:firstLineChars="0"/>
              <w:jc w:val="center"/>
              <w:rPr>
                <w:rFonts w:cs="Times New Roman"/>
                <w:b/>
                <w:bCs/>
                <w:kern w:val="0"/>
                <w:sz w:val="24"/>
                <w:szCs w:val="24"/>
                <w:highlight w:val="none"/>
              </w:rPr>
            </w:pPr>
            <w:r>
              <w:rPr>
                <w:rFonts w:cs="Times New Roman"/>
                <w:b/>
                <w:bCs/>
                <w:kern w:val="0"/>
                <w:sz w:val="24"/>
                <w:szCs w:val="24"/>
                <w:highlight w:val="none"/>
              </w:rPr>
              <w:t>得分率</w:t>
            </w:r>
          </w:p>
        </w:tc>
        <w:tc>
          <w:tcPr>
            <w:tcW w:w="551" w:type="dxa"/>
            <w:tcBorders>
              <w:top w:val="single" w:color="auto" w:sz="4" w:space="0"/>
              <w:left w:val="nil"/>
              <w:bottom w:val="single" w:color="auto" w:sz="4" w:space="0"/>
              <w:right w:val="single" w:color="auto" w:sz="4" w:space="0"/>
            </w:tcBorders>
            <w:shd w:val="clear" w:color="000000" w:fill="BFBFBF"/>
            <w:vAlign w:val="center"/>
          </w:tcPr>
          <w:p>
            <w:pPr>
              <w:widowControl/>
              <w:spacing w:line="320" w:lineRule="exact"/>
              <w:ind w:firstLine="0" w:firstLineChars="0"/>
              <w:jc w:val="center"/>
              <w:rPr>
                <w:rFonts w:cs="Times New Roman"/>
                <w:b/>
                <w:bCs/>
                <w:kern w:val="0"/>
                <w:sz w:val="24"/>
                <w:szCs w:val="24"/>
                <w:highlight w:val="none"/>
              </w:rPr>
            </w:pPr>
            <w:r>
              <w:rPr>
                <w:rFonts w:cs="Times New Roman"/>
                <w:b/>
                <w:bCs/>
                <w:kern w:val="0"/>
                <w:sz w:val="24"/>
                <w:szCs w:val="24"/>
                <w:highlight w:val="none"/>
              </w:rPr>
              <w:t>得分</w:t>
            </w:r>
          </w:p>
        </w:tc>
      </w:tr>
      <w:tr>
        <w:tblPrEx>
          <w:tblLayout w:type="fixed"/>
          <w:tblCellMar>
            <w:top w:w="0" w:type="dxa"/>
            <w:left w:w="0" w:type="dxa"/>
            <w:bottom w:w="0" w:type="dxa"/>
            <w:right w:w="0" w:type="dxa"/>
          </w:tblCellMar>
        </w:tblPrEx>
        <w:trPr>
          <w:trHeight w:val="312" w:hRule="atLeast"/>
        </w:trPr>
        <w:tc>
          <w:tcPr>
            <w:tcW w:w="739"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A 项目决策</w:t>
            </w:r>
          </w:p>
        </w:tc>
        <w:tc>
          <w:tcPr>
            <w:tcW w:w="66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9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20</w:t>
            </w:r>
          </w:p>
        </w:tc>
        <w:tc>
          <w:tcPr>
            <w:tcW w:w="111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70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87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81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23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260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2"/>
                <w:highlight w:val="none"/>
              </w:rPr>
            </w:pPr>
          </w:p>
        </w:tc>
        <w:tc>
          <w:tcPr>
            <w:tcW w:w="103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81.00%</w:t>
            </w:r>
          </w:p>
        </w:tc>
        <w:tc>
          <w:tcPr>
            <w:tcW w:w="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16.2</w:t>
            </w:r>
          </w:p>
        </w:tc>
      </w:tr>
      <w:tr>
        <w:tblPrEx>
          <w:tblLayout w:type="fixed"/>
          <w:tblCellMar>
            <w:top w:w="0" w:type="dxa"/>
            <w:left w:w="0" w:type="dxa"/>
            <w:bottom w:w="0" w:type="dxa"/>
            <w:right w:w="0" w:type="dxa"/>
          </w:tblCellMar>
        </w:tblPrEx>
        <w:trPr>
          <w:trHeight w:val="312" w:hRule="atLeast"/>
        </w:trPr>
        <w:tc>
          <w:tcPr>
            <w:tcW w:w="739"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6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A1 项目立项</w:t>
            </w:r>
          </w:p>
        </w:tc>
        <w:tc>
          <w:tcPr>
            <w:tcW w:w="69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8</w:t>
            </w:r>
          </w:p>
        </w:tc>
        <w:tc>
          <w:tcPr>
            <w:tcW w:w="111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70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87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81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23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260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2"/>
                <w:highlight w:val="none"/>
              </w:rPr>
            </w:pPr>
          </w:p>
        </w:tc>
        <w:tc>
          <w:tcPr>
            <w:tcW w:w="103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8</w:t>
            </w:r>
          </w:p>
        </w:tc>
      </w:tr>
      <w:tr>
        <w:tblPrEx>
          <w:tblLayout w:type="fixed"/>
          <w:tblCellMar>
            <w:top w:w="0" w:type="dxa"/>
            <w:left w:w="0" w:type="dxa"/>
            <w:bottom w:w="0" w:type="dxa"/>
            <w:right w:w="0" w:type="dxa"/>
          </w:tblCellMar>
        </w:tblPrEx>
        <w:trPr>
          <w:trHeight w:val="3305" w:hRule="atLeast"/>
        </w:trPr>
        <w:tc>
          <w:tcPr>
            <w:tcW w:w="739"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6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9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A101 立项依据充分性</w:t>
            </w:r>
          </w:p>
        </w:tc>
        <w:tc>
          <w:tcPr>
            <w:tcW w:w="6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c>
          <w:tcPr>
            <w:tcW w:w="111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考察项目立项是否符合法律法规、相关政策、发展规划以及部门职责，用以反映和考核项目立项依据情况。</w:t>
            </w:r>
          </w:p>
        </w:tc>
        <w:tc>
          <w:tcPr>
            <w:tcW w:w="70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w:t>
            </w:r>
          </w:p>
        </w:tc>
        <w:tc>
          <w:tcPr>
            <w:tcW w:w="87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充分</w:t>
            </w:r>
          </w:p>
        </w:tc>
        <w:tc>
          <w:tcPr>
            <w:tcW w:w="81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通用标准</w:t>
            </w:r>
          </w:p>
        </w:tc>
        <w:tc>
          <w:tcPr>
            <w:tcW w:w="23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本项目</w:t>
            </w:r>
            <w:r>
              <w:rPr>
                <w:rFonts w:hint="eastAsia" w:ascii="宋体" w:hAnsi="宋体" w:eastAsia="宋体" w:cs="宋体"/>
                <w:kern w:val="0"/>
                <w:sz w:val="24"/>
                <w:szCs w:val="24"/>
                <w:highlight w:val="none"/>
              </w:rPr>
              <w:t>①</w:t>
            </w:r>
            <w:r>
              <w:rPr>
                <w:rFonts w:cs="Times New Roman"/>
                <w:kern w:val="0"/>
                <w:sz w:val="24"/>
                <w:szCs w:val="24"/>
                <w:highlight w:val="none"/>
              </w:rPr>
              <w:t>立项符合国家法律法规、国民经济发展规划和相关政策；</w:t>
            </w:r>
            <w:r>
              <w:rPr>
                <w:rFonts w:hint="eastAsia" w:ascii="宋体" w:hAnsi="宋体" w:eastAsia="宋体" w:cs="宋体"/>
                <w:kern w:val="0"/>
                <w:sz w:val="24"/>
                <w:szCs w:val="24"/>
                <w:highlight w:val="none"/>
              </w:rPr>
              <w:t>②</w:t>
            </w:r>
            <w:r>
              <w:rPr>
                <w:rFonts w:cs="Times New Roman"/>
                <w:kern w:val="0"/>
                <w:sz w:val="24"/>
                <w:szCs w:val="24"/>
                <w:highlight w:val="none"/>
              </w:rPr>
              <w:t>立项符合地区行业发展规划和相关政策要求；</w:t>
            </w:r>
            <w:r>
              <w:rPr>
                <w:rFonts w:hint="eastAsia" w:ascii="宋体" w:hAnsi="宋体" w:eastAsia="宋体" w:cs="宋体"/>
                <w:kern w:val="0"/>
                <w:sz w:val="24"/>
                <w:szCs w:val="24"/>
                <w:highlight w:val="none"/>
              </w:rPr>
              <w:t>③</w:t>
            </w:r>
            <w:r>
              <w:rPr>
                <w:rFonts w:cs="Times New Roman"/>
                <w:kern w:val="0"/>
                <w:sz w:val="24"/>
                <w:szCs w:val="24"/>
                <w:highlight w:val="none"/>
              </w:rPr>
              <w:t>立项与预算单位职责范围相符，属于部门履职所需；</w:t>
            </w:r>
            <w:r>
              <w:rPr>
                <w:rFonts w:hint="eastAsia" w:ascii="宋体" w:hAnsi="宋体" w:eastAsia="宋体" w:cs="宋体"/>
                <w:kern w:val="0"/>
                <w:sz w:val="24"/>
                <w:szCs w:val="24"/>
                <w:highlight w:val="none"/>
              </w:rPr>
              <w:t>④</w:t>
            </w:r>
            <w:r>
              <w:rPr>
                <w:rFonts w:cs="Times New Roman"/>
                <w:kern w:val="0"/>
                <w:sz w:val="24"/>
                <w:szCs w:val="24"/>
                <w:highlight w:val="none"/>
              </w:rPr>
              <w:t>属于公共财政支持范围；</w:t>
            </w:r>
            <w:r>
              <w:rPr>
                <w:rFonts w:hint="eastAsia" w:ascii="宋体" w:hAnsi="宋体" w:eastAsia="宋体" w:cs="宋体"/>
                <w:kern w:val="0"/>
                <w:sz w:val="24"/>
                <w:szCs w:val="24"/>
                <w:highlight w:val="none"/>
              </w:rPr>
              <w:t>⑤</w:t>
            </w:r>
            <w:r>
              <w:rPr>
                <w:rFonts w:cs="Times New Roman"/>
                <w:kern w:val="0"/>
                <w:sz w:val="24"/>
                <w:szCs w:val="24"/>
                <w:highlight w:val="none"/>
              </w:rPr>
              <w:t>与相关部门同类项目或部门内部相关项目不重复。以上五项各占20%权重分，符合则得对应权重分。该指标仅考核项目整体省级立项层面。</w:t>
            </w:r>
          </w:p>
        </w:tc>
        <w:tc>
          <w:tcPr>
            <w:tcW w:w="113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相关政策规划文件、部门三定方案、部门中长期规划、年度工作计划、年度项目清单等</w:t>
            </w:r>
          </w:p>
        </w:tc>
        <w:tc>
          <w:tcPr>
            <w:tcW w:w="260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该项指标权重分为4分，实际得分4分。具体依据为：第一，本项目立项符合习近平生态文明思想和党的十九大精神关于“在全社会开展绿色生活创建行动”的要求，同时符合发改委2019年发布的《绿色生活创建行动总体方案》和2020年住建部等国家7部发布的《绿色建筑创建行动方案》的要求，因此项目立项符合国家法律法规、国民经济发展规划和相关政策，该项要素得0.8分。第二，本项目立项符合吉林省住建厅等7部门制定并印发的《吉林省绿色建筑创建实施方案》中关于“全省城镇新建建筑中绿色建筑面积占比持续提高”的要求，因此项目立项符合地区行业发展规划和相关政策要求，该项要素得0.8分。第三，专项资金由省财政厅、省</w:t>
            </w:r>
            <w:r>
              <w:rPr>
                <w:rFonts w:hint="eastAsia" w:cs="Times New Roman"/>
                <w:kern w:val="0"/>
                <w:sz w:val="24"/>
                <w:szCs w:val="24"/>
                <w:highlight w:val="none"/>
                <w:lang w:eastAsia="zh-CN"/>
              </w:rPr>
              <w:t>住建</w:t>
            </w:r>
            <w:r>
              <w:rPr>
                <w:rFonts w:cs="Times New Roman"/>
                <w:kern w:val="0"/>
                <w:sz w:val="24"/>
                <w:szCs w:val="24"/>
                <w:highlight w:val="none"/>
              </w:rPr>
              <w:t>厅共同管理，省财政厅职责：负责筹措安排年度奖补资金，制定资金管理办法，下达年度资金支出预算，省住房城乡建设厅职责：负责组织项目申报、评审，提出专项资金实施周期和年度绩效目标、监督项目实施，督促建设单位开展能效测评，组织开展绩效自评、项目绩效评价和专项验收，做好信息公开工作。立项与预算单位职责范围相符，属于部门履职所需。该项要素得0.8分。第四，本项目在公共财政支持范围内，该项要素得0.8分。第五，经评价组核查，项目与吉林省财政厅和省住建厅等相关项目不重复。因此，项目与与相关部门同类项目或部门内部相关项目不重复。该项要素得0.8分。综上，根据评分标准，该项指标得100%权重分。</w:t>
            </w:r>
          </w:p>
        </w:tc>
        <w:tc>
          <w:tcPr>
            <w:tcW w:w="103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r>
      <w:tr>
        <w:tblPrEx>
          <w:tblLayout w:type="fixed"/>
          <w:tblCellMar>
            <w:top w:w="0" w:type="dxa"/>
            <w:left w:w="0" w:type="dxa"/>
            <w:bottom w:w="0" w:type="dxa"/>
            <w:right w:w="0" w:type="dxa"/>
          </w:tblCellMar>
        </w:tblPrEx>
        <w:trPr>
          <w:trHeight w:val="1321" w:hRule="atLeast"/>
        </w:trPr>
        <w:tc>
          <w:tcPr>
            <w:tcW w:w="739"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6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9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A102 立项程序规范性</w:t>
            </w:r>
          </w:p>
        </w:tc>
        <w:tc>
          <w:tcPr>
            <w:tcW w:w="6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c>
          <w:tcPr>
            <w:tcW w:w="111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考察项目申请、设立过程是否符 合相关要求，用以反映和考核项目立项的规范情况。</w:t>
            </w:r>
          </w:p>
        </w:tc>
        <w:tc>
          <w:tcPr>
            <w:tcW w:w="70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w:t>
            </w:r>
          </w:p>
        </w:tc>
        <w:tc>
          <w:tcPr>
            <w:tcW w:w="87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规范</w:t>
            </w:r>
          </w:p>
        </w:tc>
        <w:tc>
          <w:tcPr>
            <w:tcW w:w="81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通用标准</w:t>
            </w:r>
          </w:p>
        </w:tc>
        <w:tc>
          <w:tcPr>
            <w:tcW w:w="23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本项目</w:t>
            </w:r>
            <w:r>
              <w:rPr>
                <w:rFonts w:hint="eastAsia" w:ascii="宋体" w:hAnsi="宋体" w:eastAsia="宋体" w:cs="宋体"/>
                <w:kern w:val="0"/>
                <w:sz w:val="24"/>
                <w:szCs w:val="24"/>
                <w:highlight w:val="none"/>
              </w:rPr>
              <w:t>①</w:t>
            </w:r>
            <w:r>
              <w:rPr>
                <w:rFonts w:cs="Times New Roman"/>
                <w:kern w:val="0"/>
                <w:sz w:val="24"/>
                <w:szCs w:val="24"/>
                <w:highlight w:val="none"/>
              </w:rPr>
              <w:t>按照规定的程序申请设立；</w:t>
            </w:r>
            <w:r>
              <w:rPr>
                <w:rFonts w:hint="eastAsia" w:ascii="宋体" w:hAnsi="宋体" w:eastAsia="宋体" w:cs="宋体"/>
                <w:kern w:val="0"/>
                <w:sz w:val="24"/>
                <w:szCs w:val="24"/>
                <w:highlight w:val="none"/>
              </w:rPr>
              <w:t>②</w:t>
            </w:r>
            <w:r>
              <w:rPr>
                <w:rFonts w:cs="Times New Roman"/>
                <w:kern w:val="0"/>
                <w:sz w:val="24"/>
                <w:szCs w:val="24"/>
                <w:highlight w:val="none"/>
              </w:rPr>
              <w:t>申请材料、审批材料符合相关要求；</w:t>
            </w:r>
            <w:r>
              <w:rPr>
                <w:rFonts w:hint="eastAsia" w:ascii="宋体" w:hAnsi="宋体" w:eastAsia="宋体" w:cs="宋体"/>
                <w:kern w:val="0"/>
                <w:sz w:val="24"/>
                <w:szCs w:val="24"/>
                <w:highlight w:val="none"/>
              </w:rPr>
              <w:t>③</w:t>
            </w:r>
            <w:r>
              <w:rPr>
                <w:rFonts w:cs="Times New Roman"/>
                <w:kern w:val="0"/>
                <w:sz w:val="24"/>
                <w:szCs w:val="24"/>
                <w:highlight w:val="none"/>
              </w:rPr>
              <w:t>事前己经过必要的可行性研究、专家论证、风险评估、绩效评估、 集体决策。以上三项各占1/3权重分，符合则得对应权重分。该指标仅考核项目整体省级立项层面。</w:t>
            </w:r>
          </w:p>
        </w:tc>
        <w:tc>
          <w:tcPr>
            <w:tcW w:w="113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立项文件、会议纪要</w:t>
            </w:r>
          </w:p>
        </w:tc>
        <w:tc>
          <w:tcPr>
            <w:tcW w:w="260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该项指标权重分为4分，实际得分4分。具体依据为：第一，按照《吉林省省级财政专项资金管理办法》（吉政发〔2014〕10号）第十条严格履行设立审批程序，设立专项资金时，由主管部门按照预算编制程序和时间要求提出申请，经财政部门审核后，报省政府常务会议（或党组会议）审定，重大项目报省委决定。因此，符合按照规定的程序申请设立，该项要素得4/3分。第二，经过访谈得知，专项资金由省政府批准设立，申请材料、审批材料符合相关要求，其因此，该项要素得4/3分。第三，根据吉林省人民政府关于印发《吉林省省级财政专项资金管理办法的通知》（吉政发〔2014〕10号）第十条要求：主管部门申请设立专项资金时，应当提报可行性研究报告、风险评估报告，并提报绩效目标，由财政部门会同有关部门组织专家对专项资金设立的必要性、可行性、资金规模和绩效目标进行论证。经过访谈得知，专项资金经过必要的集体决策和论证等，该项要素得4/3分。综上，根据评分标准，该项指标得100%权重分。</w:t>
            </w:r>
          </w:p>
        </w:tc>
        <w:tc>
          <w:tcPr>
            <w:tcW w:w="103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r>
      <w:tr>
        <w:tblPrEx>
          <w:tblLayout w:type="fixed"/>
          <w:tblCellMar>
            <w:top w:w="0" w:type="dxa"/>
            <w:left w:w="0" w:type="dxa"/>
            <w:bottom w:w="0" w:type="dxa"/>
            <w:right w:w="0" w:type="dxa"/>
          </w:tblCellMar>
        </w:tblPrEx>
        <w:trPr>
          <w:trHeight w:val="312" w:hRule="atLeast"/>
        </w:trPr>
        <w:tc>
          <w:tcPr>
            <w:tcW w:w="739"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6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A2 绩效目标</w:t>
            </w:r>
          </w:p>
        </w:tc>
        <w:tc>
          <w:tcPr>
            <w:tcW w:w="69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6</w:t>
            </w:r>
          </w:p>
        </w:tc>
        <w:tc>
          <w:tcPr>
            <w:tcW w:w="111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70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87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81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23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260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2"/>
                <w:highlight w:val="none"/>
              </w:rPr>
            </w:pPr>
          </w:p>
        </w:tc>
        <w:tc>
          <w:tcPr>
            <w:tcW w:w="103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36.67%</w:t>
            </w:r>
          </w:p>
        </w:tc>
        <w:tc>
          <w:tcPr>
            <w:tcW w:w="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2.2</w:t>
            </w:r>
          </w:p>
        </w:tc>
      </w:tr>
      <w:tr>
        <w:tblPrEx>
          <w:tblLayout w:type="fixed"/>
          <w:tblCellMar>
            <w:top w:w="0" w:type="dxa"/>
            <w:left w:w="0" w:type="dxa"/>
            <w:bottom w:w="0" w:type="dxa"/>
            <w:right w:w="0" w:type="dxa"/>
          </w:tblCellMar>
        </w:tblPrEx>
        <w:trPr>
          <w:trHeight w:val="2496" w:hRule="atLeast"/>
        </w:trPr>
        <w:tc>
          <w:tcPr>
            <w:tcW w:w="739"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6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9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A201 绩效目标合理性</w:t>
            </w:r>
          </w:p>
        </w:tc>
        <w:tc>
          <w:tcPr>
            <w:tcW w:w="6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3</w:t>
            </w:r>
          </w:p>
        </w:tc>
        <w:tc>
          <w:tcPr>
            <w:tcW w:w="111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考察项目所设定的绩效目标是否依据充分，是否符合客观实际，用以反映和考核项目绩效目标与项目实施的相符情况。</w:t>
            </w:r>
          </w:p>
        </w:tc>
        <w:tc>
          <w:tcPr>
            <w:tcW w:w="70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w:t>
            </w:r>
          </w:p>
        </w:tc>
        <w:tc>
          <w:tcPr>
            <w:tcW w:w="87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合理</w:t>
            </w:r>
          </w:p>
        </w:tc>
        <w:tc>
          <w:tcPr>
            <w:tcW w:w="81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通用标准</w:t>
            </w:r>
          </w:p>
        </w:tc>
        <w:tc>
          <w:tcPr>
            <w:tcW w:w="23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本项目</w:t>
            </w:r>
            <w:r>
              <w:rPr>
                <w:rFonts w:hint="eastAsia" w:ascii="宋体" w:hAnsi="宋体" w:eastAsia="宋体" w:cs="宋体"/>
                <w:kern w:val="0"/>
                <w:sz w:val="24"/>
                <w:szCs w:val="24"/>
                <w:highlight w:val="none"/>
              </w:rPr>
              <w:t>①</w:t>
            </w:r>
            <w:r>
              <w:rPr>
                <w:rFonts w:cs="Times New Roman"/>
                <w:kern w:val="0"/>
                <w:sz w:val="24"/>
                <w:szCs w:val="24"/>
                <w:highlight w:val="none"/>
              </w:rPr>
              <w:t>设立有绩效目标；对应的绩效目标；</w:t>
            </w:r>
            <w:r>
              <w:rPr>
                <w:rFonts w:hint="eastAsia" w:ascii="宋体" w:hAnsi="宋体" w:eastAsia="宋体" w:cs="宋体"/>
                <w:kern w:val="0"/>
                <w:sz w:val="24"/>
                <w:szCs w:val="24"/>
                <w:highlight w:val="none"/>
              </w:rPr>
              <w:t>②</w:t>
            </w:r>
            <w:r>
              <w:rPr>
                <w:rFonts w:cs="Times New Roman"/>
                <w:kern w:val="0"/>
                <w:sz w:val="24"/>
                <w:szCs w:val="24"/>
                <w:highlight w:val="none"/>
              </w:rPr>
              <w:t>与实际工作内容相关；</w:t>
            </w:r>
            <w:r>
              <w:rPr>
                <w:rFonts w:hint="eastAsia" w:ascii="宋体" w:hAnsi="宋体" w:eastAsia="宋体" w:cs="宋体"/>
                <w:kern w:val="0"/>
                <w:sz w:val="24"/>
                <w:szCs w:val="24"/>
                <w:highlight w:val="none"/>
              </w:rPr>
              <w:t>③</w:t>
            </w:r>
            <w:r>
              <w:rPr>
                <w:rFonts w:cs="Times New Roman"/>
                <w:kern w:val="0"/>
                <w:sz w:val="24"/>
                <w:szCs w:val="24"/>
                <w:highlight w:val="none"/>
              </w:rPr>
              <w:t>预期产出效益和效果符合正常业绩水平；</w:t>
            </w:r>
            <w:r>
              <w:rPr>
                <w:rFonts w:hint="eastAsia" w:ascii="宋体" w:hAnsi="宋体" w:eastAsia="宋体" w:cs="宋体"/>
                <w:kern w:val="0"/>
                <w:sz w:val="24"/>
                <w:szCs w:val="24"/>
                <w:highlight w:val="none"/>
              </w:rPr>
              <w:t>④</w:t>
            </w:r>
            <w:r>
              <w:rPr>
                <w:rFonts w:cs="Times New Roman"/>
                <w:kern w:val="0"/>
                <w:sz w:val="24"/>
                <w:szCs w:val="24"/>
                <w:highlight w:val="none"/>
              </w:rPr>
              <w:t>与预算确定的项目投资额和资金量相匹配。</w:t>
            </w:r>
            <w:r>
              <w:rPr>
                <w:rFonts w:hint="eastAsia" w:ascii="宋体" w:hAnsi="宋体" w:eastAsia="宋体" w:cs="宋体"/>
                <w:kern w:val="0"/>
                <w:sz w:val="24"/>
                <w:szCs w:val="24"/>
                <w:highlight w:val="none"/>
              </w:rPr>
              <w:t>①</w:t>
            </w:r>
            <w:r>
              <w:rPr>
                <w:rFonts w:cs="Times New Roman"/>
                <w:kern w:val="0"/>
                <w:sz w:val="24"/>
                <w:szCs w:val="24"/>
                <w:highlight w:val="none"/>
              </w:rPr>
              <w:t>满足得40%权重分，否则不得分。在</w:t>
            </w:r>
            <w:r>
              <w:rPr>
                <w:rFonts w:hint="eastAsia" w:ascii="宋体" w:hAnsi="宋体" w:eastAsia="宋体" w:cs="宋体"/>
                <w:kern w:val="0"/>
                <w:sz w:val="24"/>
                <w:szCs w:val="24"/>
                <w:highlight w:val="none"/>
              </w:rPr>
              <w:t>①</w:t>
            </w:r>
            <w:r>
              <w:rPr>
                <w:rFonts w:cs="Times New Roman"/>
                <w:kern w:val="0"/>
                <w:sz w:val="24"/>
                <w:szCs w:val="24"/>
                <w:highlight w:val="none"/>
              </w:rPr>
              <w:t>满足的基础上，</w:t>
            </w:r>
            <w:r>
              <w:rPr>
                <w:rFonts w:hint="eastAsia" w:ascii="宋体" w:hAnsi="宋体" w:eastAsia="宋体" w:cs="宋体"/>
                <w:kern w:val="0"/>
                <w:sz w:val="24"/>
                <w:szCs w:val="24"/>
                <w:highlight w:val="none"/>
              </w:rPr>
              <w:t>②③④</w:t>
            </w:r>
            <w:r>
              <w:rPr>
                <w:rFonts w:cs="Times New Roman"/>
                <w:kern w:val="0"/>
                <w:sz w:val="24"/>
                <w:szCs w:val="24"/>
                <w:highlight w:val="none"/>
              </w:rPr>
              <w:t>每满足一项得20%权重分。</w:t>
            </w:r>
          </w:p>
        </w:tc>
        <w:tc>
          <w:tcPr>
            <w:tcW w:w="113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绩效目标申报表、其他工作任务目标等</w:t>
            </w:r>
          </w:p>
        </w:tc>
        <w:tc>
          <w:tcPr>
            <w:tcW w:w="260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该项指标权重分为3分，实际得分1分。具体依据为：根据评价单位提供的资料，仅2023年有绩效目标申报表，同时，绩效目标与实际工作内容相关，预期产出效益和效果符合正常业绩水平，与预算确定的项目投资额和资金量相匹配。综上，根据评分标准，该项目指标得1/3权重分。</w:t>
            </w:r>
          </w:p>
        </w:tc>
        <w:tc>
          <w:tcPr>
            <w:tcW w:w="103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33.33%</w:t>
            </w:r>
          </w:p>
        </w:tc>
        <w:tc>
          <w:tcPr>
            <w:tcW w:w="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w:t>
            </w:r>
          </w:p>
        </w:tc>
      </w:tr>
      <w:tr>
        <w:tblPrEx>
          <w:tblLayout w:type="fixed"/>
          <w:tblCellMar>
            <w:top w:w="0" w:type="dxa"/>
            <w:left w:w="0" w:type="dxa"/>
            <w:bottom w:w="0" w:type="dxa"/>
            <w:right w:w="0" w:type="dxa"/>
          </w:tblCellMar>
        </w:tblPrEx>
        <w:trPr>
          <w:trHeight w:val="2184" w:hRule="atLeast"/>
        </w:trPr>
        <w:tc>
          <w:tcPr>
            <w:tcW w:w="739"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6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9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A202 绩效指标明确性</w:t>
            </w:r>
          </w:p>
        </w:tc>
        <w:tc>
          <w:tcPr>
            <w:tcW w:w="6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3</w:t>
            </w:r>
          </w:p>
        </w:tc>
        <w:tc>
          <w:tcPr>
            <w:tcW w:w="111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考察项目设置的绩效指标是否清晰、细化、可衡量等，用以反映和考核项目绩效目标的明细化情况。</w:t>
            </w:r>
          </w:p>
        </w:tc>
        <w:tc>
          <w:tcPr>
            <w:tcW w:w="70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w:t>
            </w:r>
          </w:p>
        </w:tc>
        <w:tc>
          <w:tcPr>
            <w:tcW w:w="87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明确</w:t>
            </w:r>
          </w:p>
        </w:tc>
        <w:tc>
          <w:tcPr>
            <w:tcW w:w="81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通用标准</w:t>
            </w:r>
          </w:p>
        </w:tc>
        <w:tc>
          <w:tcPr>
            <w:tcW w:w="23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本项目</w:t>
            </w:r>
            <w:r>
              <w:rPr>
                <w:rFonts w:hint="eastAsia" w:ascii="宋体" w:hAnsi="宋体" w:eastAsia="宋体" w:cs="宋体"/>
                <w:kern w:val="0"/>
                <w:sz w:val="24"/>
                <w:szCs w:val="24"/>
                <w:highlight w:val="none"/>
              </w:rPr>
              <w:t>①</w:t>
            </w:r>
            <w:r>
              <w:rPr>
                <w:rFonts w:cs="Times New Roman"/>
                <w:kern w:val="0"/>
                <w:sz w:val="24"/>
                <w:szCs w:val="24"/>
                <w:highlight w:val="none"/>
              </w:rPr>
              <w:t>将项目绩效目标细化分解为具体的绩效指标，明确体现数量、质量、时效、成本等产出指标和社会效益指标；细化的绩效指标</w:t>
            </w:r>
            <w:r>
              <w:rPr>
                <w:rFonts w:hint="eastAsia" w:ascii="宋体" w:hAnsi="宋体" w:eastAsia="宋体" w:cs="宋体"/>
                <w:kern w:val="0"/>
                <w:sz w:val="24"/>
                <w:szCs w:val="24"/>
                <w:highlight w:val="none"/>
              </w:rPr>
              <w:t>②</w:t>
            </w:r>
            <w:r>
              <w:rPr>
                <w:rFonts w:cs="Times New Roman"/>
                <w:kern w:val="0"/>
                <w:sz w:val="24"/>
                <w:szCs w:val="24"/>
                <w:highlight w:val="none"/>
              </w:rPr>
              <w:t>通过清晰、可衡量的的指标值予以体现；</w:t>
            </w:r>
            <w:r>
              <w:rPr>
                <w:rFonts w:hint="eastAsia" w:ascii="宋体" w:hAnsi="宋体" w:eastAsia="宋体" w:cs="宋体"/>
                <w:kern w:val="0"/>
                <w:sz w:val="24"/>
                <w:szCs w:val="24"/>
                <w:highlight w:val="none"/>
              </w:rPr>
              <w:t>③</w:t>
            </w:r>
            <w:r>
              <w:rPr>
                <w:rFonts w:cs="Times New Roman"/>
                <w:kern w:val="0"/>
                <w:sz w:val="24"/>
                <w:szCs w:val="24"/>
                <w:highlight w:val="none"/>
              </w:rPr>
              <w:t>与项目目标任务数或计划数相对应，每个资金支出核心类子项目都有绩效目标。</w:t>
            </w:r>
            <w:r>
              <w:rPr>
                <w:rFonts w:hint="eastAsia" w:ascii="宋体" w:hAnsi="宋体" w:eastAsia="宋体" w:cs="宋体"/>
                <w:kern w:val="0"/>
                <w:sz w:val="24"/>
                <w:szCs w:val="24"/>
                <w:highlight w:val="none"/>
              </w:rPr>
              <w:t>①</w:t>
            </w:r>
            <w:r>
              <w:rPr>
                <w:rFonts w:cs="Times New Roman"/>
                <w:kern w:val="0"/>
                <w:sz w:val="24"/>
                <w:szCs w:val="24"/>
                <w:highlight w:val="none"/>
              </w:rPr>
              <w:t>满足得40%权重分，否则不得分。在</w:t>
            </w:r>
            <w:r>
              <w:rPr>
                <w:rFonts w:hint="eastAsia" w:ascii="宋体" w:hAnsi="宋体" w:eastAsia="宋体" w:cs="宋体"/>
                <w:kern w:val="0"/>
                <w:sz w:val="24"/>
                <w:szCs w:val="24"/>
                <w:highlight w:val="none"/>
              </w:rPr>
              <w:t>①</w:t>
            </w:r>
            <w:r>
              <w:rPr>
                <w:rFonts w:cs="Times New Roman"/>
                <w:kern w:val="0"/>
                <w:sz w:val="24"/>
                <w:szCs w:val="24"/>
                <w:highlight w:val="none"/>
              </w:rPr>
              <w:t>满足的基础上，</w:t>
            </w:r>
            <w:r>
              <w:rPr>
                <w:rFonts w:hint="eastAsia" w:ascii="宋体" w:hAnsi="宋体" w:eastAsia="宋体" w:cs="宋体"/>
                <w:kern w:val="0"/>
                <w:sz w:val="24"/>
                <w:szCs w:val="24"/>
                <w:highlight w:val="none"/>
              </w:rPr>
              <w:t>②③</w:t>
            </w:r>
            <w:r>
              <w:rPr>
                <w:rFonts w:cs="Times New Roman"/>
                <w:kern w:val="0"/>
                <w:sz w:val="24"/>
                <w:szCs w:val="24"/>
                <w:highlight w:val="none"/>
              </w:rPr>
              <w:t>每满足一项得30%权重分。</w:t>
            </w:r>
          </w:p>
        </w:tc>
        <w:tc>
          <w:tcPr>
            <w:tcW w:w="113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绩效目标申报表等</w:t>
            </w:r>
          </w:p>
        </w:tc>
        <w:tc>
          <w:tcPr>
            <w:tcW w:w="260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该项指标权重分为3分，实际得分1.2分。具体依据为：根据2023年绩效目标申报表，第一，项目绩效目标细化分解为具体的绩效指标，明确体现数量、质量、时效、成本等产出指标和社会效益指标，该项要素得1.2分。第二，数量和效益指标的指标值均设置为百分数，不易衡量考核，该项要素不得分。第三，项目指标未与项目目标任务数或计划数相对应，该项要素不得分。综上，根据评分标准，该项指标得40%权重分。</w:t>
            </w:r>
          </w:p>
        </w:tc>
        <w:tc>
          <w:tcPr>
            <w:tcW w:w="103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40.00%</w:t>
            </w:r>
          </w:p>
        </w:tc>
        <w:tc>
          <w:tcPr>
            <w:tcW w:w="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1.2</w:t>
            </w:r>
          </w:p>
        </w:tc>
      </w:tr>
      <w:tr>
        <w:tblPrEx>
          <w:tblLayout w:type="fixed"/>
          <w:tblCellMar>
            <w:top w:w="0" w:type="dxa"/>
            <w:left w:w="0" w:type="dxa"/>
            <w:bottom w:w="0" w:type="dxa"/>
            <w:right w:w="0" w:type="dxa"/>
          </w:tblCellMar>
        </w:tblPrEx>
        <w:trPr>
          <w:trHeight w:val="312" w:hRule="atLeast"/>
        </w:trPr>
        <w:tc>
          <w:tcPr>
            <w:tcW w:w="739"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6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A3 资金投入</w:t>
            </w:r>
          </w:p>
        </w:tc>
        <w:tc>
          <w:tcPr>
            <w:tcW w:w="69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6</w:t>
            </w:r>
          </w:p>
        </w:tc>
        <w:tc>
          <w:tcPr>
            <w:tcW w:w="111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70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87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81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23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260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2"/>
                <w:highlight w:val="none"/>
              </w:rPr>
            </w:pPr>
          </w:p>
        </w:tc>
        <w:tc>
          <w:tcPr>
            <w:tcW w:w="103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6</w:t>
            </w:r>
          </w:p>
        </w:tc>
      </w:tr>
      <w:tr>
        <w:tblPrEx>
          <w:tblLayout w:type="fixed"/>
          <w:tblCellMar>
            <w:top w:w="0" w:type="dxa"/>
            <w:left w:w="0" w:type="dxa"/>
            <w:bottom w:w="0" w:type="dxa"/>
            <w:right w:w="0" w:type="dxa"/>
          </w:tblCellMar>
        </w:tblPrEx>
        <w:trPr>
          <w:trHeight w:val="1560" w:hRule="atLeast"/>
        </w:trPr>
        <w:tc>
          <w:tcPr>
            <w:tcW w:w="739"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6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9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A301 预算编制科学性</w:t>
            </w:r>
          </w:p>
        </w:tc>
        <w:tc>
          <w:tcPr>
            <w:tcW w:w="6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3</w:t>
            </w:r>
          </w:p>
        </w:tc>
        <w:tc>
          <w:tcPr>
            <w:tcW w:w="111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考察项目预算编制是否经过科学论证、有明确标准等用以反映和考核项等。</w:t>
            </w:r>
          </w:p>
        </w:tc>
        <w:tc>
          <w:tcPr>
            <w:tcW w:w="70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w:t>
            </w:r>
          </w:p>
        </w:tc>
        <w:tc>
          <w:tcPr>
            <w:tcW w:w="87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科学</w:t>
            </w:r>
          </w:p>
        </w:tc>
        <w:tc>
          <w:tcPr>
            <w:tcW w:w="81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通用标准</w:t>
            </w:r>
          </w:p>
        </w:tc>
        <w:tc>
          <w:tcPr>
            <w:tcW w:w="23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本项目</w:t>
            </w:r>
            <w:r>
              <w:rPr>
                <w:rFonts w:hint="eastAsia" w:ascii="宋体" w:hAnsi="宋体" w:eastAsia="宋体" w:cs="宋体"/>
                <w:kern w:val="0"/>
                <w:sz w:val="24"/>
                <w:szCs w:val="24"/>
                <w:highlight w:val="none"/>
              </w:rPr>
              <w:t>①</w:t>
            </w:r>
            <w:r>
              <w:rPr>
                <w:rFonts w:cs="Times New Roman"/>
                <w:kern w:val="0"/>
                <w:sz w:val="24"/>
                <w:szCs w:val="24"/>
                <w:highlight w:val="none"/>
              </w:rPr>
              <w:t>预算编制经过科学论证；</w:t>
            </w:r>
            <w:r>
              <w:rPr>
                <w:rFonts w:hint="eastAsia" w:ascii="宋体" w:hAnsi="宋体" w:eastAsia="宋体" w:cs="宋体"/>
                <w:kern w:val="0"/>
                <w:sz w:val="24"/>
                <w:szCs w:val="24"/>
                <w:highlight w:val="none"/>
              </w:rPr>
              <w:t>②</w:t>
            </w:r>
            <w:r>
              <w:rPr>
                <w:rFonts w:cs="Times New Roman"/>
                <w:kern w:val="0"/>
                <w:sz w:val="24"/>
                <w:szCs w:val="24"/>
                <w:highlight w:val="none"/>
              </w:rPr>
              <w:t>预算内容与项目内容匹配。以上二项各占50%权重分，符合则得对应权重分。</w:t>
            </w:r>
          </w:p>
        </w:tc>
        <w:tc>
          <w:tcPr>
            <w:tcW w:w="113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预算申报材料、内部预算审批程序</w:t>
            </w:r>
          </w:p>
        </w:tc>
        <w:tc>
          <w:tcPr>
            <w:tcW w:w="260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该项指标权重分为3分，实际得分3分。具体依据为：第一，根据通过对13个可再生能源建筑应用示范项目和6个示范市、县（包含43个项目）申报资金符合《吉林省建筑节能奖补资金管理办法》的规定，该项要素得1.5分。第二，根据对本项目的项目内容梳理，申报资金要求与项目内容匹配，该项要素得1.5分。综上，根据评分标准，该项指标得100%权重分。</w:t>
            </w:r>
          </w:p>
        </w:tc>
        <w:tc>
          <w:tcPr>
            <w:tcW w:w="103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3</w:t>
            </w:r>
          </w:p>
        </w:tc>
      </w:tr>
      <w:tr>
        <w:tblPrEx>
          <w:tblLayout w:type="fixed"/>
          <w:tblCellMar>
            <w:top w:w="0" w:type="dxa"/>
            <w:left w:w="0" w:type="dxa"/>
            <w:bottom w:w="0" w:type="dxa"/>
            <w:right w:w="0" w:type="dxa"/>
          </w:tblCellMar>
        </w:tblPrEx>
        <w:trPr>
          <w:trHeight w:val="1248" w:hRule="atLeast"/>
        </w:trPr>
        <w:tc>
          <w:tcPr>
            <w:tcW w:w="739"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6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9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A302 资金分配合理性</w:t>
            </w:r>
          </w:p>
        </w:tc>
        <w:tc>
          <w:tcPr>
            <w:tcW w:w="6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3</w:t>
            </w:r>
          </w:p>
        </w:tc>
        <w:tc>
          <w:tcPr>
            <w:tcW w:w="111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用以反映和考核项目预算资金分配的合理性情况。</w:t>
            </w:r>
          </w:p>
        </w:tc>
        <w:tc>
          <w:tcPr>
            <w:tcW w:w="70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w:t>
            </w:r>
          </w:p>
        </w:tc>
        <w:tc>
          <w:tcPr>
            <w:tcW w:w="87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合理</w:t>
            </w:r>
          </w:p>
        </w:tc>
        <w:tc>
          <w:tcPr>
            <w:tcW w:w="81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通用标准</w:t>
            </w:r>
          </w:p>
        </w:tc>
        <w:tc>
          <w:tcPr>
            <w:tcW w:w="23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本项目</w:t>
            </w:r>
            <w:r>
              <w:rPr>
                <w:rFonts w:hint="eastAsia" w:ascii="宋体" w:hAnsi="宋体" w:eastAsia="宋体" w:cs="宋体"/>
                <w:kern w:val="0"/>
                <w:sz w:val="24"/>
                <w:szCs w:val="24"/>
                <w:highlight w:val="none"/>
              </w:rPr>
              <w:t>①</w:t>
            </w:r>
            <w:r>
              <w:rPr>
                <w:rFonts w:cs="Times New Roman"/>
                <w:kern w:val="0"/>
                <w:sz w:val="24"/>
                <w:szCs w:val="24"/>
                <w:highlight w:val="none"/>
              </w:rPr>
              <w:t>预算资金分配依据充分；</w:t>
            </w:r>
            <w:r>
              <w:rPr>
                <w:rFonts w:hint="eastAsia" w:ascii="宋体" w:hAnsi="宋体" w:eastAsia="宋体" w:cs="宋体"/>
                <w:kern w:val="0"/>
                <w:sz w:val="24"/>
                <w:szCs w:val="24"/>
                <w:highlight w:val="none"/>
              </w:rPr>
              <w:t>②</w:t>
            </w:r>
            <w:r>
              <w:rPr>
                <w:rFonts w:cs="Times New Roman"/>
                <w:kern w:val="0"/>
                <w:sz w:val="24"/>
                <w:szCs w:val="24"/>
                <w:highlight w:val="none"/>
              </w:rPr>
              <w:t>资金分配额度合理，与项目单位或地方实际相适应。以上两项各占50%权重分，符合则得对应权重分。</w:t>
            </w:r>
          </w:p>
        </w:tc>
        <w:tc>
          <w:tcPr>
            <w:tcW w:w="113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资金管理办法、基础数据表</w:t>
            </w:r>
          </w:p>
        </w:tc>
        <w:tc>
          <w:tcPr>
            <w:tcW w:w="260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该项指标权重分为3分，实际得分3分。具体依据为：第一，13个可再生能源建筑应用示范项目和6个示范市、县（包含43个项目）的补贴资金分配严格按照《吉林省建筑节能奖补资金管理办法》进行申报审批和发放，分配依据充分，该项要素得1.5分。第二，资金分配额度与项目及示范市县匹配，该项要素得1.5分。综上，根据评分标准，该项指标得100%权重分。</w:t>
            </w:r>
          </w:p>
        </w:tc>
        <w:tc>
          <w:tcPr>
            <w:tcW w:w="103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3</w:t>
            </w:r>
          </w:p>
        </w:tc>
      </w:tr>
      <w:tr>
        <w:tblPrEx>
          <w:tblLayout w:type="fixed"/>
          <w:tblCellMar>
            <w:top w:w="0" w:type="dxa"/>
            <w:left w:w="0" w:type="dxa"/>
            <w:bottom w:w="0" w:type="dxa"/>
            <w:right w:w="0" w:type="dxa"/>
          </w:tblCellMar>
        </w:tblPrEx>
        <w:trPr>
          <w:trHeight w:val="312" w:hRule="atLeast"/>
        </w:trPr>
        <w:tc>
          <w:tcPr>
            <w:tcW w:w="739"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B 项目过程</w:t>
            </w:r>
          </w:p>
        </w:tc>
        <w:tc>
          <w:tcPr>
            <w:tcW w:w="66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9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20</w:t>
            </w:r>
          </w:p>
        </w:tc>
        <w:tc>
          <w:tcPr>
            <w:tcW w:w="111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70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87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81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23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260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2"/>
                <w:highlight w:val="none"/>
              </w:rPr>
            </w:pPr>
          </w:p>
        </w:tc>
        <w:tc>
          <w:tcPr>
            <w:tcW w:w="103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20</w:t>
            </w:r>
          </w:p>
        </w:tc>
      </w:tr>
      <w:tr>
        <w:tblPrEx>
          <w:tblLayout w:type="fixed"/>
          <w:tblCellMar>
            <w:top w:w="0" w:type="dxa"/>
            <w:left w:w="0" w:type="dxa"/>
            <w:bottom w:w="0" w:type="dxa"/>
            <w:right w:w="0" w:type="dxa"/>
          </w:tblCellMar>
        </w:tblPrEx>
        <w:trPr>
          <w:trHeight w:val="312" w:hRule="atLeast"/>
        </w:trPr>
        <w:tc>
          <w:tcPr>
            <w:tcW w:w="739"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6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B1 资金管理</w:t>
            </w:r>
          </w:p>
        </w:tc>
        <w:tc>
          <w:tcPr>
            <w:tcW w:w="69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11</w:t>
            </w:r>
          </w:p>
        </w:tc>
        <w:tc>
          <w:tcPr>
            <w:tcW w:w="111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70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87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81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23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260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2"/>
                <w:highlight w:val="none"/>
              </w:rPr>
            </w:pPr>
          </w:p>
        </w:tc>
        <w:tc>
          <w:tcPr>
            <w:tcW w:w="103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11</w:t>
            </w:r>
          </w:p>
        </w:tc>
      </w:tr>
      <w:tr>
        <w:tblPrEx>
          <w:tblLayout w:type="fixed"/>
          <w:tblCellMar>
            <w:top w:w="0" w:type="dxa"/>
            <w:left w:w="0" w:type="dxa"/>
            <w:bottom w:w="0" w:type="dxa"/>
            <w:right w:w="0" w:type="dxa"/>
          </w:tblCellMar>
        </w:tblPrEx>
        <w:trPr>
          <w:trHeight w:val="1463" w:hRule="atLeast"/>
        </w:trPr>
        <w:tc>
          <w:tcPr>
            <w:tcW w:w="739"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6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9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B101 预算执行率</w:t>
            </w:r>
          </w:p>
        </w:tc>
        <w:tc>
          <w:tcPr>
            <w:tcW w:w="6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c>
          <w:tcPr>
            <w:tcW w:w="111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考察项目预算资金是否按照计划执行，用以反映或考核项目预算执行情况。</w:t>
            </w:r>
          </w:p>
        </w:tc>
        <w:tc>
          <w:tcPr>
            <w:tcW w:w="70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预算执行率=（实际支出资金/（调整后）预算数（或实际到位资金）* 100%</w:t>
            </w:r>
          </w:p>
        </w:tc>
        <w:tc>
          <w:tcPr>
            <w:tcW w:w="87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81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通用标准</w:t>
            </w:r>
          </w:p>
        </w:tc>
        <w:tc>
          <w:tcPr>
            <w:tcW w:w="23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 xml:space="preserve">项目完成，且执行数控制在年度预算规模之内的，得100%权重分；项目尚未完成，预算执行率小于100%且大于等于80%的得70%权重分，预算执行率小于80%且大于等于60%的得50%权重分，预算执行率小于60%的不得分。实际支出资金：由市县财政实际拨付到项目单位的资金。               </w:t>
            </w:r>
          </w:p>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实际到位资金：市县实际到位资金。该指标考核项目整体省级层面。</w:t>
            </w:r>
          </w:p>
        </w:tc>
        <w:tc>
          <w:tcPr>
            <w:tcW w:w="113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项目支出明细表等</w:t>
            </w:r>
          </w:p>
        </w:tc>
        <w:tc>
          <w:tcPr>
            <w:tcW w:w="260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该项指标权重分为4分，实际得分4分。具体依据为：预算执行率=（2955/2955）*100%=100%。综上，根据评分标准，该指标得100%权重分。</w:t>
            </w:r>
          </w:p>
        </w:tc>
        <w:tc>
          <w:tcPr>
            <w:tcW w:w="103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r>
      <w:tr>
        <w:tblPrEx>
          <w:tblLayout w:type="fixed"/>
          <w:tblCellMar>
            <w:top w:w="0" w:type="dxa"/>
            <w:left w:w="0" w:type="dxa"/>
            <w:bottom w:w="0" w:type="dxa"/>
            <w:right w:w="0" w:type="dxa"/>
          </w:tblCellMar>
        </w:tblPrEx>
        <w:trPr>
          <w:trHeight w:val="1872" w:hRule="atLeast"/>
        </w:trPr>
        <w:tc>
          <w:tcPr>
            <w:tcW w:w="739"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6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9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B102资金到位及时率</w:t>
            </w:r>
          </w:p>
        </w:tc>
        <w:tc>
          <w:tcPr>
            <w:tcW w:w="6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3</w:t>
            </w:r>
          </w:p>
        </w:tc>
        <w:tc>
          <w:tcPr>
            <w:tcW w:w="111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考察项目及时到位资金与应到位资金的比率，用以反映和考核项目资金落实的及时性程度。</w:t>
            </w:r>
          </w:p>
        </w:tc>
        <w:tc>
          <w:tcPr>
            <w:tcW w:w="70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资金到位及时率=（及时到位资金/应到位资金）×100%</w:t>
            </w:r>
          </w:p>
        </w:tc>
        <w:tc>
          <w:tcPr>
            <w:tcW w:w="87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w:t>
            </w:r>
          </w:p>
        </w:tc>
        <w:tc>
          <w:tcPr>
            <w:tcW w:w="81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通用标准</w:t>
            </w:r>
          </w:p>
        </w:tc>
        <w:tc>
          <w:tcPr>
            <w:tcW w:w="23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资金到位及时率=（市县及时到位资金/市县应到位资金）×100%；                                                                                                                                                   资金到位及时率每下降1%扣相应5%的权重分，扣完为止。该指标仅考核省级专项层面。</w:t>
            </w:r>
          </w:p>
        </w:tc>
        <w:tc>
          <w:tcPr>
            <w:tcW w:w="113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项目支出明细表、实地调研</w:t>
            </w:r>
          </w:p>
        </w:tc>
        <w:tc>
          <w:tcPr>
            <w:tcW w:w="260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该项指标权重分为3分，实际得分3分。具体依据为：资金到位及时率=（2955/2955）×100%=100%。综上，根据评分标准，该指标得100%权重分。</w:t>
            </w:r>
          </w:p>
        </w:tc>
        <w:tc>
          <w:tcPr>
            <w:tcW w:w="103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3</w:t>
            </w:r>
          </w:p>
        </w:tc>
      </w:tr>
      <w:tr>
        <w:tblPrEx>
          <w:tblLayout w:type="fixed"/>
          <w:tblCellMar>
            <w:top w:w="0" w:type="dxa"/>
            <w:left w:w="0" w:type="dxa"/>
            <w:bottom w:w="0" w:type="dxa"/>
            <w:right w:w="0" w:type="dxa"/>
          </w:tblCellMar>
        </w:tblPrEx>
        <w:trPr>
          <w:trHeight w:val="2184" w:hRule="atLeast"/>
        </w:trPr>
        <w:tc>
          <w:tcPr>
            <w:tcW w:w="739"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6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9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B103 资金使用合规性</w:t>
            </w:r>
          </w:p>
        </w:tc>
        <w:tc>
          <w:tcPr>
            <w:tcW w:w="6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c>
          <w:tcPr>
            <w:tcW w:w="111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考察项目资金使用是否符合相关的专项资金管理制度规定，用以反映和考核项目资金的规范运行情况。</w:t>
            </w:r>
          </w:p>
        </w:tc>
        <w:tc>
          <w:tcPr>
            <w:tcW w:w="70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w:t>
            </w:r>
          </w:p>
        </w:tc>
        <w:tc>
          <w:tcPr>
            <w:tcW w:w="87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合规</w:t>
            </w:r>
          </w:p>
        </w:tc>
        <w:tc>
          <w:tcPr>
            <w:tcW w:w="81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通用标准</w:t>
            </w:r>
          </w:p>
        </w:tc>
        <w:tc>
          <w:tcPr>
            <w:tcW w:w="23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项目资金使用</w:t>
            </w:r>
            <w:r>
              <w:rPr>
                <w:rFonts w:hint="eastAsia" w:ascii="宋体" w:hAnsi="宋体" w:eastAsia="宋体" w:cs="宋体"/>
                <w:kern w:val="0"/>
                <w:sz w:val="24"/>
                <w:szCs w:val="24"/>
                <w:highlight w:val="none"/>
              </w:rPr>
              <w:t>①</w:t>
            </w:r>
            <w:r>
              <w:rPr>
                <w:rFonts w:cs="Times New Roman"/>
                <w:kern w:val="0"/>
                <w:sz w:val="24"/>
                <w:szCs w:val="24"/>
                <w:highlight w:val="none"/>
              </w:rPr>
              <w:t>符合国家财经法规和财务管理制度以及有关专项资金管理办法的规定（尤其关注重大开支）；</w:t>
            </w:r>
            <w:r>
              <w:rPr>
                <w:rFonts w:hint="eastAsia" w:ascii="宋体" w:hAnsi="宋体" w:eastAsia="宋体" w:cs="宋体"/>
                <w:kern w:val="0"/>
                <w:sz w:val="24"/>
                <w:szCs w:val="24"/>
                <w:highlight w:val="none"/>
              </w:rPr>
              <w:t>②</w:t>
            </w:r>
            <w:r>
              <w:rPr>
                <w:rFonts w:cs="Times New Roman"/>
                <w:kern w:val="0"/>
                <w:sz w:val="24"/>
                <w:szCs w:val="24"/>
                <w:highlight w:val="none"/>
              </w:rPr>
              <w:t>预算调整、资金拨付有完整的审批程序和手续；</w:t>
            </w:r>
            <w:r>
              <w:rPr>
                <w:rFonts w:hint="eastAsia" w:ascii="宋体" w:hAnsi="宋体" w:eastAsia="宋体" w:cs="宋体"/>
                <w:kern w:val="0"/>
                <w:sz w:val="24"/>
                <w:szCs w:val="24"/>
                <w:highlight w:val="none"/>
              </w:rPr>
              <w:t>③</w:t>
            </w:r>
            <w:r>
              <w:rPr>
                <w:rFonts w:cs="Times New Roman"/>
                <w:kern w:val="0"/>
                <w:sz w:val="24"/>
                <w:szCs w:val="24"/>
                <w:highlight w:val="none"/>
              </w:rPr>
              <w:t>符合项目预算批复或合同规定的用途；</w:t>
            </w:r>
            <w:r>
              <w:rPr>
                <w:rFonts w:hint="eastAsia" w:ascii="宋体" w:hAnsi="宋体" w:eastAsia="宋体" w:cs="宋体"/>
                <w:kern w:val="0"/>
                <w:sz w:val="24"/>
                <w:szCs w:val="24"/>
                <w:highlight w:val="none"/>
              </w:rPr>
              <w:t>④</w:t>
            </w:r>
            <w:r>
              <w:rPr>
                <w:rFonts w:cs="Times New Roman"/>
                <w:kern w:val="0"/>
                <w:sz w:val="24"/>
                <w:szCs w:val="24"/>
                <w:highlight w:val="none"/>
              </w:rPr>
              <w:t>不存在截留、挤占、挪用、虚列支出等情况。以上四项各占25%权重分，每发现一起扣除20%对应权重，直至扣完对应权重分为止。</w:t>
            </w:r>
          </w:p>
        </w:tc>
        <w:tc>
          <w:tcPr>
            <w:tcW w:w="113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资金管理办法、财务管理制度、审批拨付流程、资金使用明细、财务凭证</w:t>
            </w:r>
          </w:p>
        </w:tc>
        <w:tc>
          <w:tcPr>
            <w:tcW w:w="260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该项指标权重分为3分，实际得分3分。具体依据为：第一，根据实地访谈调研结果，本项目资金使用符合国家法规和财务管理制度以及有关项目支出资金管理办法规定，该项要素得1分。第二，资金拨付有完整的审批程序和手续，该项要素得1分。第三，本项目资金使用未发现不符合项目预算批复或合同规定的用途，该项要素得1分。第四，预算资金使用不存在截留、挤占、挪用、虚列支出等情况，该项要素得1分。综上，根据评分标准，该指标得100%权重分。</w:t>
            </w:r>
          </w:p>
        </w:tc>
        <w:tc>
          <w:tcPr>
            <w:tcW w:w="103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r>
      <w:tr>
        <w:tblPrEx>
          <w:tblLayout w:type="fixed"/>
          <w:tblCellMar>
            <w:top w:w="0" w:type="dxa"/>
            <w:left w:w="0" w:type="dxa"/>
            <w:bottom w:w="0" w:type="dxa"/>
            <w:right w:w="0" w:type="dxa"/>
          </w:tblCellMar>
        </w:tblPrEx>
        <w:trPr>
          <w:trHeight w:val="312" w:hRule="atLeast"/>
        </w:trPr>
        <w:tc>
          <w:tcPr>
            <w:tcW w:w="739"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6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B2 组织实施</w:t>
            </w:r>
          </w:p>
        </w:tc>
        <w:tc>
          <w:tcPr>
            <w:tcW w:w="69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9</w:t>
            </w:r>
          </w:p>
        </w:tc>
        <w:tc>
          <w:tcPr>
            <w:tcW w:w="111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70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87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81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23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260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p>
        </w:tc>
        <w:tc>
          <w:tcPr>
            <w:tcW w:w="103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9</w:t>
            </w:r>
          </w:p>
        </w:tc>
      </w:tr>
      <w:tr>
        <w:tblPrEx>
          <w:tblLayout w:type="fixed"/>
          <w:tblCellMar>
            <w:top w:w="0" w:type="dxa"/>
            <w:left w:w="0" w:type="dxa"/>
            <w:bottom w:w="0" w:type="dxa"/>
            <w:right w:w="0" w:type="dxa"/>
          </w:tblCellMar>
        </w:tblPrEx>
        <w:trPr>
          <w:trHeight w:val="3120" w:hRule="atLeast"/>
        </w:trPr>
        <w:tc>
          <w:tcPr>
            <w:tcW w:w="739"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6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9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B201 制度健全性</w:t>
            </w:r>
          </w:p>
        </w:tc>
        <w:tc>
          <w:tcPr>
            <w:tcW w:w="6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c>
          <w:tcPr>
            <w:tcW w:w="111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考察项目实施单位的财务和业务管理制度是否健全，用以反映和考核财务和业务管理制度对项目顺利实施的保障情况</w:t>
            </w:r>
          </w:p>
        </w:tc>
        <w:tc>
          <w:tcPr>
            <w:tcW w:w="70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w:t>
            </w:r>
          </w:p>
        </w:tc>
        <w:tc>
          <w:tcPr>
            <w:tcW w:w="87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健全</w:t>
            </w:r>
          </w:p>
        </w:tc>
        <w:tc>
          <w:tcPr>
            <w:tcW w:w="81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通用标准</w:t>
            </w:r>
          </w:p>
        </w:tc>
        <w:tc>
          <w:tcPr>
            <w:tcW w:w="23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本项目</w:t>
            </w:r>
            <w:r>
              <w:rPr>
                <w:rFonts w:hint="eastAsia" w:ascii="宋体" w:hAnsi="宋体" w:eastAsia="宋体" w:cs="宋体"/>
                <w:kern w:val="0"/>
                <w:sz w:val="24"/>
                <w:szCs w:val="24"/>
                <w:highlight w:val="none"/>
              </w:rPr>
              <w:t>①</w:t>
            </w:r>
            <w:r>
              <w:rPr>
                <w:rFonts w:cs="Times New Roman"/>
                <w:kern w:val="0"/>
                <w:sz w:val="24"/>
                <w:szCs w:val="24"/>
                <w:highlight w:val="none"/>
              </w:rPr>
              <w:t>设立有专项资金管理办法或配套办法；办法中对项目</w:t>
            </w:r>
            <w:r>
              <w:rPr>
                <w:rFonts w:hint="eastAsia" w:ascii="宋体" w:hAnsi="宋体" w:eastAsia="宋体" w:cs="宋体"/>
                <w:kern w:val="0"/>
                <w:sz w:val="24"/>
                <w:szCs w:val="24"/>
                <w:highlight w:val="none"/>
              </w:rPr>
              <w:t>②</w:t>
            </w:r>
            <w:r>
              <w:rPr>
                <w:rFonts w:cs="Times New Roman"/>
                <w:kern w:val="0"/>
                <w:sz w:val="24"/>
                <w:szCs w:val="24"/>
                <w:highlight w:val="none"/>
              </w:rPr>
              <w:t>实施目的；实施内容及范围；分工及职责；推进计划；业务流程管理要求；资金流程管理要求；质量或验收审核要求；采购管理，监督检查管理、成本控制管理、信息公示管理、退出机制、应急机制（闲置资金处置、责任追究制度）、档案资料管理制度等明确要求。</w:t>
            </w:r>
            <w:r>
              <w:rPr>
                <w:rFonts w:hint="eastAsia" w:ascii="宋体" w:hAnsi="宋体" w:eastAsia="宋体" w:cs="宋体"/>
                <w:kern w:val="0"/>
                <w:sz w:val="24"/>
                <w:szCs w:val="24"/>
                <w:highlight w:val="none"/>
              </w:rPr>
              <w:t>①</w:t>
            </w:r>
            <w:r>
              <w:rPr>
                <w:rFonts w:cs="Times New Roman"/>
                <w:kern w:val="0"/>
                <w:sz w:val="24"/>
                <w:szCs w:val="24"/>
                <w:highlight w:val="none"/>
              </w:rPr>
              <w:t>满足得40%权重分，否则不得分。在</w:t>
            </w:r>
            <w:r>
              <w:rPr>
                <w:rFonts w:hint="eastAsia" w:ascii="宋体" w:hAnsi="宋体" w:eastAsia="宋体" w:cs="宋体"/>
                <w:kern w:val="0"/>
                <w:sz w:val="24"/>
                <w:szCs w:val="24"/>
                <w:highlight w:val="none"/>
              </w:rPr>
              <w:t>①</w:t>
            </w:r>
            <w:r>
              <w:rPr>
                <w:rFonts w:cs="Times New Roman"/>
                <w:kern w:val="0"/>
                <w:sz w:val="24"/>
                <w:szCs w:val="24"/>
                <w:highlight w:val="none"/>
              </w:rPr>
              <w:t>满足的基础上，</w:t>
            </w:r>
            <w:r>
              <w:rPr>
                <w:rFonts w:hint="eastAsia" w:ascii="宋体" w:hAnsi="宋体" w:eastAsia="宋体" w:cs="宋体"/>
                <w:kern w:val="0"/>
                <w:sz w:val="24"/>
                <w:szCs w:val="24"/>
                <w:highlight w:val="none"/>
              </w:rPr>
              <w:t>②</w:t>
            </w:r>
            <w:r>
              <w:rPr>
                <w:rFonts w:cs="Times New Roman"/>
                <w:kern w:val="0"/>
                <w:sz w:val="24"/>
                <w:szCs w:val="24"/>
                <w:highlight w:val="none"/>
              </w:rPr>
              <w:t>每出现一处不满足项，扣除60%权重分数的20%，出现5处及以上，该要点不得分。</w:t>
            </w:r>
          </w:p>
        </w:tc>
        <w:tc>
          <w:tcPr>
            <w:tcW w:w="113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资金管理办法、内部管控制度等</w:t>
            </w:r>
          </w:p>
        </w:tc>
        <w:tc>
          <w:tcPr>
            <w:tcW w:w="260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该项指标权重分为3分，实际得分3分。具体依据为：第一，本项目设立有《吉林省建筑节能奖补资金管理办法》，该项要素得1.6分。第二，《吉林省建筑节能奖补资金管理办法》中对项目实施目的、实施内容及范围、分工及职责、申请条件、资金流程管理要求、质量或验收审核材料要求等做了明确的要求，同时相关采购管理，监督检查管理、成本控制管理、信息公示管理、退出机制、应急机制（闲置资金处置、责任追究制度）、档案资料管理制度等较为明确，该项要素得2.4分。综上，根据评分标准，该指标得100%权重分。</w:t>
            </w:r>
          </w:p>
        </w:tc>
        <w:tc>
          <w:tcPr>
            <w:tcW w:w="103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r>
      <w:tr>
        <w:tblPrEx>
          <w:tblLayout w:type="fixed"/>
          <w:tblCellMar>
            <w:top w:w="0" w:type="dxa"/>
            <w:left w:w="0" w:type="dxa"/>
            <w:bottom w:w="0" w:type="dxa"/>
            <w:right w:w="0" w:type="dxa"/>
          </w:tblCellMar>
        </w:tblPrEx>
        <w:trPr>
          <w:trHeight w:val="612" w:hRule="atLeast"/>
        </w:trPr>
        <w:tc>
          <w:tcPr>
            <w:tcW w:w="739"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6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9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B202 制度执行有效性</w:t>
            </w:r>
          </w:p>
        </w:tc>
        <w:tc>
          <w:tcPr>
            <w:tcW w:w="6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5</w:t>
            </w:r>
          </w:p>
        </w:tc>
        <w:tc>
          <w:tcPr>
            <w:tcW w:w="111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项目实施是否符合相关管理规定，用以反映和考核相关管理制度的有效执行情况</w:t>
            </w:r>
          </w:p>
        </w:tc>
        <w:tc>
          <w:tcPr>
            <w:tcW w:w="70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w:t>
            </w:r>
          </w:p>
        </w:tc>
        <w:tc>
          <w:tcPr>
            <w:tcW w:w="87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有效</w:t>
            </w:r>
          </w:p>
        </w:tc>
        <w:tc>
          <w:tcPr>
            <w:tcW w:w="81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通用标准</w:t>
            </w:r>
          </w:p>
        </w:tc>
        <w:tc>
          <w:tcPr>
            <w:tcW w:w="23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本项目</w:t>
            </w:r>
            <w:r>
              <w:rPr>
                <w:rFonts w:hint="eastAsia" w:ascii="宋体" w:hAnsi="宋体" w:eastAsia="宋体" w:cs="宋体"/>
                <w:kern w:val="0"/>
                <w:sz w:val="24"/>
                <w:szCs w:val="24"/>
                <w:highlight w:val="none"/>
              </w:rPr>
              <w:t>①</w:t>
            </w:r>
            <w:r>
              <w:rPr>
                <w:rFonts w:cs="Times New Roman"/>
                <w:kern w:val="0"/>
                <w:sz w:val="24"/>
                <w:szCs w:val="24"/>
                <w:highlight w:val="none"/>
              </w:rPr>
              <w:t>调整和支出调整手续完备；</w:t>
            </w:r>
            <w:r>
              <w:rPr>
                <w:rFonts w:hint="eastAsia" w:ascii="宋体" w:hAnsi="宋体" w:eastAsia="宋体" w:cs="宋体"/>
                <w:kern w:val="0"/>
                <w:sz w:val="24"/>
                <w:szCs w:val="24"/>
                <w:highlight w:val="none"/>
              </w:rPr>
              <w:t>②</w:t>
            </w:r>
            <w:r>
              <w:rPr>
                <w:rFonts w:cs="Times New Roman"/>
                <w:kern w:val="0"/>
                <w:sz w:val="24"/>
                <w:szCs w:val="24"/>
                <w:highlight w:val="none"/>
              </w:rPr>
              <w:t>相关资料（包括招投标文件、中标通知书、合同书、验收报告等）齐全；</w:t>
            </w:r>
            <w:r>
              <w:rPr>
                <w:rFonts w:hint="eastAsia" w:ascii="宋体" w:hAnsi="宋体" w:eastAsia="宋体" w:cs="宋体"/>
                <w:kern w:val="0"/>
                <w:sz w:val="24"/>
                <w:szCs w:val="24"/>
                <w:highlight w:val="none"/>
              </w:rPr>
              <w:t>③</w:t>
            </w:r>
            <w:r>
              <w:rPr>
                <w:rFonts w:cs="Times New Roman"/>
                <w:kern w:val="0"/>
                <w:sz w:val="24"/>
                <w:szCs w:val="24"/>
                <w:highlight w:val="none"/>
              </w:rPr>
              <w:t>项目实施的人员条件、场地设备、信息支撑等落实到位；</w:t>
            </w:r>
            <w:r>
              <w:rPr>
                <w:rFonts w:hint="eastAsia" w:ascii="宋体" w:hAnsi="宋体" w:eastAsia="宋体" w:cs="宋体"/>
                <w:kern w:val="0"/>
                <w:sz w:val="24"/>
                <w:szCs w:val="24"/>
                <w:highlight w:val="none"/>
              </w:rPr>
              <w:t>④</w:t>
            </w:r>
            <w:r>
              <w:rPr>
                <w:rFonts w:cs="Times New Roman"/>
                <w:kern w:val="0"/>
                <w:sz w:val="24"/>
                <w:szCs w:val="24"/>
                <w:highlight w:val="none"/>
              </w:rPr>
              <w:t>采取相应的项目质量检查等必须的控制措施。以上四项各占25%权重分，符合要求则得对应权重分。</w:t>
            </w:r>
          </w:p>
        </w:tc>
        <w:tc>
          <w:tcPr>
            <w:tcW w:w="113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资金管理办法、中期监督管理材料、年度工作总结等</w:t>
            </w:r>
          </w:p>
        </w:tc>
        <w:tc>
          <w:tcPr>
            <w:tcW w:w="260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该项指标权重分为3分，实际得分3分。具体依据为：第一，13个可再生能源建筑应用示范项目和6个示范市县的调整和支出调整手续完备，该项要素得1.25分。第二，招投标文件、中标通知书、合同书、各类可行性报告、检测报告和验收报告等齐全，该项要素得1.25分。第三，项目实施的人员条件、场地设备、信息支撑等落实到位，该项桃酥得1.25分。第四，项目质量检查有相应的控制措施，该项要素得1.25分。综上，根据评分标准，该指标得100%权重分。</w:t>
            </w:r>
          </w:p>
        </w:tc>
        <w:tc>
          <w:tcPr>
            <w:tcW w:w="103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5</w:t>
            </w:r>
          </w:p>
        </w:tc>
      </w:tr>
      <w:tr>
        <w:tblPrEx>
          <w:tblLayout w:type="fixed"/>
          <w:tblCellMar>
            <w:top w:w="0" w:type="dxa"/>
            <w:left w:w="0" w:type="dxa"/>
            <w:bottom w:w="0" w:type="dxa"/>
            <w:right w:w="0" w:type="dxa"/>
          </w:tblCellMar>
        </w:tblPrEx>
        <w:trPr>
          <w:trHeight w:val="312" w:hRule="atLeast"/>
        </w:trPr>
        <w:tc>
          <w:tcPr>
            <w:tcW w:w="739"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C 项目产出</w:t>
            </w:r>
          </w:p>
        </w:tc>
        <w:tc>
          <w:tcPr>
            <w:tcW w:w="66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9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30</w:t>
            </w:r>
          </w:p>
        </w:tc>
        <w:tc>
          <w:tcPr>
            <w:tcW w:w="111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70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87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81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23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260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p>
        </w:tc>
        <w:tc>
          <w:tcPr>
            <w:tcW w:w="103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82.23%</w:t>
            </w:r>
          </w:p>
        </w:tc>
        <w:tc>
          <w:tcPr>
            <w:tcW w:w="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24.67</w:t>
            </w:r>
          </w:p>
        </w:tc>
      </w:tr>
      <w:tr>
        <w:tblPrEx>
          <w:tblLayout w:type="fixed"/>
          <w:tblCellMar>
            <w:top w:w="0" w:type="dxa"/>
            <w:left w:w="0" w:type="dxa"/>
            <w:bottom w:w="0" w:type="dxa"/>
            <w:right w:w="0" w:type="dxa"/>
          </w:tblCellMar>
        </w:tblPrEx>
        <w:trPr>
          <w:trHeight w:val="312" w:hRule="atLeast"/>
        </w:trPr>
        <w:tc>
          <w:tcPr>
            <w:tcW w:w="739"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6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C1 产出数量</w:t>
            </w:r>
          </w:p>
        </w:tc>
        <w:tc>
          <w:tcPr>
            <w:tcW w:w="69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16</w:t>
            </w:r>
          </w:p>
        </w:tc>
        <w:tc>
          <w:tcPr>
            <w:tcW w:w="111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70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87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81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23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260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p>
        </w:tc>
        <w:tc>
          <w:tcPr>
            <w:tcW w:w="103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66.69%</w:t>
            </w:r>
          </w:p>
        </w:tc>
        <w:tc>
          <w:tcPr>
            <w:tcW w:w="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10.67</w:t>
            </w:r>
          </w:p>
        </w:tc>
      </w:tr>
      <w:tr>
        <w:tblPrEx>
          <w:tblLayout w:type="fixed"/>
          <w:tblCellMar>
            <w:top w:w="0" w:type="dxa"/>
            <w:left w:w="0" w:type="dxa"/>
            <w:bottom w:w="0" w:type="dxa"/>
            <w:right w:w="0" w:type="dxa"/>
          </w:tblCellMar>
        </w:tblPrEx>
        <w:trPr>
          <w:trHeight w:val="1872" w:hRule="atLeast"/>
        </w:trPr>
        <w:tc>
          <w:tcPr>
            <w:tcW w:w="739"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p>
        </w:tc>
        <w:tc>
          <w:tcPr>
            <w:tcW w:w="66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p>
        </w:tc>
        <w:tc>
          <w:tcPr>
            <w:tcW w:w="69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eastAsia="宋体" w:cs="Times New Roman"/>
                <w:kern w:val="0"/>
                <w:sz w:val="24"/>
                <w:szCs w:val="24"/>
                <w:highlight w:val="none"/>
              </w:rPr>
            </w:pPr>
            <w:r>
              <w:rPr>
                <w:rFonts w:eastAsia="宋体" w:cs="Times New Roman"/>
                <w:kern w:val="0"/>
                <w:sz w:val="24"/>
                <w:szCs w:val="24"/>
                <w:highlight w:val="none"/>
              </w:rPr>
              <w:t>C101</w:t>
            </w:r>
            <w:r>
              <w:rPr>
                <w:rFonts w:cs="Times New Roman"/>
                <w:kern w:val="0"/>
                <w:sz w:val="24"/>
                <w:szCs w:val="24"/>
                <w:highlight w:val="none"/>
              </w:rPr>
              <w:t>示范面积完成率</w:t>
            </w:r>
          </w:p>
        </w:tc>
        <w:tc>
          <w:tcPr>
            <w:tcW w:w="6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eastAsia="宋体" w:cs="Times New Roman"/>
                <w:kern w:val="0"/>
                <w:sz w:val="24"/>
                <w:szCs w:val="24"/>
                <w:highlight w:val="none"/>
              </w:rPr>
            </w:pPr>
            <w:r>
              <w:rPr>
                <w:rFonts w:eastAsia="宋体" w:cs="Times New Roman"/>
                <w:kern w:val="0"/>
                <w:sz w:val="24"/>
                <w:szCs w:val="24"/>
                <w:highlight w:val="none"/>
              </w:rPr>
              <w:t>8</w:t>
            </w:r>
          </w:p>
        </w:tc>
        <w:tc>
          <w:tcPr>
            <w:tcW w:w="111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反映可再生能源应用示范项目示范面积完成情况</w:t>
            </w:r>
          </w:p>
        </w:tc>
        <w:tc>
          <w:tcPr>
            <w:tcW w:w="70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示范面积完成率=（实际完成示范面积/计划完成示范面积）*100%</w:t>
            </w:r>
          </w:p>
        </w:tc>
        <w:tc>
          <w:tcPr>
            <w:tcW w:w="87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eastAsia="宋体" w:cs="Times New Roman"/>
                <w:kern w:val="0"/>
                <w:sz w:val="24"/>
                <w:szCs w:val="24"/>
                <w:highlight w:val="none"/>
              </w:rPr>
            </w:pPr>
            <w:r>
              <w:rPr>
                <w:rFonts w:eastAsia="宋体" w:cs="Times New Roman"/>
                <w:kern w:val="0"/>
                <w:sz w:val="24"/>
                <w:szCs w:val="24"/>
                <w:highlight w:val="none"/>
              </w:rPr>
              <w:t>100%</w:t>
            </w:r>
          </w:p>
        </w:tc>
        <w:tc>
          <w:tcPr>
            <w:tcW w:w="81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计划标准</w:t>
            </w:r>
          </w:p>
        </w:tc>
        <w:tc>
          <w:tcPr>
            <w:tcW w:w="23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示范面积完成率达到100%，该指标得满分，每低于目标值1%，扣除该指标权重2%的分值；完成率低于60%时，该指标不得分。</w:t>
            </w:r>
          </w:p>
        </w:tc>
        <w:tc>
          <w:tcPr>
            <w:tcW w:w="113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项目工程监理、验收报告等</w:t>
            </w:r>
          </w:p>
        </w:tc>
        <w:tc>
          <w:tcPr>
            <w:tcW w:w="260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该项指标权重分为8分，实际得分8分。具体依据为：示范面积完成率=（108.51/108.51）*100%=100%。综上，根据评分标准，该指标得100%权重分。</w:t>
            </w:r>
          </w:p>
        </w:tc>
        <w:tc>
          <w:tcPr>
            <w:tcW w:w="103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8</w:t>
            </w:r>
          </w:p>
        </w:tc>
      </w:tr>
      <w:tr>
        <w:tblPrEx>
          <w:tblLayout w:type="fixed"/>
          <w:tblCellMar>
            <w:top w:w="0" w:type="dxa"/>
            <w:left w:w="0" w:type="dxa"/>
            <w:bottom w:w="0" w:type="dxa"/>
            <w:right w:w="0" w:type="dxa"/>
          </w:tblCellMar>
        </w:tblPrEx>
        <w:trPr>
          <w:trHeight w:val="1872" w:hRule="atLeast"/>
        </w:trPr>
        <w:tc>
          <w:tcPr>
            <w:tcW w:w="739"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p>
        </w:tc>
        <w:tc>
          <w:tcPr>
            <w:tcW w:w="66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p>
        </w:tc>
        <w:tc>
          <w:tcPr>
            <w:tcW w:w="69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eastAsia="宋体" w:cs="Times New Roman"/>
                <w:kern w:val="0"/>
                <w:sz w:val="24"/>
                <w:szCs w:val="24"/>
                <w:highlight w:val="none"/>
              </w:rPr>
            </w:pPr>
            <w:r>
              <w:rPr>
                <w:rFonts w:eastAsia="宋体" w:cs="Times New Roman"/>
                <w:kern w:val="0"/>
                <w:sz w:val="24"/>
                <w:szCs w:val="24"/>
                <w:highlight w:val="none"/>
              </w:rPr>
              <w:t>C102</w:t>
            </w:r>
            <w:r>
              <w:rPr>
                <w:rFonts w:cs="Times New Roman"/>
                <w:kern w:val="0"/>
                <w:sz w:val="24"/>
                <w:szCs w:val="24"/>
                <w:highlight w:val="none"/>
              </w:rPr>
              <w:t>示范市县完成率</w:t>
            </w:r>
          </w:p>
        </w:tc>
        <w:tc>
          <w:tcPr>
            <w:tcW w:w="6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eastAsia="宋体" w:cs="Times New Roman"/>
                <w:kern w:val="0"/>
                <w:sz w:val="24"/>
                <w:szCs w:val="24"/>
                <w:highlight w:val="none"/>
              </w:rPr>
            </w:pPr>
            <w:r>
              <w:rPr>
                <w:rFonts w:eastAsia="宋体" w:cs="Times New Roman"/>
                <w:kern w:val="0"/>
                <w:sz w:val="24"/>
                <w:szCs w:val="24"/>
                <w:highlight w:val="none"/>
              </w:rPr>
              <w:t>8</w:t>
            </w:r>
          </w:p>
        </w:tc>
        <w:tc>
          <w:tcPr>
            <w:tcW w:w="111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反映可再生能源应用示范项目示范市县完成情况</w:t>
            </w:r>
          </w:p>
        </w:tc>
        <w:tc>
          <w:tcPr>
            <w:tcW w:w="70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示范市县完成率=（实际完成示范市县数/计划完成示范市县数）*100%</w:t>
            </w:r>
          </w:p>
        </w:tc>
        <w:tc>
          <w:tcPr>
            <w:tcW w:w="87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eastAsia="宋体" w:cs="Times New Roman"/>
                <w:kern w:val="0"/>
                <w:sz w:val="24"/>
                <w:szCs w:val="24"/>
                <w:highlight w:val="none"/>
              </w:rPr>
            </w:pPr>
            <w:r>
              <w:rPr>
                <w:rFonts w:eastAsia="宋体" w:cs="Times New Roman"/>
                <w:kern w:val="0"/>
                <w:sz w:val="24"/>
                <w:szCs w:val="24"/>
                <w:highlight w:val="none"/>
              </w:rPr>
              <w:t>100%</w:t>
            </w:r>
          </w:p>
        </w:tc>
        <w:tc>
          <w:tcPr>
            <w:tcW w:w="81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计划标准</w:t>
            </w:r>
          </w:p>
        </w:tc>
        <w:tc>
          <w:tcPr>
            <w:tcW w:w="23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示范市县完成率达到100%，该指标得满分，每低于目标值1%，扣除该指标权重2%的分值；完成率低于60%时，该指标不得分。</w:t>
            </w:r>
          </w:p>
        </w:tc>
        <w:tc>
          <w:tcPr>
            <w:tcW w:w="113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项目工程监理、验收报告等</w:t>
            </w:r>
          </w:p>
        </w:tc>
        <w:tc>
          <w:tcPr>
            <w:tcW w:w="260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该项指标权重分为8分，实际得分2.67分。具体依据为：示范市县完成率=（4/6）*100%=66.67%。2022年，敦化市和临江市由于疫情影响，建筑主体未完工，申请延期，涉及3个项目，包括：吉鲁特种鞋服产业园区项目、六鼎山文化旅游公众服务中心项目、敦化六鼎山国际医疗产业园基础设施工程项目。目前未对上述市县进行验收。综上，根据评分标准，该指标得33.38%权重分。</w:t>
            </w:r>
          </w:p>
        </w:tc>
        <w:tc>
          <w:tcPr>
            <w:tcW w:w="103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33.38%</w:t>
            </w:r>
          </w:p>
        </w:tc>
        <w:tc>
          <w:tcPr>
            <w:tcW w:w="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2.67</w:t>
            </w:r>
          </w:p>
        </w:tc>
      </w:tr>
      <w:tr>
        <w:tblPrEx>
          <w:tblLayout w:type="fixed"/>
          <w:tblCellMar>
            <w:top w:w="0" w:type="dxa"/>
            <w:left w:w="0" w:type="dxa"/>
            <w:bottom w:w="0" w:type="dxa"/>
            <w:right w:w="0" w:type="dxa"/>
          </w:tblCellMar>
        </w:tblPrEx>
        <w:trPr>
          <w:trHeight w:val="312" w:hRule="atLeast"/>
        </w:trPr>
        <w:tc>
          <w:tcPr>
            <w:tcW w:w="739"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6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C2 产出质量</w:t>
            </w:r>
          </w:p>
        </w:tc>
        <w:tc>
          <w:tcPr>
            <w:tcW w:w="69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6</w:t>
            </w:r>
          </w:p>
        </w:tc>
        <w:tc>
          <w:tcPr>
            <w:tcW w:w="111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70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87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81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23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260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p>
        </w:tc>
        <w:tc>
          <w:tcPr>
            <w:tcW w:w="103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6</w:t>
            </w:r>
          </w:p>
        </w:tc>
      </w:tr>
      <w:tr>
        <w:tblPrEx>
          <w:tblLayout w:type="fixed"/>
          <w:tblCellMar>
            <w:top w:w="0" w:type="dxa"/>
            <w:left w:w="0" w:type="dxa"/>
            <w:bottom w:w="0" w:type="dxa"/>
            <w:right w:w="0" w:type="dxa"/>
          </w:tblCellMar>
        </w:tblPrEx>
        <w:trPr>
          <w:trHeight w:val="1248" w:hRule="atLeast"/>
        </w:trPr>
        <w:tc>
          <w:tcPr>
            <w:tcW w:w="739"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6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9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C201项目质量达标率</w:t>
            </w:r>
          </w:p>
        </w:tc>
        <w:tc>
          <w:tcPr>
            <w:tcW w:w="6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6</w:t>
            </w:r>
          </w:p>
        </w:tc>
        <w:tc>
          <w:tcPr>
            <w:tcW w:w="111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反映可再生能源应用示范项目建设质量符合标准情况</w:t>
            </w:r>
          </w:p>
        </w:tc>
        <w:tc>
          <w:tcPr>
            <w:tcW w:w="70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项目质量达标率=（通过验收项目数量/建设完成项目数量）*100%</w:t>
            </w:r>
          </w:p>
        </w:tc>
        <w:tc>
          <w:tcPr>
            <w:tcW w:w="87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w:t>
            </w:r>
          </w:p>
        </w:tc>
        <w:tc>
          <w:tcPr>
            <w:tcW w:w="81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计划标准</w:t>
            </w:r>
          </w:p>
        </w:tc>
        <w:tc>
          <w:tcPr>
            <w:tcW w:w="23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项目质量达标率达到100%，该指标得满分，每低于目标值1%，扣除该指标权重2%的分值；质量达标率低于60%时，该指标不得分。</w:t>
            </w:r>
          </w:p>
        </w:tc>
        <w:tc>
          <w:tcPr>
            <w:tcW w:w="113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项目工程监理、验收报告等</w:t>
            </w:r>
          </w:p>
        </w:tc>
        <w:tc>
          <w:tcPr>
            <w:tcW w:w="260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该项指标权重分为6分，实际得分6分。具体依据为：项目质量达标率=（53/53）*100%=100.00%。综上，根据评分标准，该指标得100%权重分。</w:t>
            </w:r>
          </w:p>
        </w:tc>
        <w:tc>
          <w:tcPr>
            <w:tcW w:w="103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6</w:t>
            </w:r>
          </w:p>
        </w:tc>
      </w:tr>
      <w:tr>
        <w:tblPrEx>
          <w:tblLayout w:type="fixed"/>
          <w:tblCellMar>
            <w:top w:w="0" w:type="dxa"/>
            <w:left w:w="0" w:type="dxa"/>
            <w:bottom w:w="0" w:type="dxa"/>
            <w:right w:w="0" w:type="dxa"/>
          </w:tblCellMar>
        </w:tblPrEx>
        <w:trPr>
          <w:trHeight w:val="312" w:hRule="atLeast"/>
        </w:trPr>
        <w:tc>
          <w:tcPr>
            <w:tcW w:w="739"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6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C3 产出时效</w:t>
            </w:r>
          </w:p>
        </w:tc>
        <w:tc>
          <w:tcPr>
            <w:tcW w:w="69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c>
          <w:tcPr>
            <w:tcW w:w="111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70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87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81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23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260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p>
        </w:tc>
        <w:tc>
          <w:tcPr>
            <w:tcW w:w="103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r>
      <w:tr>
        <w:tblPrEx>
          <w:tblLayout w:type="fixed"/>
          <w:tblCellMar>
            <w:top w:w="0" w:type="dxa"/>
            <w:left w:w="0" w:type="dxa"/>
            <w:bottom w:w="0" w:type="dxa"/>
            <w:right w:w="0" w:type="dxa"/>
          </w:tblCellMar>
        </w:tblPrEx>
        <w:trPr>
          <w:trHeight w:val="1248" w:hRule="atLeast"/>
        </w:trPr>
        <w:tc>
          <w:tcPr>
            <w:tcW w:w="739"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6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9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C301 项目建设完成及时率</w:t>
            </w:r>
          </w:p>
        </w:tc>
        <w:tc>
          <w:tcPr>
            <w:tcW w:w="6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c>
          <w:tcPr>
            <w:tcW w:w="111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反映可再生能源应用示范项目建设完成及时情况</w:t>
            </w:r>
          </w:p>
        </w:tc>
        <w:tc>
          <w:tcPr>
            <w:tcW w:w="70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完成及时率=（在规定时限内完工项目数量/完工项目数量）*100%</w:t>
            </w:r>
          </w:p>
        </w:tc>
        <w:tc>
          <w:tcPr>
            <w:tcW w:w="87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w:t>
            </w:r>
          </w:p>
        </w:tc>
        <w:tc>
          <w:tcPr>
            <w:tcW w:w="81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计划标准</w:t>
            </w:r>
          </w:p>
        </w:tc>
        <w:tc>
          <w:tcPr>
            <w:tcW w:w="23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完成及时率达到100%，该指标得满分；完成及时率每低于目标值1%，扣除该指标权重2%的分值；当完成及时率低于60%时，该指标不得分。</w:t>
            </w:r>
          </w:p>
        </w:tc>
        <w:tc>
          <w:tcPr>
            <w:tcW w:w="113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项目工程监理、验收报告等</w:t>
            </w:r>
          </w:p>
        </w:tc>
        <w:tc>
          <w:tcPr>
            <w:tcW w:w="260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该项指标权重分为4分，实际得分4分。具体依据为：项目质量达标率=（53/53）*100%=100.00%。综上，根据评分标准，该指标得100%权重分。</w:t>
            </w:r>
          </w:p>
        </w:tc>
        <w:tc>
          <w:tcPr>
            <w:tcW w:w="103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r>
      <w:tr>
        <w:tblPrEx>
          <w:tblLayout w:type="fixed"/>
          <w:tblCellMar>
            <w:top w:w="0" w:type="dxa"/>
            <w:left w:w="0" w:type="dxa"/>
            <w:bottom w:w="0" w:type="dxa"/>
            <w:right w:w="0" w:type="dxa"/>
          </w:tblCellMar>
        </w:tblPrEx>
        <w:trPr>
          <w:trHeight w:val="312" w:hRule="atLeast"/>
        </w:trPr>
        <w:tc>
          <w:tcPr>
            <w:tcW w:w="739"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6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C4 产出成本</w:t>
            </w:r>
          </w:p>
        </w:tc>
        <w:tc>
          <w:tcPr>
            <w:tcW w:w="69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c>
          <w:tcPr>
            <w:tcW w:w="111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70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87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81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23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260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p>
        </w:tc>
        <w:tc>
          <w:tcPr>
            <w:tcW w:w="103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r>
      <w:tr>
        <w:tblPrEx>
          <w:tblLayout w:type="fixed"/>
          <w:tblCellMar>
            <w:top w:w="0" w:type="dxa"/>
            <w:left w:w="0" w:type="dxa"/>
            <w:bottom w:w="0" w:type="dxa"/>
            <w:right w:w="0" w:type="dxa"/>
          </w:tblCellMar>
        </w:tblPrEx>
        <w:trPr>
          <w:trHeight w:val="1872" w:hRule="atLeast"/>
        </w:trPr>
        <w:tc>
          <w:tcPr>
            <w:tcW w:w="739"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6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9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C401 成本控制率</w:t>
            </w:r>
          </w:p>
        </w:tc>
        <w:tc>
          <w:tcPr>
            <w:tcW w:w="6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c>
          <w:tcPr>
            <w:tcW w:w="111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反映省级建筑节能奖补资金控制情况</w:t>
            </w:r>
          </w:p>
        </w:tc>
        <w:tc>
          <w:tcPr>
            <w:tcW w:w="70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成本控制率=（实际投入奖补资金/计划支出奖补资金）*100%</w:t>
            </w:r>
          </w:p>
        </w:tc>
        <w:tc>
          <w:tcPr>
            <w:tcW w:w="87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81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计划标准</w:t>
            </w:r>
          </w:p>
        </w:tc>
        <w:tc>
          <w:tcPr>
            <w:tcW w:w="23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成本控制率在100%以内，该指标得满分；成本控制率每高于目标值1%，扣除该指标权重4%的分值；当成本控制率高于目标值25%时，该指标不得分。</w:t>
            </w:r>
          </w:p>
        </w:tc>
        <w:tc>
          <w:tcPr>
            <w:tcW w:w="113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项目工程监理、验收报告等</w:t>
            </w:r>
          </w:p>
        </w:tc>
        <w:tc>
          <w:tcPr>
            <w:tcW w:w="260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该项指标权重分为4分，实际得分4分。具体依据为：成本控制率=（2955/2955）*100%=100.00%。综上，根据评分标准，该指标得100%权重分。</w:t>
            </w:r>
          </w:p>
        </w:tc>
        <w:tc>
          <w:tcPr>
            <w:tcW w:w="103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r>
      <w:tr>
        <w:tblPrEx>
          <w:tblLayout w:type="fixed"/>
          <w:tblCellMar>
            <w:top w:w="0" w:type="dxa"/>
            <w:left w:w="0" w:type="dxa"/>
            <w:bottom w:w="0" w:type="dxa"/>
            <w:right w:w="0" w:type="dxa"/>
          </w:tblCellMar>
        </w:tblPrEx>
        <w:trPr>
          <w:trHeight w:val="312" w:hRule="atLeast"/>
        </w:trPr>
        <w:tc>
          <w:tcPr>
            <w:tcW w:w="739"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D 项目效益</w:t>
            </w:r>
          </w:p>
        </w:tc>
        <w:tc>
          <w:tcPr>
            <w:tcW w:w="66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9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30</w:t>
            </w:r>
          </w:p>
        </w:tc>
        <w:tc>
          <w:tcPr>
            <w:tcW w:w="111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70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87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81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23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260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p>
        </w:tc>
        <w:tc>
          <w:tcPr>
            <w:tcW w:w="103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30</w:t>
            </w:r>
          </w:p>
        </w:tc>
      </w:tr>
      <w:tr>
        <w:tblPrEx>
          <w:tblLayout w:type="fixed"/>
          <w:tblCellMar>
            <w:top w:w="0" w:type="dxa"/>
            <w:left w:w="0" w:type="dxa"/>
            <w:bottom w:w="0" w:type="dxa"/>
            <w:right w:w="0" w:type="dxa"/>
          </w:tblCellMar>
        </w:tblPrEx>
        <w:trPr>
          <w:trHeight w:val="312" w:hRule="atLeast"/>
        </w:trPr>
        <w:tc>
          <w:tcPr>
            <w:tcW w:w="739"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6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D1 经济效益</w:t>
            </w:r>
          </w:p>
        </w:tc>
        <w:tc>
          <w:tcPr>
            <w:tcW w:w="69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8</w:t>
            </w:r>
          </w:p>
        </w:tc>
        <w:tc>
          <w:tcPr>
            <w:tcW w:w="111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70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87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81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23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260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p>
        </w:tc>
        <w:tc>
          <w:tcPr>
            <w:tcW w:w="103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8</w:t>
            </w:r>
          </w:p>
        </w:tc>
      </w:tr>
      <w:tr>
        <w:tblPrEx>
          <w:tblLayout w:type="fixed"/>
          <w:tblCellMar>
            <w:top w:w="0" w:type="dxa"/>
            <w:left w:w="0" w:type="dxa"/>
            <w:bottom w:w="0" w:type="dxa"/>
            <w:right w:w="0" w:type="dxa"/>
          </w:tblCellMar>
        </w:tblPrEx>
        <w:trPr>
          <w:trHeight w:val="1248" w:hRule="atLeast"/>
        </w:trPr>
        <w:tc>
          <w:tcPr>
            <w:tcW w:w="739"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6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9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D101 取暖成本下降情况</w:t>
            </w:r>
          </w:p>
        </w:tc>
        <w:tc>
          <w:tcPr>
            <w:tcW w:w="6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c>
          <w:tcPr>
            <w:tcW w:w="111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反映取暖成本变化情况</w:t>
            </w:r>
          </w:p>
        </w:tc>
        <w:tc>
          <w:tcPr>
            <w:tcW w:w="70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w:t>
            </w:r>
          </w:p>
        </w:tc>
        <w:tc>
          <w:tcPr>
            <w:tcW w:w="87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下降</w:t>
            </w:r>
          </w:p>
        </w:tc>
        <w:tc>
          <w:tcPr>
            <w:tcW w:w="81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计划标准</w:t>
            </w:r>
          </w:p>
        </w:tc>
        <w:tc>
          <w:tcPr>
            <w:tcW w:w="23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当成本同比出现下降的情况，该指标得70%的权重分数；每当成本同比下降1元，该指标得分增加3%；当成本同比下降超过10元及以上，该指标得满分。</w:t>
            </w:r>
          </w:p>
        </w:tc>
        <w:tc>
          <w:tcPr>
            <w:tcW w:w="113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现场访谈、项目验收报告、基础数据表等</w:t>
            </w:r>
          </w:p>
        </w:tc>
        <w:tc>
          <w:tcPr>
            <w:tcW w:w="260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该项指标权重分为4分，实际得分4分。具体依据为：通过现场调研及对项目单位和住建厅主要负责人的访谈可知，采用热泵系统供暖的建设项目，采暖费用节省10-15元/</w:t>
            </w:r>
            <w:r>
              <w:rPr>
                <w:rFonts w:eastAsia="Segoe UI Symbol" w:cs="Times New Roman"/>
                <w:kern w:val="0"/>
                <w:sz w:val="24"/>
                <w:szCs w:val="24"/>
                <w:highlight w:val="none"/>
              </w:rPr>
              <w:t>㎡</w:t>
            </w:r>
            <w:r>
              <w:rPr>
                <w:rFonts w:cs="Times New Roman"/>
                <w:kern w:val="0"/>
                <w:sz w:val="24"/>
                <w:szCs w:val="24"/>
                <w:highlight w:val="none"/>
              </w:rPr>
              <w:t>。综上，根据评分标准，该指标得100%权重分。</w:t>
            </w:r>
          </w:p>
        </w:tc>
        <w:tc>
          <w:tcPr>
            <w:tcW w:w="103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r>
      <w:tr>
        <w:tblPrEx>
          <w:tblLayout w:type="fixed"/>
          <w:tblCellMar>
            <w:top w:w="0" w:type="dxa"/>
            <w:left w:w="0" w:type="dxa"/>
            <w:bottom w:w="0" w:type="dxa"/>
            <w:right w:w="0" w:type="dxa"/>
          </w:tblCellMar>
        </w:tblPrEx>
        <w:trPr>
          <w:trHeight w:val="1248" w:hRule="atLeast"/>
        </w:trPr>
        <w:tc>
          <w:tcPr>
            <w:tcW w:w="739"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6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9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D102 制冷费用节约情况</w:t>
            </w:r>
          </w:p>
        </w:tc>
        <w:tc>
          <w:tcPr>
            <w:tcW w:w="6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c>
          <w:tcPr>
            <w:tcW w:w="111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反映制冷成本变化情况</w:t>
            </w:r>
          </w:p>
        </w:tc>
        <w:tc>
          <w:tcPr>
            <w:tcW w:w="70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w:t>
            </w:r>
          </w:p>
        </w:tc>
        <w:tc>
          <w:tcPr>
            <w:tcW w:w="87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节约</w:t>
            </w:r>
          </w:p>
        </w:tc>
        <w:tc>
          <w:tcPr>
            <w:tcW w:w="81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计划标准</w:t>
            </w:r>
          </w:p>
        </w:tc>
        <w:tc>
          <w:tcPr>
            <w:tcW w:w="23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当成本同比出现下降的情况，该指标得70%的权重分数；每当成本同比下降1%，该指标得分增加1%；当成本同比下降超过30%及以上，该指标得满分。</w:t>
            </w:r>
          </w:p>
        </w:tc>
        <w:tc>
          <w:tcPr>
            <w:tcW w:w="113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现场访谈、项目验收报告、基础数据表等</w:t>
            </w:r>
          </w:p>
        </w:tc>
        <w:tc>
          <w:tcPr>
            <w:tcW w:w="260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该项指标权重分为4分，实际得分4分。具体依据为：通过现场调研及对项目单位和住建厅主要负责人的访谈可知，采用可再生能源建筑项目的制冷费用相对传统空调节约50%左右。综上，根据评分标准，该指标得100%权重分。</w:t>
            </w:r>
          </w:p>
        </w:tc>
        <w:tc>
          <w:tcPr>
            <w:tcW w:w="103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r>
      <w:tr>
        <w:tblPrEx>
          <w:tblLayout w:type="fixed"/>
          <w:tblCellMar>
            <w:top w:w="0" w:type="dxa"/>
            <w:left w:w="0" w:type="dxa"/>
            <w:bottom w:w="0" w:type="dxa"/>
            <w:right w:w="0" w:type="dxa"/>
          </w:tblCellMar>
        </w:tblPrEx>
        <w:trPr>
          <w:trHeight w:val="312" w:hRule="atLeast"/>
        </w:trPr>
        <w:tc>
          <w:tcPr>
            <w:tcW w:w="739"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6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D2 社会效益</w:t>
            </w:r>
          </w:p>
        </w:tc>
        <w:tc>
          <w:tcPr>
            <w:tcW w:w="69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7</w:t>
            </w:r>
          </w:p>
        </w:tc>
        <w:tc>
          <w:tcPr>
            <w:tcW w:w="111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70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87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81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23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260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p>
        </w:tc>
        <w:tc>
          <w:tcPr>
            <w:tcW w:w="103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7</w:t>
            </w:r>
          </w:p>
        </w:tc>
      </w:tr>
      <w:tr>
        <w:tblPrEx>
          <w:tblLayout w:type="fixed"/>
          <w:tblCellMar>
            <w:top w:w="0" w:type="dxa"/>
            <w:left w:w="0" w:type="dxa"/>
            <w:bottom w:w="0" w:type="dxa"/>
            <w:right w:w="0" w:type="dxa"/>
          </w:tblCellMar>
        </w:tblPrEx>
        <w:trPr>
          <w:trHeight w:val="1248" w:hRule="atLeast"/>
        </w:trPr>
        <w:tc>
          <w:tcPr>
            <w:tcW w:w="739"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6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9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D201 新建绿色建筑占新建建筑比重</w:t>
            </w:r>
          </w:p>
        </w:tc>
        <w:tc>
          <w:tcPr>
            <w:tcW w:w="6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c>
          <w:tcPr>
            <w:tcW w:w="111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反映新建绿色建筑占新建建筑比重情况</w:t>
            </w:r>
          </w:p>
        </w:tc>
        <w:tc>
          <w:tcPr>
            <w:tcW w:w="70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w:t>
            </w:r>
          </w:p>
        </w:tc>
        <w:tc>
          <w:tcPr>
            <w:tcW w:w="87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90.00%</w:t>
            </w:r>
          </w:p>
        </w:tc>
        <w:tc>
          <w:tcPr>
            <w:tcW w:w="81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计划标准</w:t>
            </w:r>
          </w:p>
        </w:tc>
        <w:tc>
          <w:tcPr>
            <w:tcW w:w="23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通过访谈了解新建绿色建筑占新建建筑比重情况。大于等于目标值得满分，每低于目标值1%扣除2%的权重分。</w:t>
            </w:r>
          </w:p>
        </w:tc>
        <w:tc>
          <w:tcPr>
            <w:tcW w:w="113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现场访谈</w:t>
            </w:r>
          </w:p>
        </w:tc>
        <w:tc>
          <w:tcPr>
            <w:tcW w:w="260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该项指标权重分为4分，实际得分4分。具体依据为：通过现场访谈，全省累计建成绿色建筑面积1亿平方米，城镇绿色建筑占新建建筑比例从2017年40%，到2022年90.3%，平均每年增加10%，达到全国平均水平以上。同时，2023年第一季度城镇绿色建筑面积占城镇新建建筑比重超过90%，达到全国平均值以上。综上，根据评分标准，该指标得100%权重分。</w:t>
            </w:r>
          </w:p>
        </w:tc>
        <w:tc>
          <w:tcPr>
            <w:tcW w:w="103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r>
      <w:tr>
        <w:tblPrEx>
          <w:tblLayout w:type="fixed"/>
          <w:tblCellMar>
            <w:top w:w="0" w:type="dxa"/>
            <w:left w:w="0" w:type="dxa"/>
            <w:bottom w:w="0" w:type="dxa"/>
            <w:right w:w="0" w:type="dxa"/>
          </w:tblCellMar>
        </w:tblPrEx>
        <w:trPr>
          <w:trHeight w:val="1248" w:hRule="atLeast"/>
        </w:trPr>
        <w:tc>
          <w:tcPr>
            <w:tcW w:w="739"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6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9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D202 环境冷暖保障情况</w:t>
            </w:r>
          </w:p>
        </w:tc>
        <w:tc>
          <w:tcPr>
            <w:tcW w:w="6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3</w:t>
            </w:r>
          </w:p>
        </w:tc>
        <w:tc>
          <w:tcPr>
            <w:tcW w:w="111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反映环境冷暖保障情况</w:t>
            </w:r>
          </w:p>
        </w:tc>
        <w:tc>
          <w:tcPr>
            <w:tcW w:w="70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w:t>
            </w:r>
          </w:p>
        </w:tc>
        <w:tc>
          <w:tcPr>
            <w:tcW w:w="87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90.00%</w:t>
            </w:r>
          </w:p>
        </w:tc>
        <w:tc>
          <w:tcPr>
            <w:tcW w:w="81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计划标准</w:t>
            </w:r>
          </w:p>
        </w:tc>
        <w:tc>
          <w:tcPr>
            <w:tcW w:w="23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通过调查问卷获取受益群众对可再生能源项目取暖制冷的满意度来反映可再生能源项目对于环境冷暖的保障程度。大于等于目标值得满分，每低于目标值1%扣除2%的权重分。</w:t>
            </w:r>
          </w:p>
        </w:tc>
        <w:tc>
          <w:tcPr>
            <w:tcW w:w="113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调查问卷等</w:t>
            </w:r>
          </w:p>
        </w:tc>
        <w:tc>
          <w:tcPr>
            <w:tcW w:w="260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该项指标权重分为3分，实际得分3分。具体依据为：通过调查问卷，对可再生能源取暖项目取暖制冷等效果的满意度均为94.29%。综上，根据评分标准，该指标得100%权重分。</w:t>
            </w:r>
          </w:p>
        </w:tc>
        <w:tc>
          <w:tcPr>
            <w:tcW w:w="103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3</w:t>
            </w:r>
          </w:p>
        </w:tc>
      </w:tr>
      <w:tr>
        <w:tblPrEx>
          <w:tblLayout w:type="fixed"/>
          <w:tblCellMar>
            <w:top w:w="0" w:type="dxa"/>
            <w:left w:w="0" w:type="dxa"/>
            <w:bottom w:w="0" w:type="dxa"/>
            <w:right w:w="0" w:type="dxa"/>
          </w:tblCellMar>
        </w:tblPrEx>
        <w:trPr>
          <w:trHeight w:val="312" w:hRule="atLeast"/>
        </w:trPr>
        <w:tc>
          <w:tcPr>
            <w:tcW w:w="739"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6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D3 生态效益</w:t>
            </w:r>
          </w:p>
        </w:tc>
        <w:tc>
          <w:tcPr>
            <w:tcW w:w="69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8</w:t>
            </w:r>
          </w:p>
        </w:tc>
        <w:tc>
          <w:tcPr>
            <w:tcW w:w="111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70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87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81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23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260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p>
        </w:tc>
        <w:tc>
          <w:tcPr>
            <w:tcW w:w="103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8</w:t>
            </w:r>
          </w:p>
        </w:tc>
      </w:tr>
      <w:tr>
        <w:tblPrEx>
          <w:tblLayout w:type="fixed"/>
          <w:tblCellMar>
            <w:top w:w="0" w:type="dxa"/>
            <w:left w:w="0" w:type="dxa"/>
            <w:bottom w:w="0" w:type="dxa"/>
            <w:right w:w="0" w:type="dxa"/>
          </w:tblCellMar>
        </w:tblPrEx>
        <w:trPr>
          <w:trHeight w:val="936" w:hRule="atLeast"/>
        </w:trPr>
        <w:tc>
          <w:tcPr>
            <w:tcW w:w="739"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p>
        </w:tc>
        <w:tc>
          <w:tcPr>
            <w:tcW w:w="66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p>
        </w:tc>
        <w:tc>
          <w:tcPr>
            <w:tcW w:w="69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D301二氧化碳减排量</w:t>
            </w:r>
          </w:p>
        </w:tc>
        <w:tc>
          <w:tcPr>
            <w:tcW w:w="6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3</w:t>
            </w:r>
          </w:p>
        </w:tc>
        <w:tc>
          <w:tcPr>
            <w:tcW w:w="111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反映二氧化碳减排量情况</w:t>
            </w:r>
          </w:p>
        </w:tc>
        <w:tc>
          <w:tcPr>
            <w:tcW w:w="70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w:t>
            </w:r>
          </w:p>
        </w:tc>
        <w:tc>
          <w:tcPr>
            <w:tcW w:w="87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5.34万吨</w:t>
            </w:r>
          </w:p>
        </w:tc>
        <w:tc>
          <w:tcPr>
            <w:tcW w:w="81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计划标准</w:t>
            </w:r>
          </w:p>
        </w:tc>
        <w:tc>
          <w:tcPr>
            <w:tcW w:w="23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二氧化碳减排量达到目标值，该指标得满分；完成及时率每低于目标值1%，扣除该指标权重2%的分值；审核及时率低于60%时，该指标不得分。</w:t>
            </w:r>
          </w:p>
        </w:tc>
        <w:tc>
          <w:tcPr>
            <w:tcW w:w="113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现场访谈、基础数据表等</w:t>
            </w:r>
          </w:p>
        </w:tc>
        <w:tc>
          <w:tcPr>
            <w:tcW w:w="260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该项指标权重分为3分，实际得分3分。具体依据为：通过对基础数据表的复核及对项目单位和住建厅主要负责人的访谈可知，2021-2023年53个项目可减排二氧化碳5.34万吨。综上，根据评分标准，该指标得100%权重分。</w:t>
            </w:r>
          </w:p>
        </w:tc>
        <w:tc>
          <w:tcPr>
            <w:tcW w:w="103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3</w:t>
            </w:r>
          </w:p>
        </w:tc>
      </w:tr>
      <w:tr>
        <w:tblPrEx>
          <w:tblLayout w:type="fixed"/>
          <w:tblCellMar>
            <w:top w:w="0" w:type="dxa"/>
            <w:left w:w="0" w:type="dxa"/>
            <w:bottom w:w="0" w:type="dxa"/>
            <w:right w:w="0" w:type="dxa"/>
          </w:tblCellMar>
        </w:tblPrEx>
        <w:trPr>
          <w:trHeight w:val="1248" w:hRule="atLeast"/>
        </w:trPr>
        <w:tc>
          <w:tcPr>
            <w:tcW w:w="739"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6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9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D302 二氧化硫减排量</w:t>
            </w:r>
          </w:p>
        </w:tc>
        <w:tc>
          <w:tcPr>
            <w:tcW w:w="6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2</w:t>
            </w:r>
          </w:p>
        </w:tc>
        <w:tc>
          <w:tcPr>
            <w:tcW w:w="111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反映二氧化硫减排量情况</w:t>
            </w:r>
          </w:p>
        </w:tc>
        <w:tc>
          <w:tcPr>
            <w:tcW w:w="70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w:t>
            </w:r>
          </w:p>
        </w:tc>
        <w:tc>
          <w:tcPr>
            <w:tcW w:w="87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0.03万吨</w:t>
            </w:r>
          </w:p>
        </w:tc>
        <w:tc>
          <w:tcPr>
            <w:tcW w:w="81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计划标准</w:t>
            </w:r>
          </w:p>
        </w:tc>
        <w:tc>
          <w:tcPr>
            <w:tcW w:w="23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二氧化硫减排量达到目标值，该指标得满分；完成及时率每低于目标值1%，扣除该指标权重2%的分值；审核及时率低于60%时，该指标不得分。</w:t>
            </w:r>
          </w:p>
        </w:tc>
        <w:tc>
          <w:tcPr>
            <w:tcW w:w="113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现场访谈、基础数据表等</w:t>
            </w:r>
          </w:p>
        </w:tc>
        <w:tc>
          <w:tcPr>
            <w:tcW w:w="260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该项指标权重分为2分，实际得分2分。具体依据为：通过对基础数据表的复核及对项目单位和住建厅主要负责人的访谈可知，2021-2023年53个项目可减排二氧化硫0.03万吨。综上，根据评分标准，该指标得100%权重分。</w:t>
            </w:r>
          </w:p>
        </w:tc>
        <w:tc>
          <w:tcPr>
            <w:tcW w:w="103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2</w:t>
            </w:r>
          </w:p>
        </w:tc>
      </w:tr>
      <w:tr>
        <w:tblPrEx>
          <w:tblLayout w:type="fixed"/>
          <w:tblCellMar>
            <w:top w:w="0" w:type="dxa"/>
            <w:left w:w="0" w:type="dxa"/>
            <w:bottom w:w="0" w:type="dxa"/>
            <w:right w:w="0" w:type="dxa"/>
          </w:tblCellMar>
        </w:tblPrEx>
        <w:trPr>
          <w:trHeight w:val="1560" w:hRule="atLeast"/>
        </w:trPr>
        <w:tc>
          <w:tcPr>
            <w:tcW w:w="739"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6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9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D303 标准煤节约量</w:t>
            </w:r>
          </w:p>
        </w:tc>
        <w:tc>
          <w:tcPr>
            <w:tcW w:w="6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3</w:t>
            </w:r>
          </w:p>
        </w:tc>
        <w:tc>
          <w:tcPr>
            <w:tcW w:w="111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反映标准煤节约量情况</w:t>
            </w:r>
          </w:p>
        </w:tc>
        <w:tc>
          <w:tcPr>
            <w:tcW w:w="70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w:t>
            </w:r>
          </w:p>
        </w:tc>
        <w:tc>
          <w:tcPr>
            <w:tcW w:w="87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2.16万吨</w:t>
            </w:r>
          </w:p>
        </w:tc>
        <w:tc>
          <w:tcPr>
            <w:tcW w:w="81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计划标准</w:t>
            </w:r>
          </w:p>
        </w:tc>
        <w:tc>
          <w:tcPr>
            <w:tcW w:w="23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标准煤节约量达到目标值，该指标得满分；完成及时率每低于目标值1%，扣除该指标权重2%的分值；审核及时率低于60%时，该指标不得分。</w:t>
            </w:r>
          </w:p>
        </w:tc>
        <w:tc>
          <w:tcPr>
            <w:tcW w:w="113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现场访谈、基础数据表等</w:t>
            </w:r>
          </w:p>
        </w:tc>
        <w:tc>
          <w:tcPr>
            <w:tcW w:w="260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该项指标权重分为3分，实际得分3分。具体依据为：通过对基础数据表的复核及对项目单位和住建厅主要负责人的访谈可知，2021-2023年53个项目可节约标准煤2.16万吨。综上，根据评分标准，该指标得100%权重分。</w:t>
            </w:r>
          </w:p>
        </w:tc>
        <w:tc>
          <w:tcPr>
            <w:tcW w:w="103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3</w:t>
            </w:r>
          </w:p>
        </w:tc>
      </w:tr>
      <w:tr>
        <w:tblPrEx>
          <w:tblLayout w:type="fixed"/>
          <w:tblCellMar>
            <w:top w:w="0" w:type="dxa"/>
            <w:left w:w="0" w:type="dxa"/>
            <w:bottom w:w="0" w:type="dxa"/>
            <w:right w:w="0" w:type="dxa"/>
          </w:tblCellMar>
        </w:tblPrEx>
        <w:trPr>
          <w:trHeight w:val="312" w:hRule="atLeast"/>
        </w:trPr>
        <w:tc>
          <w:tcPr>
            <w:tcW w:w="739"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6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D4 可持续性影响</w:t>
            </w:r>
          </w:p>
        </w:tc>
        <w:tc>
          <w:tcPr>
            <w:tcW w:w="69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3</w:t>
            </w:r>
          </w:p>
        </w:tc>
        <w:tc>
          <w:tcPr>
            <w:tcW w:w="111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70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87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81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23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260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p>
        </w:tc>
        <w:tc>
          <w:tcPr>
            <w:tcW w:w="103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3</w:t>
            </w:r>
          </w:p>
        </w:tc>
      </w:tr>
      <w:tr>
        <w:tblPrEx>
          <w:tblLayout w:type="fixed"/>
          <w:tblCellMar>
            <w:top w:w="0" w:type="dxa"/>
            <w:left w:w="0" w:type="dxa"/>
            <w:bottom w:w="0" w:type="dxa"/>
            <w:right w:w="0" w:type="dxa"/>
          </w:tblCellMar>
        </w:tblPrEx>
        <w:trPr>
          <w:trHeight w:val="1037" w:hRule="atLeast"/>
        </w:trPr>
        <w:tc>
          <w:tcPr>
            <w:tcW w:w="739"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6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9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D401 长效机制健全性</w:t>
            </w:r>
          </w:p>
        </w:tc>
        <w:tc>
          <w:tcPr>
            <w:tcW w:w="6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3</w:t>
            </w:r>
          </w:p>
        </w:tc>
        <w:tc>
          <w:tcPr>
            <w:tcW w:w="111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反映长效机制健全情况</w:t>
            </w:r>
          </w:p>
        </w:tc>
        <w:tc>
          <w:tcPr>
            <w:tcW w:w="70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w:t>
            </w:r>
          </w:p>
        </w:tc>
        <w:tc>
          <w:tcPr>
            <w:tcW w:w="87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健全</w:t>
            </w:r>
          </w:p>
        </w:tc>
        <w:tc>
          <w:tcPr>
            <w:tcW w:w="81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通用标准</w:t>
            </w:r>
          </w:p>
        </w:tc>
        <w:tc>
          <w:tcPr>
            <w:tcW w:w="23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具备健全的长效机制，包括立项依据充分、完整，项目管理机制健全，财务管理有效，项目实施效益较佳；项目发展具有可持续性。该指标得满分，没出现1处不符合要求的现象，该指标扣除该指标20%的权重分数。当出现5处及以上现象，该指标不得分。</w:t>
            </w:r>
          </w:p>
        </w:tc>
        <w:tc>
          <w:tcPr>
            <w:tcW w:w="113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相关政策规划文件、部门三定方案、部门中长期规划、年度工作计划等</w:t>
            </w:r>
          </w:p>
        </w:tc>
        <w:tc>
          <w:tcPr>
            <w:tcW w:w="260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该项指标权重分为3分，实际得分3分。具体依据为：该项目立项依据充分必要，具备健全的长效机制，项目管理机制健全，财务管理有效，项目实施效益较佳，因此该项目发展具有可持续性。综上，根据评分标准，该指标得100%权重分。</w:t>
            </w:r>
          </w:p>
        </w:tc>
        <w:tc>
          <w:tcPr>
            <w:tcW w:w="103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3</w:t>
            </w:r>
          </w:p>
        </w:tc>
      </w:tr>
      <w:tr>
        <w:tblPrEx>
          <w:tblLayout w:type="fixed"/>
          <w:tblCellMar>
            <w:top w:w="0" w:type="dxa"/>
            <w:left w:w="0" w:type="dxa"/>
            <w:bottom w:w="0" w:type="dxa"/>
            <w:right w:w="0" w:type="dxa"/>
          </w:tblCellMar>
        </w:tblPrEx>
        <w:trPr>
          <w:trHeight w:val="312" w:hRule="atLeast"/>
        </w:trPr>
        <w:tc>
          <w:tcPr>
            <w:tcW w:w="739"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6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D5 满意度指标</w:t>
            </w:r>
          </w:p>
        </w:tc>
        <w:tc>
          <w:tcPr>
            <w:tcW w:w="69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c>
          <w:tcPr>
            <w:tcW w:w="111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70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87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81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23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260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p>
        </w:tc>
        <w:tc>
          <w:tcPr>
            <w:tcW w:w="103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r>
      <w:tr>
        <w:tblPrEx>
          <w:tblLayout w:type="fixed"/>
          <w:tblCellMar>
            <w:top w:w="0" w:type="dxa"/>
            <w:left w:w="0" w:type="dxa"/>
            <w:bottom w:w="0" w:type="dxa"/>
            <w:right w:w="0" w:type="dxa"/>
          </w:tblCellMar>
        </w:tblPrEx>
        <w:trPr>
          <w:trHeight w:val="936" w:hRule="atLeast"/>
        </w:trPr>
        <w:tc>
          <w:tcPr>
            <w:tcW w:w="739"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6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9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D501 受益群众满意度</w:t>
            </w:r>
          </w:p>
        </w:tc>
        <w:tc>
          <w:tcPr>
            <w:tcW w:w="6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c>
          <w:tcPr>
            <w:tcW w:w="111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反映受益群众满意度情况</w:t>
            </w:r>
          </w:p>
        </w:tc>
        <w:tc>
          <w:tcPr>
            <w:tcW w:w="70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w:t>
            </w:r>
          </w:p>
        </w:tc>
        <w:tc>
          <w:tcPr>
            <w:tcW w:w="87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90.00%</w:t>
            </w:r>
          </w:p>
        </w:tc>
        <w:tc>
          <w:tcPr>
            <w:tcW w:w="81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行业标准</w:t>
            </w:r>
          </w:p>
        </w:tc>
        <w:tc>
          <w:tcPr>
            <w:tcW w:w="23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根据问卷调查结果分析，满意度大于等于90%的得100%权重分，满意度小于90%且大于等于80%的得80%权重分，满意度小于80%且大于等于60%的得50%权重分，满意度小于60%不得分。</w:t>
            </w:r>
          </w:p>
        </w:tc>
        <w:tc>
          <w:tcPr>
            <w:tcW w:w="113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调查问卷</w:t>
            </w:r>
          </w:p>
        </w:tc>
        <w:tc>
          <w:tcPr>
            <w:tcW w:w="260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rPr>
                <w:rFonts w:cs="Times New Roman"/>
                <w:kern w:val="0"/>
                <w:sz w:val="24"/>
                <w:szCs w:val="24"/>
                <w:highlight w:val="none"/>
              </w:rPr>
            </w:pPr>
            <w:r>
              <w:rPr>
                <w:rFonts w:cs="Times New Roman"/>
                <w:kern w:val="0"/>
                <w:sz w:val="24"/>
                <w:szCs w:val="24"/>
                <w:highlight w:val="none"/>
              </w:rPr>
              <w:t>该项指标权重分为4分，实际得分4分。具体依据为：调查问卷显示项目整体的满意度为94.29%。综上，根据评分标准，该指标得100%权重分。</w:t>
            </w:r>
          </w:p>
        </w:tc>
        <w:tc>
          <w:tcPr>
            <w:tcW w:w="103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100.00%</w:t>
            </w:r>
          </w:p>
        </w:tc>
        <w:tc>
          <w:tcPr>
            <w:tcW w:w="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kern w:val="0"/>
                <w:sz w:val="24"/>
                <w:szCs w:val="24"/>
                <w:highlight w:val="none"/>
              </w:rPr>
            </w:pPr>
            <w:r>
              <w:rPr>
                <w:rFonts w:cs="Times New Roman"/>
                <w:kern w:val="0"/>
                <w:sz w:val="24"/>
                <w:szCs w:val="24"/>
                <w:highlight w:val="none"/>
              </w:rPr>
              <w:t>4</w:t>
            </w:r>
          </w:p>
        </w:tc>
      </w:tr>
      <w:tr>
        <w:tblPrEx>
          <w:tblLayout w:type="fixed"/>
          <w:tblCellMar>
            <w:top w:w="0" w:type="dxa"/>
            <w:left w:w="0" w:type="dxa"/>
            <w:bottom w:w="0" w:type="dxa"/>
            <w:right w:w="0" w:type="dxa"/>
          </w:tblCellMar>
        </w:tblPrEx>
        <w:trPr>
          <w:trHeight w:val="312" w:hRule="atLeast"/>
        </w:trPr>
        <w:tc>
          <w:tcPr>
            <w:tcW w:w="739"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b/>
                <w:bCs/>
                <w:kern w:val="0"/>
                <w:sz w:val="24"/>
                <w:szCs w:val="24"/>
                <w:highlight w:val="none"/>
              </w:rPr>
            </w:pPr>
            <w:r>
              <w:rPr>
                <w:rFonts w:cs="Times New Roman"/>
                <w:b/>
                <w:bCs/>
                <w:kern w:val="0"/>
                <w:sz w:val="24"/>
                <w:szCs w:val="24"/>
                <w:highlight w:val="none"/>
              </w:rPr>
              <w:t>合计</w:t>
            </w:r>
          </w:p>
        </w:tc>
        <w:tc>
          <w:tcPr>
            <w:tcW w:w="66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b/>
                <w:bCs/>
                <w:kern w:val="0"/>
                <w:sz w:val="24"/>
                <w:szCs w:val="24"/>
                <w:highlight w:val="none"/>
              </w:rPr>
            </w:pPr>
            <w:r>
              <w:rPr>
                <w:rFonts w:cs="Times New Roman"/>
                <w:b/>
                <w:bCs/>
                <w:kern w:val="0"/>
                <w:sz w:val="24"/>
                <w:szCs w:val="24"/>
                <w:highlight w:val="none"/>
              </w:rPr>
              <w:t>-</w:t>
            </w:r>
          </w:p>
        </w:tc>
        <w:tc>
          <w:tcPr>
            <w:tcW w:w="69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Times New Roman"/>
                <w:kern w:val="0"/>
                <w:sz w:val="20"/>
                <w:szCs w:val="20"/>
                <w:highlight w:val="none"/>
              </w:rPr>
            </w:pPr>
          </w:p>
        </w:tc>
        <w:tc>
          <w:tcPr>
            <w:tcW w:w="6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b/>
                <w:bCs/>
                <w:kern w:val="0"/>
                <w:sz w:val="24"/>
                <w:szCs w:val="24"/>
                <w:highlight w:val="none"/>
              </w:rPr>
            </w:pPr>
            <w:r>
              <w:rPr>
                <w:rFonts w:cs="Times New Roman"/>
                <w:b/>
                <w:bCs/>
                <w:kern w:val="0"/>
                <w:sz w:val="24"/>
                <w:szCs w:val="24"/>
                <w:highlight w:val="none"/>
              </w:rPr>
              <w:t>100</w:t>
            </w:r>
          </w:p>
        </w:tc>
        <w:tc>
          <w:tcPr>
            <w:tcW w:w="111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b/>
                <w:bCs/>
                <w:kern w:val="0"/>
                <w:sz w:val="24"/>
                <w:szCs w:val="24"/>
                <w:highlight w:val="none"/>
              </w:rPr>
            </w:pPr>
          </w:p>
        </w:tc>
        <w:tc>
          <w:tcPr>
            <w:tcW w:w="706"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b/>
                <w:bCs/>
                <w:kern w:val="0"/>
                <w:sz w:val="24"/>
                <w:szCs w:val="24"/>
                <w:highlight w:val="none"/>
              </w:rPr>
            </w:pPr>
          </w:p>
        </w:tc>
        <w:tc>
          <w:tcPr>
            <w:tcW w:w="87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b/>
                <w:bCs/>
                <w:kern w:val="0"/>
                <w:sz w:val="24"/>
                <w:szCs w:val="24"/>
                <w:highlight w:val="none"/>
              </w:rPr>
            </w:pPr>
          </w:p>
        </w:tc>
        <w:tc>
          <w:tcPr>
            <w:tcW w:w="815"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b/>
                <w:bCs/>
                <w:kern w:val="0"/>
                <w:sz w:val="24"/>
                <w:szCs w:val="24"/>
                <w:highlight w:val="none"/>
              </w:rPr>
            </w:pPr>
          </w:p>
        </w:tc>
        <w:tc>
          <w:tcPr>
            <w:tcW w:w="23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b/>
                <w:bCs/>
                <w:kern w:val="0"/>
                <w:sz w:val="24"/>
                <w:szCs w:val="24"/>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b/>
                <w:bCs/>
                <w:kern w:val="0"/>
                <w:sz w:val="24"/>
                <w:szCs w:val="24"/>
                <w:highlight w:val="none"/>
              </w:rPr>
            </w:pPr>
          </w:p>
        </w:tc>
        <w:tc>
          <w:tcPr>
            <w:tcW w:w="260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b/>
                <w:bCs/>
                <w:kern w:val="0"/>
                <w:sz w:val="24"/>
                <w:szCs w:val="24"/>
                <w:highlight w:val="none"/>
              </w:rPr>
            </w:pPr>
          </w:p>
        </w:tc>
        <w:tc>
          <w:tcPr>
            <w:tcW w:w="103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b/>
                <w:bCs/>
                <w:kern w:val="0"/>
                <w:sz w:val="24"/>
                <w:szCs w:val="24"/>
                <w:highlight w:val="none"/>
              </w:rPr>
            </w:pPr>
            <w:r>
              <w:rPr>
                <w:rFonts w:cs="Times New Roman"/>
                <w:b/>
                <w:bCs/>
                <w:kern w:val="0"/>
                <w:sz w:val="24"/>
                <w:szCs w:val="24"/>
                <w:highlight w:val="none"/>
              </w:rPr>
              <w:t>90.51%</w:t>
            </w:r>
          </w:p>
        </w:tc>
        <w:tc>
          <w:tcPr>
            <w:tcW w:w="55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cs="Times New Roman"/>
                <w:b/>
                <w:bCs/>
                <w:kern w:val="0"/>
                <w:sz w:val="24"/>
                <w:szCs w:val="24"/>
                <w:highlight w:val="none"/>
              </w:rPr>
            </w:pPr>
            <w:r>
              <w:rPr>
                <w:rFonts w:cs="Times New Roman"/>
                <w:b/>
                <w:bCs/>
                <w:kern w:val="0"/>
                <w:sz w:val="24"/>
                <w:szCs w:val="24"/>
                <w:highlight w:val="none"/>
              </w:rPr>
              <w:t>90.51</w:t>
            </w:r>
          </w:p>
        </w:tc>
      </w:tr>
    </w:tbl>
    <w:p>
      <w:pPr>
        <w:ind w:firstLine="560"/>
        <w:rPr>
          <w:rFonts w:cs="Times New Roman"/>
          <w:highlight w:val="none"/>
        </w:rPr>
        <w:sectPr>
          <w:pgSz w:w="16838" w:h="11906" w:orient="landscape"/>
          <w:pgMar w:top="1800" w:right="1440" w:bottom="1800" w:left="1440" w:header="851" w:footer="992" w:gutter="0"/>
          <w:cols w:space="425" w:num="1"/>
          <w:docGrid w:type="lines" w:linePitch="381" w:charSpace="0"/>
        </w:sectPr>
      </w:pPr>
    </w:p>
    <w:p>
      <w:pPr>
        <w:pStyle w:val="4"/>
        <w:rPr>
          <w:rFonts w:cs="Times New Roman"/>
          <w:highlight w:val="none"/>
        </w:rPr>
      </w:pPr>
      <w:bookmarkStart w:id="27" w:name="_Toc136264998"/>
      <w:bookmarkStart w:id="28" w:name="_Toc26050"/>
      <w:bookmarkStart w:id="29" w:name="_Toc10294"/>
      <w:bookmarkStart w:id="30" w:name="_Toc30195"/>
      <w:bookmarkStart w:id="31" w:name="_Toc3123"/>
      <w:bookmarkStart w:id="32" w:name="_Toc11239"/>
      <w:bookmarkStart w:id="33" w:name="_Toc19139"/>
      <w:bookmarkStart w:id="34" w:name="_Toc7483"/>
      <w:bookmarkStart w:id="35" w:name="_Toc23823"/>
      <w:bookmarkStart w:id="36" w:name="_Toc9511"/>
      <w:bookmarkStart w:id="37" w:name="_Toc49525227"/>
      <w:bookmarkStart w:id="38" w:name="_Toc14243"/>
      <w:bookmarkStart w:id="39" w:name="_Toc15341"/>
      <w:bookmarkStart w:id="40" w:name="_Toc23721"/>
      <w:bookmarkStart w:id="41" w:name="_Toc31195"/>
      <w:bookmarkStart w:id="42" w:name="_Toc27034"/>
      <w:bookmarkStart w:id="43" w:name="_Toc30658"/>
      <w:bookmarkStart w:id="44" w:name="_Toc2948"/>
      <w:bookmarkStart w:id="45" w:name="_Toc7182"/>
      <w:bookmarkStart w:id="46" w:name="_Toc27057"/>
      <w:bookmarkStart w:id="47" w:name="_Toc1582"/>
      <w:r>
        <w:rPr>
          <w:rFonts w:cs="Times New Roman"/>
          <w:highlight w:val="none"/>
        </w:rPr>
        <w:t>附件2 基础数据表</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pPr>
        <w:ind w:firstLine="0" w:firstLineChars="0"/>
        <w:jc w:val="center"/>
        <w:rPr>
          <w:rFonts w:cs="Times New Roman"/>
          <w:b/>
          <w:kern w:val="0"/>
          <w:sz w:val="24"/>
          <w:szCs w:val="28"/>
          <w:highlight w:val="none"/>
        </w:rPr>
      </w:pPr>
      <w:r>
        <w:rPr>
          <w:rFonts w:cs="Times New Roman"/>
          <w:b/>
          <w:kern w:val="0"/>
          <w:sz w:val="24"/>
          <w:szCs w:val="28"/>
          <w:highlight w:val="none"/>
        </w:rPr>
        <w:t>附录2-1 2021-2023年度吉林省建筑节能奖补资金项目基础数据表</w:t>
      </w:r>
    </w:p>
    <w:tbl>
      <w:tblPr>
        <w:tblStyle w:val="21"/>
        <w:tblW w:w="14174" w:type="dxa"/>
        <w:tblInd w:w="0" w:type="dxa"/>
        <w:tblLayout w:type="fixed"/>
        <w:tblCellMar>
          <w:top w:w="0" w:type="dxa"/>
          <w:left w:w="108" w:type="dxa"/>
          <w:bottom w:w="0" w:type="dxa"/>
          <w:right w:w="108" w:type="dxa"/>
        </w:tblCellMar>
      </w:tblPr>
      <w:tblGrid>
        <w:gridCol w:w="4326"/>
        <w:gridCol w:w="5349"/>
        <w:gridCol w:w="1205"/>
        <w:gridCol w:w="1278"/>
        <w:gridCol w:w="1128"/>
        <w:gridCol w:w="888"/>
      </w:tblGrid>
      <w:tr>
        <w:tblPrEx>
          <w:tblLayout w:type="fixed"/>
          <w:tblCellMar>
            <w:top w:w="0" w:type="dxa"/>
            <w:left w:w="108" w:type="dxa"/>
            <w:bottom w:w="0" w:type="dxa"/>
            <w:right w:w="108" w:type="dxa"/>
          </w:tblCellMar>
        </w:tblPrEx>
        <w:trPr>
          <w:trHeight w:val="669" w:hRule="atLeast"/>
          <w:tblHeader/>
        </w:trPr>
        <w:tc>
          <w:tcPr>
            <w:tcW w:w="4326" w:type="dxa"/>
            <w:tcBorders>
              <w:top w:val="single" w:color="auto" w:sz="4" w:space="0"/>
              <w:left w:val="single" w:color="auto" w:sz="4" w:space="0"/>
              <w:bottom w:val="single" w:color="auto" w:sz="4" w:space="0"/>
              <w:right w:val="single" w:color="auto" w:sz="4" w:space="0"/>
            </w:tcBorders>
            <w:shd w:val="clear" w:color="auto" w:fill="AEAAAA" w:themeFill="background2" w:themeFillShade="BF"/>
            <w:vAlign w:val="center"/>
          </w:tcPr>
          <w:p>
            <w:pPr>
              <w:spacing w:line="320" w:lineRule="exact"/>
              <w:ind w:firstLine="0" w:firstLineChars="0"/>
              <w:jc w:val="center"/>
              <w:rPr>
                <w:rFonts w:cs="Times New Roman"/>
                <w:b/>
                <w:bCs/>
                <w:kern w:val="0"/>
                <w:sz w:val="22"/>
                <w:szCs w:val="24"/>
                <w:highlight w:val="none"/>
              </w:rPr>
            </w:pPr>
            <w:r>
              <w:rPr>
                <w:rFonts w:cs="Times New Roman"/>
                <w:b/>
                <w:bCs/>
                <w:kern w:val="0"/>
                <w:sz w:val="22"/>
                <w:szCs w:val="24"/>
                <w:highlight w:val="none"/>
              </w:rPr>
              <w:t>考察内容</w:t>
            </w:r>
          </w:p>
        </w:tc>
        <w:tc>
          <w:tcPr>
            <w:tcW w:w="5349" w:type="dxa"/>
            <w:tcBorders>
              <w:top w:val="single" w:color="auto" w:sz="4" w:space="0"/>
              <w:left w:val="single" w:color="auto" w:sz="4" w:space="0"/>
              <w:bottom w:val="single" w:color="auto" w:sz="4" w:space="0"/>
              <w:right w:val="single" w:color="auto" w:sz="4" w:space="0"/>
            </w:tcBorders>
            <w:shd w:val="clear" w:color="auto" w:fill="AEAAAA" w:themeFill="background2" w:themeFillShade="BF"/>
            <w:vAlign w:val="center"/>
          </w:tcPr>
          <w:p>
            <w:pPr>
              <w:spacing w:line="320" w:lineRule="exact"/>
              <w:ind w:firstLine="0" w:firstLineChars="0"/>
              <w:jc w:val="center"/>
              <w:rPr>
                <w:rFonts w:cs="Times New Roman"/>
                <w:b/>
                <w:bCs/>
                <w:kern w:val="0"/>
                <w:sz w:val="22"/>
                <w:szCs w:val="24"/>
                <w:highlight w:val="none"/>
              </w:rPr>
            </w:pPr>
            <w:r>
              <w:rPr>
                <w:rFonts w:cs="Times New Roman"/>
                <w:b/>
                <w:bCs/>
                <w:kern w:val="0"/>
                <w:sz w:val="22"/>
                <w:szCs w:val="24"/>
                <w:highlight w:val="none"/>
              </w:rPr>
              <w:t>考察要素</w:t>
            </w:r>
          </w:p>
        </w:tc>
        <w:tc>
          <w:tcPr>
            <w:tcW w:w="1205" w:type="dxa"/>
            <w:tcBorders>
              <w:top w:val="single" w:color="auto" w:sz="4" w:space="0"/>
              <w:left w:val="single" w:color="auto" w:sz="4" w:space="0"/>
              <w:bottom w:val="single" w:color="auto" w:sz="4" w:space="0"/>
              <w:right w:val="single" w:color="auto" w:sz="4" w:space="0"/>
            </w:tcBorders>
            <w:shd w:val="clear" w:color="auto" w:fill="AEAAAA" w:themeFill="background2" w:themeFillShade="BF"/>
            <w:vAlign w:val="center"/>
          </w:tcPr>
          <w:p>
            <w:pPr>
              <w:spacing w:line="320" w:lineRule="exact"/>
              <w:ind w:firstLine="0" w:firstLineChars="0"/>
              <w:jc w:val="center"/>
              <w:rPr>
                <w:rFonts w:cs="Times New Roman"/>
                <w:b/>
                <w:bCs/>
                <w:kern w:val="0"/>
                <w:sz w:val="22"/>
                <w:szCs w:val="24"/>
                <w:highlight w:val="none"/>
              </w:rPr>
            </w:pPr>
            <w:r>
              <w:rPr>
                <w:rFonts w:cs="Times New Roman"/>
                <w:b/>
                <w:bCs/>
                <w:kern w:val="0"/>
                <w:sz w:val="22"/>
                <w:szCs w:val="24"/>
                <w:highlight w:val="none"/>
              </w:rPr>
              <w:t>2021年</w:t>
            </w:r>
          </w:p>
        </w:tc>
        <w:tc>
          <w:tcPr>
            <w:tcW w:w="1278" w:type="dxa"/>
            <w:tcBorders>
              <w:top w:val="single" w:color="auto" w:sz="4" w:space="0"/>
              <w:left w:val="single" w:color="auto" w:sz="4" w:space="0"/>
              <w:bottom w:val="single" w:color="auto" w:sz="4" w:space="0"/>
              <w:right w:val="single" w:color="auto" w:sz="4" w:space="0"/>
            </w:tcBorders>
            <w:shd w:val="clear" w:color="auto" w:fill="AEAAAA" w:themeFill="background2" w:themeFillShade="BF"/>
            <w:vAlign w:val="center"/>
          </w:tcPr>
          <w:p>
            <w:pPr>
              <w:spacing w:line="320" w:lineRule="exact"/>
              <w:ind w:firstLine="0" w:firstLineChars="0"/>
              <w:jc w:val="center"/>
              <w:rPr>
                <w:rFonts w:cs="Times New Roman"/>
                <w:b/>
                <w:bCs/>
                <w:kern w:val="0"/>
                <w:sz w:val="22"/>
                <w:szCs w:val="24"/>
                <w:highlight w:val="none"/>
              </w:rPr>
            </w:pPr>
            <w:r>
              <w:rPr>
                <w:rFonts w:cs="Times New Roman"/>
                <w:b/>
                <w:bCs/>
                <w:kern w:val="0"/>
                <w:sz w:val="22"/>
                <w:szCs w:val="24"/>
                <w:highlight w:val="none"/>
              </w:rPr>
              <w:t>2022年</w:t>
            </w:r>
          </w:p>
        </w:tc>
        <w:tc>
          <w:tcPr>
            <w:tcW w:w="1128" w:type="dxa"/>
            <w:tcBorders>
              <w:top w:val="single" w:color="auto" w:sz="4" w:space="0"/>
              <w:left w:val="single" w:color="auto" w:sz="4" w:space="0"/>
              <w:bottom w:val="single" w:color="auto" w:sz="4" w:space="0"/>
              <w:right w:val="single" w:color="auto" w:sz="4" w:space="0"/>
            </w:tcBorders>
            <w:shd w:val="clear" w:color="auto" w:fill="AEAAAA" w:themeFill="background2" w:themeFillShade="BF"/>
            <w:vAlign w:val="center"/>
          </w:tcPr>
          <w:p>
            <w:pPr>
              <w:spacing w:line="320" w:lineRule="exact"/>
              <w:ind w:firstLine="0" w:firstLineChars="0"/>
              <w:jc w:val="center"/>
              <w:rPr>
                <w:rFonts w:cs="Times New Roman"/>
                <w:b/>
                <w:bCs/>
                <w:kern w:val="0"/>
                <w:sz w:val="22"/>
                <w:szCs w:val="24"/>
                <w:highlight w:val="none"/>
              </w:rPr>
            </w:pPr>
            <w:r>
              <w:rPr>
                <w:rFonts w:cs="Times New Roman"/>
                <w:b/>
                <w:bCs/>
                <w:kern w:val="0"/>
                <w:sz w:val="22"/>
                <w:szCs w:val="24"/>
                <w:highlight w:val="none"/>
              </w:rPr>
              <w:t>2023年</w:t>
            </w:r>
          </w:p>
        </w:tc>
        <w:tc>
          <w:tcPr>
            <w:tcW w:w="888" w:type="dxa"/>
            <w:tcBorders>
              <w:top w:val="single" w:color="auto" w:sz="4" w:space="0"/>
              <w:left w:val="single" w:color="auto" w:sz="4" w:space="0"/>
              <w:bottom w:val="single" w:color="auto" w:sz="4" w:space="0"/>
              <w:right w:val="single" w:color="auto" w:sz="4" w:space="0"/>
            </w:tcBorders>
            <w:shd w:val="clear" w:color="auto" w:fill="AEAAAA" w:themeFill="background2" w:themeFillShade="BF"/>
            <w:vAlign w:val="center"/>
          </w:tcPr>
          <w:p>
            <w:pPr>
              <w:spacing w:line="320" w:lineRule="exact"/>
              <w:ind w:firstLine="0" w:firstLineChars="0"/>
              <w:jc w:val="center"/>
              <w:rPr>
                <w:rFonts w:cs="Times New Roman"/>
                <w:b/>
                <w:bCs/>
                <w:kern w:val="0"/>
                <w:sz w:val="22"/>
                <w:szCs w:val="24"/>
                <w:highlight w:val="none"/>
              </w:rPr>
            </w:pPr>
            <w:r>
              <w:rPr>
                <w:rFonts w:cs="Times New Roman"/>
                <w:b/>
                <w:bCs/>
                <w:kern w:val="0"/>
                <w:sz w:val="22"/>
                <w:szCs w:val="24"/>
                <w:highlight w:val="none"/>
              </w:rPr>
              <w:t>备注</w:t>
            </w:r>
          </w:p>
        </w:tc>
      </w:tr>
      <w:tr>
        <w:tblPrEx>
          <w:tblLayout w:type="fixed"/>
          <w:tblCellMar>
            <w:top w:w="0" w:type="dxa"/>
            <w:left w:w="108" w:type="dxa"/>
            <w:bottom w:w="0" w:type="dxa"/>
            <w:right w:w="108" w:type="dxa"/>
          </w:tblCellMar>
        </w:tblPrEx>
        <w:trPr>
          <w:trHeight w:val="340" w:hRule="atLeast"/>
        </w:trPr>
        <w:tc>
          <w:tcPr>
            <w:tcW w:w="432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示范面积完成率</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实际完成示范面积（万平方米）</w:t>
            </w: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12.74</w:t>
            </w:r>
          </w:p>
        </w:tc>
        <w:tc>
          <w:tcPr>
            <w:tcW w:w="127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82.91</w:t>
            </w:r>
          </w:p>
        </w:tc>
        <w:tc>
          <w:tcPr>
            <w:tcW w:w="112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18.26</w:t>
            </w:r>
          </w:p>
        </w:tc>
        <w:tc>
          <w:tcPr>
            <w:tcW w:w="88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p>
        </w:tc>
      </w:tr>
      <w:tr>
        <w:tblPrEx>
          <w:tblLayout w:type="fixed"/>
          <w:tblCellMar>
            <w:top w:w="0" w:type="dxa"/>
            <w:left w:w="108" w:type="dxa"/>
            <w:bottom w:w="0" w:type="dxa"/>
            <w:right w:w="108" w:type="dxa"/>
          </w:tblCellMar>
        </w:tblPrEx>
        <w:trPr>
          <w:trHeight w:val="340" w:hRule="atLeast"/>
        </w:trPr>
        <w:tc>
          <w:tcPr>
            <w:tcW w:w="4326"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p>
        </w:tc>
        <w:tc>
          <w:tcPr>
            <w:tcW w:w="5349"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计划完成示范面积（万平方米）</w:t>
            </w: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12.74</w:t>
            </w:r>
          </w:p>
        </w:tc>
        <w:tc>
          <w:tcPr>
            <w:tcW w:w="127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82.91</w:t>
            </w:r>
          </w:p>
        </w:tc>
        <w:tc>
          <w:tcPr>
            <w:tcW w:w="112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18.26</w:t>
            </w:r>
          </w:p>
        </w:tc>
        <w:tc>
          <w:tcPr>
            <w:tcW w:w="88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p>
        </w:tc>
      </w:tr>
      <w:tr>
        <w:tblPrEx>
          <w:tblLayout w:type="fixed"/>
          <w:tblCellMar>
            <w:top w:w="0" w:type="dxa"/>
            <w:left w:w="108" w:type="dxa"/>
            <w:bottom w:w="0" w:type="dxa"/>
            <w:right w:w="108" w:type="dxa"/>
          </w:tblCellMar>
        </w:tblPrEx>
        <w:trPr>
          <w:trHeight w:val="340" w:hRule="atLeast"/>
        </w:trPr>
        <w:tc>
          <w:tcPr>
            <w:tcW w:w="432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示范市县完成率</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实际完成示范市县数（个）</w:t>
            </w: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w:t>
            </w:r>
          </w:p>
        </w:tc>
        <w:tc>
          <w:tcPr>
            <w:tcW w:w="127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4</w:t>
            </w:r>
          </w:p>
        </w:tc>
        <w:tc>
          <w:tcPr>
            <w:tcW w:w="112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w:t>
            </w:r>
          </w:p>
        </w:tc>
        <w:tc>
          <w:tcPr>
            <w:tcW w:w="88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p>
        </w:tc>
      </w:tr>
      <w:tr>
        <w:tblPrEx>
          <w:tblLayout w:type="fixed"/>
          <w:tblCellMar>
            <w:top w:w="0" w:type="dxa"/>
            <w:left w:w="108" w:type="dxa"/>
            <w:bottom w:w="0" w:type="dxa"/>
            <w:right w:w="108" w:type="dxa"/>
          </w:tblCellMar>
        </w:tblPrEx>
        <w:trPr>
          <w:trHeight w:val="90" w:hRule="atLeast"/>
        </w:trPr>
        <w:tc>
          <w:tcPr>
            <w:tcW w:w="4326"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p>
        </w:tc>
        <w:tc>
          <w:tcPr>
            <w:tcW w:w="5349"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计划完成示范市县数（个）</w:t>
            </w: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w:t>
            </w:r>
          </w:p>
        </w:tc>
        <w:tc>
          <w:tcPr>
            <w:tcW w:w="127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6</w:t>
            </w:r>
          </w:p>
        </w:tc>
        <w:tc>
          <w:tcPr>
            <w:tcW w:w="112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w:t>
            </w:r>
          </w:p>
        </w:tc>
        <w:tc>
          <w:tcPr>
            <w:tcW w:w="88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p>
        </w:tc>
      </w:tr>
      <w:tr>
        <w:tblPrEx>
          <w:tblLayout w:type="fixed"/>
          <w:tblCellMar>
            <w:top w:w="0" w:type="dxa"/>
            <w:left w:w="108" w:type="dxa"/>
            <w:bottom w:w="0" w:type="dxa"/>
            <w:right w:w="108" w:type="dxa"/>
          </w:tblCellMar>
        </w:tblPrEx>
        <w:trPr>
          <w:trHeight w:val="340" w:hRule="atLeast"/>
        </w:trPr>
        <w:tc>
          <w:tcPr>
            <w:tcW w:w="432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项目质量达标率</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通过验收项目数量（个）</w:t>
            </w: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8</w:t>
            </w:r>
          </w:p>
        </w:tc>
        <w:tc>
          <w:tcPr>
            <w:tcW w:w="127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40</w:t>
            </w:r>
          </w:p>
        </w:tc>
        <w:tc>
          <w:tcPr>
            <w:tcW w:w="112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5</w:t>
            </w:r>
          </w:p>
        </w:tc>
        <w:tc>
          <w:tcPr>
            <w:tcW w:w="88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p>
        </w:tc>
      </w:tr>
      <w:tr>
        <w:tblPrEx>
          <w:tblLayout w:type="fixed"/>
          <w:tblCellMar>
            <w:top w:w="0" w:type="dxa"/>
            <w:left w:w="108" w:type="dxa"/>
            <w:bottom w:w="0" w:type="dxa"/>
            <w:right w:w="108" w:type="dxa"/>
          </w:tblCellMar>
        </w:tblPrEx>
        <w:trPr>
          <w:trHeight w:val="340" w:hRule="atLeast"/>
        </w:trPr>
        <w:tc>
          <w:tcPr>
            <w:tcW w:w="4326"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p>
        </w:tc>
        <w:tc>
          <w:tcPr>
            <w:tcW w:w="5349"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建设完成项目数量（个）</w:t>
            </w: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8</w:t>
            </w:r>
          </w:p>
        </w:tc>
        <w:tc>
          <w:tcPr>
            <w:tcW w:w="127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40</w:t>
            </w:r>
          </w:p>
        </w:tc>
        <w:tc>
          <w:tcPr>
            <w:tcW w:w="112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5</w:t>
            </w:r>
          </w:p>
        </w:tc>
        <w:tc>
          <w:tcPr>
            <w:tcW w:w="88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p>
        </w:tc>
      </w:tr>
      <w:tr>
        <w:tblPrEx>
          <w:tblLayout w:type="fixed"/>
          <w:tblCellMar>
            <w:top w:w="0" w:type="dxa"/>
            <w:left w:w="108" w:type="dxa"/>
            <w:bottom w:w="0" w:type="dxa"/>
            <w:right w:w="108" w:type="dxa"/>
          </w:tblCellMar>
        </w:tblPrEx>
        <w:trPr>
          <w:trHeight w:val="340" w:hRule="atLeast"/>
        </w:trPr>
        <w:tc>
          <w:tcPr>
            <w:tcW w:w="4326" w:type="dxa"/>
            <w:vMerge w:val="restart"/>
            <w:tcBorders>
              <w:top w:val="single" w:color="auto" w:sz="4" w:space="0"/>
              <w:left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项目建设完成及时率</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在规定时限内建设完成数量（个）</w:t>
            </w: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8</w:t>
            </w:r>
          </w:p>
        </w:tc>
        <w:tc>
          <w:tcPr>
            <w:tcW w:w="127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40</w:t>
            </w:r>
          </w:p>
        </w:tc>
        <w:tc>
          <w:tcPr>
            <w:tcW w:w="112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5</w:t>
            </w:r>
          </w:p>
        </w:tc>
        <w:tc>
          <w:tcPr>
            <w:tcW w:w="88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p>
        </w:tc>
      </w:tr>
      <w:tr>
        <w:tblPrEx>
          <w:tblLayout w:type="fixed"/>
          <w:tblCellMar>
            <w:top w:w="0" w:type="dxa"/>
            <w:left w:w="108" w:type="dxa"/>
            <w:bottom w:w="0" w:type="dxa"/>
            <w:right w:w="108" w:type="dxa"/>
          </w:tblCellMar>
        </w:tblPrEx>
        <w:trPr>
          <w:trHeight w:val="340" w:hRule="atLeast"/>
        </w:trPr>
        <w:tc>
          <w:tcPr>
            <w:tcW w:w="4326" w:type="dxa"/>
            <w:vMerge w:val="continue"/>
            <w:tcBorders>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p>
        </w:tc>
        <w:tc>
          <w:tcPr>
            <w:tcW w:w="5349"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计划建设项目数量（个）</w:t>
            </w: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8</w:t>
            </w:r>
          </w:p>
        </w:tc>
        <w:tc>
          <w:tcPr>
            <w:tcW w:w="127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40</w:t>
            </w:r>
          </w:p>
        </w:tc>
        <w:tc>
          <w:tcPr>
            <w:tcW w:w="112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5</w:t>
            </w:r>
          </w:p>
        </w:tc>
        <w:tc>
          <w:tcPr>
            <w:tcW w:w="88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p>
        </w:tc>
      </w:tr>
      <w:tr>
        <w:tblPrEx>
          <w:tblLayout w:type="fixed"/>
          <w:tblCellMar>
            <w:top w:w="0" w:type="dxa"/>
            <w:left w:w="108" w:type="dxa"/>
            <w:bottom w:w="0" w:type="dxa"/>
            <w:right w:w="108" w:type="dxa"/>
          </w:tblCellMar>
        </w:tblPrEx>
        <w:trPr>
          <w:trHeight w:val="340" w:hRule="atLeast"/>
        </w:trPr>
        <w:tc>
          <w:tcPr>
            <w:tcW w:w="4326" w:type="dxa"/>
            <w:vMerge w:val="restart"/>
            <w:tcBorders>
              <w:top w:val="single" w:color="000000" w:sz="6" w:space="0"/>
              <w:left w:val="single" w:color="000000" w:sz="6" w:space="0"/>
              <w:bottom w:val="single" w:color="000000" w:sz="6" w:space="0"/>
              <w:right w:val="single" w:color="000000" w:sz="6"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成本控制率</w:t>
            </w:r>
          </w:p>
        </w:tc>
        <w:tc>
          <w:tcPr>
            <w:tcW w:w="5349" w:type="dxa"/>
            <w:tcBorders>
              <w:top w:val="single" w:color="auto" w:sz="4" w:space="0"/>
              <w:left w:val="single" w:color="000000" w:sz="6"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实际投入奖补资金（万元）</w:t>
            </w: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310.47</w:t>
            </w:r>
          </w:p>
        </w:tc>
        <w:tc>
          <w:tcPr>
            <w:tcW w:w="127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2262.53</w:t>
            </w:r>
          </w:p>
        </w:tc>
        <w:tc>
          <w:tcPr>
            <w:tcW w:w="112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382</w:t>
            </w:r>
          </w:p>
        </w:tc>
        <w:tc>
          <w:tcPr>
            <w:tcW w:w="88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p>
        </w:tc>
      </w:tr>
      <w:tr>
        <w:tblPrEx>
          <w:tblLayout w:type="fixed"/>
          <w:tblCellMar>
            <w:top w:w="0" w:type="dxa"/>
            <w:left w:w="108" w:type="dxa"/>
            <w:bottom w:w="0" w:type="dxa"/>
            <w:right w:w="108" w:type="dxa"/>
          </w:tblCellMar>
        </w:tblPrEx>
        <w:trPr>
          <w:trHeight w:val="340" w:hRule="atLeast"/>
        </w:trPr>
        <w:tc>
          <w:tcPr>
            <w:tcW w:w="4326" w:type="dxa"/>
            <w:vMerge w:val="continue"/>
            <w:tcBorders>
              <w:top w:val="single" w:color="000000" w:sz="6" w:space="0"/>
              <w:left w:val="single" w:color="000000" w:sz="6" w:space="0"/>
              <w:bottom w:val="single" w:color="000000" w:sz="6" w:space="0"/>
              <w:right w:val="single" w:color="000000" w:sz="6" w:space="0"/>
            </w:tcBorders>
            <w:vAlign w:val="center"/>
          </w:tcPr>
          <w:p>
            <w:pPr>
              <w:spacing w:line="320" w:lineRule="exact"/>
              <w:ind w:firstLine="0" w:firstLineChars="0"/>
              <w:jc w:val="center"/>
              <w:rPr>
                <w:rFonts w:cs="Times New Roman"/>
                <w:kern w:val="0"/>
                <w:sz w:val="22"/>
                <w:szCs w:val="24"/>
                <w:highlight w:val="none"/>
              </w:rPr>
            </w:pPr>
          </w:p>
        </w:tc>
        <w:tc>
          <w:tcPr>
            <w:tcW w:w="5349" w:type="dxa"/>
            <w:tcBorders>
              <w:top w:val="single" w:color="auto" w:sz="4" w:space="0"/>
              <w:left w:val="single" w:color="000000" w:sz="6"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计划支出奖补资金（万元）</w:t>
            </w: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310.47</w:t>
            </w:r>
          </w:p>
        </w:tc>
        <w:tc>
          <w:tcPr>
            <w:tcW w:w="127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2262.53</w:t>
            </w:r>
          </w:p>
        </w:tc>
        <w:tc>
          <w:tcPr>
            <w:tcW w:w="112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382</w:t>
            </w:r>
          </w:p>
        </w:tc>
        <w:tc>
          <w:tcPr>
            <w:tcW w:w="88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p>
        </w:tc>
      </w:tr>
      <w:tr>
        <w:tblPrEx>
          <w:tblLayout w:type="fixed"/>
          <w:tblCellMar>
            <w:top w:w="0" w:type="dxa"/>
            <w:left w:w="108" w:type="dxa"/>
            <w:bottom w:w="0" w:type="dxa"/>
            <w:right w:w="108" w:type="dxa"/>
          </w:tblCellMar>
        </w:tblPrEx>
        <w:trPr>
          <w:trHeight w:val="340" w:hRule="atLeast"/>
        </w:trPr>
        <w:tc>
          <w:tcPr>
            <w:tcW w:w="4326" w:type="dxa"/>
            <w:vMerge w:val="restart"/>
            <w:tcBorders>
              <w:top w:val="single" w:color="000000" w:sz="6" w:space="0"/>
              <w:left w:val="single" w:color="000000" w:sz="6" w:space="0"/>
              <w:bottom w:val="single" w:color="000000" w:sz="6" w:space="0"/>
              <w:right w:val="single" w:color="000000" w:sz="6"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二氧化碳减排量</w:t>
            </w:r>
          </w:p>
        </w:tc>
        <w:tc>
          <w:tcPr>
            <w:tcW w:w="5349" w:type="dxa"/>
            <w:tcBorders>
              <w:top w:val="single" w:color="auto" w:sz="4" w:space="0"/>
              <w:left w:val="single" w:color="000000" w:sz="6"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实际二氧化碳减排量（万吨）</w:t>
            </w: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0</w:t>
            </w:r>
          </w:p>
        </w:tc>
        <w:tc>
          <w:tcPr>
            <w:tcW w:w="127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0.03</w:t>
            </w:r>
          </w:p>
        </w:tc>
        <w:tc>
          <w:tcPr>
            <w:tcW w:w="112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0.01</w:t>
            </w:r>
          </w:p>
        </w:tc>
        <w:tc>
          <w:tcPr>
            <w:tcW w:w="88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p>
        </w:tc>
      </w:tr>
      <w:tr>
        <w:tblPrEx>
          <w:tblLayout w:type="fixed"/>
          <w:tblCellMar>
            <w:top w:w="0" w:type="dxa"/>
            <w:left w:w="108" w:type="dxa"/>
            <w:bottom w:w="0" w:type="dxa"/>
            <w:right w:w="108" w:type="dxa"/>
          </w:tblCellMar>
        </w:tblPrEx>
        <w:trPr>
          <w:trHeight w:val="340" w:hRule="atLeast"/>
        </w:trPr>
        <w:tc>
          <w:tcPr>
            <w:tcW w:w="4326" w:type="dxa"/>
            <w:vMerge w:val="continue"/>
            <w:tcBorders>
              <w:top w:val="single" w:color="000000" w:sz="6" w:space="0"/>
              <w:left w:val="single" w:color="000000" w:sz="6" w:space="0"/>
              <w:bottom w:val="single" w:color="000000" w:sz="6" w:space="0"/>
              <w:right w:val="single" w:color="000000" w:sz="6" w:space="0"/>
            </w:tcBorders>
            <w:vAlign w:val="center"/>
          </w:tcPr>
          <w:p>
            <w:pPr>
              <w:spacing w:line="320" w:lineRule="exact"/>
              <w:ind w:firstLine="0" w:firstLineChars="0"/>
              <w:jc w:val="center"/>
              <w:rPr>
                <w:rFonts w:cs="Times New Roman"/>
                <w:kern w:val="0"/>
                <w:sz w:val="22"/>
                <w:szCs w:val="24"/>
                <w:highlight w:val="none"/>
              </w:rPr>
            </w:pPr>
          </w:p>
        </w:tc>
        <w:tc>
          <w:tcPr>
            <w:tcW w:w="5349" w:type="dxa"/>
            <w:tcBorders>
              <w:top w:val="single" w:color="auto" w:sz="4" w:space="0"/>
              <w:left w:val="single" w:color="000000" w:sz="6"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计划二氧化碳减排量（万吨）</w:t>
            </w: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0</w:t>
            </w:r>
          </w:p>
        </w:tc>
        <w:tc>
          <w:tcPr>
            <w:tcW w:w="127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0.03</w:t>
            </w:r>
          </w:p>
        </w:tc>
        <w:tc>
          <w:tcPr>
            <w:tcW w:w="112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0.01</w:t>
            </w:r>
          </w:p>
        </w:tc>
        <w:tc>
          <w:tcPr>
            <w:tcW w:w="88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p>
        </w:tc>
      </w:tr>
      <w:tr>
        <w:tblPrEx>
          <w:tblLayout w:type="fixed"/>
          <w:tblCellMar>
            <w:top w:w="0" w:type="dxa"/>
            <w:left w:w="108" w:type="dxa"/>
            <w:bottom w:w="0" w:type="dxa"/>
            <w:right w:w="108" w:type="dxa"/>
          </w:tblCellMar>
        </w:tblPrEx>
        <w:trPr>
          <w:trHeight w:val="340" w:hRule="atLeast"/>
        </w:trPr>
        <w:tc>
          <w:tcPr>
            <w:tcW w:w="4326" w:type="dxa"/>
            <w:vMerge w:val="restart"/>
            <w:tcBorders>
              <w:top w:val="single" w:color="000000" w:sz="6" w:space="0"/>
              <w:left w:val="single" w:color="000000" w:sz="6" w:space="0"/>
              <w:bottom w:val="single" w:color="000000" w:sz="6" w:space="0"/>
              <w:right w:val="single" w:color="000000" w:sz="6"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二氧化硫减排量</w:t>
            </w:r>
          </w:p>
        </w:tc>
        <w:tc>
          <w:tcPr>
            <w:tcW w:w="5349" w:type="dxa"/>
            <w:tcBorders>
              <w:top w:val="single" w:color="auto" w:sz="4" w:space="0"/>
              <w:left w:val="single" w:color="000000" w:sz="6"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实际二氧化硫减排量（万吨）</w:t>
            </w: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0.64</w:t>
            </w:r>
          </w:p>
        </w:tc>
        <w:tc>
          <w:tcPr>
            <w:tcW w:w="127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3.78</w:t>
            </w:r>
          </w:p>
        </w:tc>
        <w:tc>
          <w:tcPr>
            <w:tcW w:w="112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0.92</w:t>
            </w:r>
          </w:p>
        </w:tc>
        <w:tc>
          <w:tcPr>
            <w:tcW w:w="88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p>
        </w:tc>
      </w:tr>
      <w:tr>
        <w:tblPrEx>
          <w:tblLayout w:type="fixed"/>
          <w:tblCellMar>
            <w:top w:w="0" w:type="dxa"/>
            <w:left w:w="108" w:type="dxa"/>
            <w:bottom w:w="0" w:type="dxa"/>
            <w:right w:w="108" w:type="dxa"/>
          </w:tblCellMar>
        </w:tblPrEx>
        <w:trPr>
          <w:trHeight w:val="347" w:hRule="atLeast"/>
        </w:trPr>
        <w:tc>
          <w:tcPr>
            <w:tcW w:w="4326" w:type="dxa"/>
            <w:vMerge w:val="continue"/>
            <w:tcBorders>
              <w:top w:val="single" w:color="000000" w:sz="6" w:space="0"/>
              <w:left w:val="single" w:color="000000" w:sz="6" w:space="0"/>
              <w:bottom w:val="single" w:color="000000" w:sz="6" w:space="0"/>
              <w:right w:val="single" w:color="000000" w:sz="6" w:space="0"/>
            </w:tcBorders>
            <w:vAlign w:val="center"/>
          </w:tcPr>
          <w:p>
            <w:pPr>
              <w:spacing w:line="320" w:lineRule="exact"/>
              <w:ind w:firstLine="0" w:firstLineChars="0"/>
              <w:jc w:val="center"/>
              <w:rPr>
                <w:rFonts w:cs="Times New Roman"/>
                <w:kern w:val="0"/>
                <w:sz w:val="22"/>
                <w:szCs w:val="24"/>
                <w:highlight w:val="none"/>
              </w:rPr>
            </w:pPr>
          </w:p>
        </w:tc>
        <w:tc>
          <w:tcPr>
            <w:tcW w:w="5349" w:type="dxa"/>
            <w:tcBorders>
              <w:top w:val="single" w:color="auto" w:sz="4" w:space="0"/>
              <w:left w:val="single" w:color="000000" w:sz="6"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计划二氧化硫减排量（万吨）</w:t>
            </w: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0.64</w:t>
            </w:r>
          </w:p>
        </w:tc>
        <w:tc>
          <w:tcPr>
            <w:tcW w:w="127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3.78</w:t>
            </w:r>
          </w:p>
        </w:tc>
        <w:tc>
          <w:tcPr>
            <w:tcW w:w="112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0.92</w:t>
            </w:r>
          </w:p>
        </w:tc>
        <w:tc>
          <w:tcPr>
            <w:tcW w:w="88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p>
        </w:tc>
      </w:tr>
      <w:tr>
        <w:tblPrEx>
          <w:tblLayout w:type="fixed"/>
          <w:tblCellMar>
            <w:top w:w="0" w:type="dxa"/>
            <w:left w:w="108" w:type="dxa"/>
            <w:bottom w:w="0" w:type="dxa"/>
            <w:right w:w="108" w:type="dxa"/>
          </w:tblCellMar>
        </w:tblPrEx>
        <w:trPr>
          <w:trHeight w:val="340" w:hRule="atLeast"/>
        </w:trPr>
        <w:tc>
          <w:tcPr>
            <w:tcW w:w="4326" w:type="dxa"/>
            <w:vMerge w:val="restart"/>
            <w:tcBorders>
              <w:top w:val="single" w:color="000000" w:sz="6" w:space="0"/>
              <w:left w:val="single" w:color="000000" w:sz="6" w:space="0"/>
              <w:bottom w:val="single" w:color="000000" w:sz="6" w:space="0"/>
              <w:right w:val="single" w:color="000000" w:sz="6"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标准煤节约量</w:t>
            </w:r>
          </w:p>
        </w:tc>
        <w:tc>
          <w:tcPr>
            <w:tcW w:w="5349" w:type="dxa"/>
            <w:tcBorders>
              <w:top w:val="single" w:color="auto" w:sz="4" w:space="0"/>
              <w:left w:val="single" w:color="000000" w:sz="6"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实际标准煤节约量（万吨）</w:t>
            </w: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0.26</w:t>
            </w:r>
          </w:p>
        </w:tc>
        <w:tc>
          <w:tcPr>
            <w:tcW w:w="127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1.53</w:t>
            </w:r>
          </w:p>
        </w:tc>
        <w:tc>
          <w:tcPr>
            <w:tcW w:w="112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0.37</w:t>
            </w:r>
          </w:p>
        </w:tc>
        <w:tc>
          <w:tcPr>
            <w:tcW w:w="88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p>
        </w:tc>
      </w:tr>
      <w:tr>
        <w:tblPrEx>
          <w:tblLayout w:type="fixed"/>
          <w:tblCellMar>
            <w:top w:w="0" w:type="dxa"/>
            <w:left w:w="108" w:type="dxa"/>
            <w:bottom w:w="0" w:type="dxa"/>
            <w:right w:w="108" w:type="dxa"/>
          </w:tblCellMar>
        </w:tblPrEx>
        <w:trPr>
          <w:trHeight w:val="340" w:hRule="atLeast"/>
        </w:trPr>
        <w:tc>
          <w:tcPr>
            <w:tcW w:w="4326" w:type="dxa"/>
            <w:vMerge w:val="continue"/>
            <w:tcBorders>
              <w:top w:val="single" w:color="000000" w:sz="6" w:space="0"/>
              <w:left w:val="single" w:color="000000" w:sz="6" w:space="0"/>
              <w:bottom w:val="single" w:color="000000" w:sz="6" w:space="0"/>
              <w:right w:val="single" w:color="000000" w:sz="6" w:space="0"/>
            </w:tcBorders>
            <w:vAlign w:val="center"/>
          </w:tcPr>
          <w:p>
            <w:pPr>
              <w:spacing w:line="320" w:lineRule="exact"/>
              <w:ind w:firstLine="0" w:firstLineChars="0"/>
              <w:jc w:val="center"/>
              <w:rPr>
                <w:rFonts w:cs="Times New Roman"/>
                <w:kern w:val="0"/>
                <w:sz w:val="22"/>
                <w:szCs w:val="24"/>
                <w:highlight w:val="none"/>
              </w:rPr>
            </w:pPr>
          </w:p>
        </w:tc>
        <w:tc>
          <w:tcPr>
            <w:tcW w:w="5349" w:type="dxa"/>
            <w:tcBorders>
              <w:top w:val="single" w:color="auto" w:sz="4" w:space="0"/>
              <w:left w:val="single" w:color="000000" w:sz="6"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计划标准煤节约量（万吨）</w:t>
            </w:r>
          </w:p>
        </w:tc>
        <w:tc>
          <w:tcPr>
            <w:tcW w:w="120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0.26</w:t>
            </w:r>
          </w:p>
        </w:tc>
        <w:tc>
          <w:tcPr>
            <w:tcW w:w="127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1.53</w:t>
            </w:r>
          </w:p>
        </w:tc>
        <w:tc>
          <w:tcPr>
            <w:tcW w:w="112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r>
              <w:rPr>
                <w:rFonts w:cs="Times New Roman"/>
                <w:kern w:val="0"/>
                <w:sz w:val="22"/>
                <w:szCs w:val="24"/>
                <w:highlight w:val="none"/>
              </w:rPr>
              <w:t>0.37</w:t>
            </w:r>
          </w:p>
        </w:tc>
        <w:tc>
          <w:tcPr>
            <w:tcW w:w="88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cs="Times New Roman"/>
                <w:kern w:val="0"/>
                <w:sz w:val="22"/>
                <w:szCs w:val="24"/>
                <w:highlight w:val="none"/>
              </w:rPr>
            </w:pPr>
          </w:p>
        </w:tc>
      </w:tr>
    </w:tbl>
    <w:p>
      <w:pPr>
        <w:ind w:firstLine="560"/>
        <w:rPr>
          <w:rFonts w:cs="Times New Roman"/>
          <w:highlight w:val="none"/>
        </w:rPr>
        <w:sectPr>
          <w:pgSz w:w="16838" w:h="11906" w:orient="landscape"/>
          <w:pgMar w:top="1800" w:right="1440" w:bottom="1800" w:left="1440" w:header="851" w:footer="992" w:gutter="0"/>
          <w:cols w:space="425" w:num="1"/>
          <w:docGrid w:type="lines" w:linePitch="381" w:charSpace="0"/>
        </w:sectPr>
      </w:pPr>
    </w:p>
    <w:p>
      <w:pPr>
        <w:pStyle w:val="4"/>
        <w:rPr>
          <w:rFonts w:cs="Times New Roman"/>
          <w:highlight w:val="none"/>
        </w:rPr>
      </w:pPr>
      <w:bookmarkStart w:id="48" w:name="_Toc136264999"/>
      <w:r>
        <w:rPr>
          <w:rFonts w:cs="Times New Roman"/>
          <w:highlight w:val="none"/>
        </w:rPr>
        <w:t>附件3 调查问卷分析报告</w:t>
      </w:r>
      <w:bookmarkEnd w:id="48"/>
    </w:p>
    <w:p>
      <w:pPr>
        <w:ind w:firstLine="482"/>
        <w:jc w:val="left"/>
        <w:rPr>
          <w:rFonts w:cs="Times New Roman"/>
          <w:b/>
          <w:sz w:val="24"/>
          <w:szCs w:val="24"/>
          <w:highlight w:val="none"/>
        </w:rPr>
      </w:pPr>
      <w:r>
        <w:rPr>
          <w:rFonts w:cs="Times New Roman"/>
          <w:b/>
          <w:sz w:val="24"/>
          <w:szCs w:val="24"/>
          <w:highlight w:val="none"/>
        </w:rPr>
        <w:t>一、调研对象与调研内容</w:t>
      </w:r>
    </w:p>
    <w:p>
      <w:pPr>
        <w:ind w:firstLine="482"/>
        <w:jc w:val="left"/>
        <w:rPr>
          <w:rFonts w:cs="Times New Roman"/>
          <w:b/>
          <w:sz w:val="24"/>
          <w:szCs w:val="24"/>
          <w:highlight w:val="none"/>
        </w:rPr>
      </w:pPr>
      <w:r>
        <w:rPr>
          <w:rFonts w:cs="Times New Roman"/>
          <w:b/>
          <w:sz w:val="24"/>
          <w:szCs w:val="24"/>
          <w:highlight w:val="none"/>
        </w:rPr>
        <w:t>（一）调研对象</w:t>
      </w:r>
    </w:p>
    <w:p>
      <w:pPr>
        <w:ind w:firstLine="480"/>
        <w:jc w:val="left"/>
        <w:rPr>
          <w:rFonts w:cs="Times New Roman"/>
          <w:sz w:val="24"/>
          <w:szCs w:val="24"/>
          <w:highlight w:val="none"/>
        </w:rPr>
      </w:pPr>
      <w:r>
        <w:rPr>
          <w:rFonts w:cs="Times New Roman"/>
          <w:sz w:val="24"/>
          <w:szCs w:val="24"/>
          <w:highlight w:val="none"/>
        </w:rPr>
        <w:t>本次调研对象为该项目的，为吉林省建筑节能奖补资金受益人员。</w:t>
      </w:r>
    </w:p>
    <w:p>
      <w:pPr>
        <w:ind w:firstLine="482"/>
        <w:jc w:val="left"/>
        <w:rPr>
          <w:rFonts w:cs="Times New Roman"/>
          <w:b/>
          <w:sz w:val="24"/>
          <w:szCs w:val="24"/>
          <w:highlight w:val="none"/>
        </w:rPr>
      </w:pPr>
      <w:r>
        <w:rPr>
          <w:rFonts w:cs="Times New Roman"/>
          <w:b/>
          <w:sz w:val="24"/>
          <w:szCs w:val="24"/>
          <w:highlight w:val="none"/>
        </w:rPr>
        <w:t>（二）调研内容</w:t>
      </w:r>
    </w:p>
    <w:p>
      <w:pPr>
        <w:ind w:firstLine="480"/>
        <w:jc w:val="left"/>
        <w:rPr>
          <w:rFonts w:cs="Times New Roman"/>
          <w:sz w:val="24"/>
          <w:szCs w:val="24"/>
          <w:highlight w:val="none"/>
        </w:rPr>
      </w:pPr>
      <w:r>
        <w:rPr>
          <w:rFonts w:cs="Times New Roman"/>
          <w:sz w:val="24"/>
          <w:szCs w:val="24"/>
          <w:highlight w:val="none"/>
        </w:rPr>
        <w:t>1.单选题：</w:t>
      </w:r>
    </w:p>
    <w:p>
      <w:pPr>
        <w:ind w:firstLine="480"/>
        <w:jc w:val="left"/>
        <w:rPr>
          <w:rFonts w:cs="Times New Roman"/>
          <w:sz w:val="24"/>
          <w:szCs w:val="24"/>
          <w:highlight w:val="none"/>
        </w:rPr>
      </w:pPr>
      <w:r>
        <w:rPr>
          <w:rFonts w:cs="Times New Roman"/>
          <w:sz w:val="24"/>
          <w:szCs w:val="24"/>
          <w:highlight w:val="none"/>
        </w:rPr>
        <w:tab/>
      </w:r>
      <w:r>
        <w:rPr>
          <w:rFonts w:cs="Times New Roman"/>
          <w:sz w:val="24"/>
          <w:szCs w:val="24"/>
          <w:highlight w:val="none"/>
        </w:rPr>
        <w:tab/>
      </w:r>
      <w:r>
        <w:rPr>
          <w:rFonts w:cs="Times New Roman"/>
          <w:sz w:val="24"/>
          <w:szCs w:val="24"/>
          <w:highlight w:val="none"/>
        </w:rPr>
        <w:t>您的性别是</w:t>
      </w:r>
    </w:p>
    <w:p>
      <w:pPr>
        <w:ind w:firstLine="480"/>
        <w:jc w:val="left"/>
        <w:rPr>
          <w:rFonts w:cs="Times New Roman"/>
          <w:sz w:val="24"/>
          <w:szCs w:val="24"/>
          <w:highlight w:val="none"/>
        </w:rPr>
      </w:pPr>
      <w:r>
        <w:rPr>
          <w:rFonts w:cs="Times New Roman"/>
          <w:sz w:val="24"/>
          <w:szCs w:val="24"/>
          <w:highlight w:val="none"/>
        </w:rPr>
        <w:tab/>
      </w:r>
      <w:r>
        <w:rPr>
          <w:rFonts w:cs="Times New Roman"/>
          <w:sz w:val="24"/>
          <w:szCs w:val="24"/>
          <w:highlight w:val="none"/>
        </w:rPr>
        <w:tab/>
      </w:r>
      <w:r>
        <w:rPr>
          <w:rFonts w:cs="Times New Roman"/>
          <w:sz w:val="24"/>
          <w:szCs w:val="24"/>
          <w:highlight w:val="none"/>
        </w:rPr>
        <w:t>您的年龄段是</w:t>
      </w:r>
    </w:p>
    <w:p>
      <w:pPr>
        <w:ind w:firstLine="480"/>
        <w:jc w:val="left"/>
        <w:rPr>
          <w:rFonts w:cs="Times New Roman"/>
          <w:sz w:val="24"/>
          <w:szCs w:val="24"/>
          <w:highlight w:val="none"/>
        </w:rPr>
      </w:pPr>
      <w:r>
        <w:rPr>
          <w:rFonts w:cs="Times New Roman"/>
          <w:sz w:val="24"/>
          <w:szCs w:val="24"/>
          <w:highlight w:val="none"/>
        </w:rPr>
        <w:tab/>
      </w:r>
      <w:r>
        <w:rPr>
          <w:rFonts w:cs="Times New Roman"/>
          <w:sz w:val="24"/>
          <w:szCs w:val="24"/>
          <w:highlight w:val="none"/>
        </w:rPr>
        <w:tab/>
      </w:r>
      <w:r>
        <w:rPr>
          <w:rFonts w:cs="Times New Roman"/>
          <w:sz w:val="24"/>
          <w:szCs w:val="24"/>
          <w:highlight w:val="none"/>
        </w:rPr>
        <w:t>您的受教育程度</w:t>
      </w:r>
    </w:p>
    <w:p>
      <w:pPr>
        <w:ind w:firstLine="480"/>
        <w:jc w:val="left"/>
        <w:rPr>
          <w:rFonts w:cs="Times New Roman"/>
          <w:sz w:val="24"/>
          <w:szCs w:val="24"/>
          <w:highlight w:val="none"/>
        </w:rPr>
      </w:pPr>
      <w:r>
        <w:rPr>
          <w:rFonts w:cs="Times New Roman"/>
          <w:sz w:val="24"/>
          <w:szCs w:val="24"/>
          <w:highlight w:val="none"/>
        </w:rPr>
        <w:tab/>
      </w:r>
      <w:r>
        <w:rPr>
          <w:rFonts w:cs="Times New Roman"/>
          <w:sz w:val="24"/>
          <w:szCs w:val="24"/>
          <w:highlight w:val="none"/>
        </w:rPr>
        <w:tab/>
      </w:r>
      <w:r>
        <w:rPr>
          <w:rFonts w:cs="Times New Roman"/>
          <w:sz w:val="24"/>
          <w:szCs w:val="24"/>
          <w:highlight w:val="none"/>
        </w:rPr>
        <w:t>1.您是否关注过建筑节能话题?</w:t>
      </w:r>
    </w:p>
    <w:p>
      <w:pPr>
        <w:ind w:firstLine="480"/>
        <w:jc w:val="left"/>
        <w:rPr>
          <w:rFonts w:cs="Times New Roman"/>
          <w:sz w:val="24"/>
          <w:szCs w:val="24"/>
          <w:highlight w:val="none"/>
        </w:rPr>
      </w:pPr>
      <w:r>
        <w:rPr>
          <w:rFonts w:cs="Times New Roman"/>
          <w:sz w:val="24"/>
          <w:szCs w:val="24"/>
          <w:highlight w:val="none"/>
        </w:rPr>
        <w:tab/>
      </w:r>
      <w:r>
        <w:rPr>
          <w:rFonts w:cs="Times New Roman"/>
          <w:sz w:val="24"/>
          <w:szCs w:val="24"/>
          <w:highlight w:val="none"/>
        </w:rPr>
        <w:tab/>
      </w:r>
      <w:r>
        <w:rPr>
          <w:rFonts w:cs="Times New Roman"/>
          <w:sz w:val="24"/>
          <w:szCs w:val="24"/>
          <w:highlight w:val="none"/>
        </w:rPr>
        <w:t>你对建筑节能是否了解？</w:t>
      </w:r>
    </w:p>
    <w:p>
      <w:pPr>
        <w:ind w:firstLine="480"/>
        <w:jc w:val="left"/>
        <w:rPr>
          <w:rFonts w:cs="Times New Roman"/>
          <w:sz w:val="24"/>
          <w:szCs w:val="24"/>
          <w:highlight w:val="none"/>
        </w:rPr>
      </w:pPr>
      <w:r>
        <w:rPr>
          <w:rFonts w:cs="Times New Roman"/>
          <w:sz w:val="24"/>
          <w:szCs w:val="24"/>
          <w:highlight w:val="none"/>
        </w:rPr>
        <w:tab/>
      </w:r>
      <w:r>
        <w:rPr>
          <w:rFonts w:cs="Times New Roman"/>
          <w:sz w:val="24"/>
          <w:szCs w:val="24"/>
          <w:highlight w:val="none"/>
        </w:rPr>
        <w:tab/>
      </w:r>
      <w:r>
        <w:rPr>
          <w:rFonts w:cs="Times New Roman"/>
          <w:sz w:val="24"/>
          <w:szCs w:val="24"/>
          <w:highlight w:val="none"/>
        </w:rPr>
        <w:t>您对本地区的可再生能源建筑应用项目是否了解?</w:t>
      </w:r>
    </w:p>
    <w:p>
      <w:pPr>
        <w:ind w:firstLine="480"/>
        <w:jc w:val="left"/>
        <w:rPr>
          <w:rFonts w:cs="Times New Roman"/>
          <w:sz w:val="24"/>
          <w:szCs w:val="24"/>
          <w:highlight w:val="none"/>
        </w:rPr>
      </w:pPr>
      <w:r>
        <w:rPr>
          <w:rFonts w:cs="Times New Roman"/>
          <w:sz w:val="24"/>
          <w:szCs w:val="24"/>
          <w:highlight w:val="none"/>
        </w:rPr>
        <w:tab/>
      </w:r>
      <w:r>
        <w:rPr>
          <w:rFonts w:cs="Times New Roman"/>
          <w:sz w:val="24"/>
          <w:szCs w:val="24"/>
          <w:highlight w:val="none"/>
        </w:rPr>
        <w:tab/>
      </w:r>
      <w:r>
        <w:rPr>
          <w:rFonts w:cs="Times New Roman"/>
          <w:sz w:val="24"/>
          <w:szCs w:val="24"/>
          <w:highlight w:val="none"/>
        </w:rPr>
        <w:t>你认为发展建筑节能是否有必要?</w:t>
      </w:r>
    </w:p>
    <w:p>
      <w:pPr>
        <w:ind w:firstLine="480"/>
        <w:jc w:val="left"/>
        <w:rPr>
          <w:rFonts w:cs="Times New Roman"/>
          <w:sz w:val="24"/>
          <w:szCs w:val="24"/>
          <w:highlight w:val="none"/>
        </w:rPr>
      </w:pPr>
      <w:r>
        <w:rPr>
          <w:rFonts w:cs="Times New Roman"/>
          <w:sz w:val="24"/>
          <w:szCs w:val="24"/>
          <w:highlight w:val="none"/>
        </w:rPr>
        <w:tab/>
      </w:r>
      <w:r>
        <w:rPr>
          <w:rFonts w:cs="Times New Roman"/>
          <w:sz w:val="24"/>
          <w:szCs w:val="24"/>
          <w:highlight w:val="none"/>
        </w:rPr>
        <w:tab/>
      </w:r>
      <w:r>
        <w:rPr>
          <w:rFonts w:cs="Times New Roman"/>
          <w:sz w:val="24"/>
          <w:szCs w:val="24"/>
          <w:highlight w:val="none"/>
        </w:rPr>
        <w:t>您认为该地区的可再生能源建筑应用项目取暖、制冷效果如何?</w:t>
      </w:r>
    </w:p>
    <w:p>
      <w:pPr>
        <w:ind w:firstLine="480"/>
        <w:jc w:val="left"/>
        <w:rPr>
          <w:rFonts w:cs="Times New Roman"/>
          <w:sz w:val="24"/>
          <w:szCs w:val="24"/>
          <w:highlight w:val="none"/>
        </w:rPr>
      </w:pPr>
      <w:r>
        <w:rPr>
          <w:rFonts w:cs="Times New Roman"/>
          <w:sz w:val="24"/>
          <w:szCs w:val="24"/>
          <w:highlight w:val="none"/>
        </w:rPr>
        <w:tab/>
      </w:r>
      <w:r>
        <w:rPr>
          <w:rFonts w:cs="Times New Roman"/>
          <w:sz w:val="24"/>
          <w:szCs w:val="24"/>
          <w:highlight w:val="none"/>
        </w:rPr>
        <w:tab/>
      </w:r>
      <w:r>
        <w:rPr>
          <w:rFonts w:cs="Times New Roman"/>
          <w:sz w:val="24"/>
          <w:szCs w:val="24"/>
          <w:highlight w:val="none"/>
        </w:rPr>
        <w:t>本地区的可再生能源建筑应用项目施工过程中有没有发生过安全事故?</w:t>
      </w:r>
    </w:p>
    <w:p>
      <w:pPr>
        <w:ind w:firstLine="480"/>
        <w:jc w:val="left"/>
        <w:rPr>
          <w:rFonts w:cs="Times New Roman"/>
          <w:sz w:val="24"/>
          <w:szCs w:val="24"/>
          <w:highlight w:val="none"/>
        </w:rPr>
      </w:pPr>
      <w:r>
        <w:rPr>
          <w:rFonts w:cs="Times New Roman"/>
          <w:sz w:val="24"/>
          <w:szCs w:val="24"/>
          <w:highlight w:val="none"/>
        </w:rPr>
        <w:tab/>
      </w:r>
      <w:r>
        <w:rPr>
          <w:rFonts w:cs="Times New Roman"/>
          <w:sz w:val="24"/>
          <w:szCs w:val="24"/>
          <w:highlight w:val="none"/>
        </w:rPr>
        <w:tab/>
      </w:r>
      <w:r>
        <w:rPr>
          <w:rFonts w:cs="Times New Roman"/>
          <w:sz w:val="24"/>
          <w:szCs w:val="24"/>
          <w:highlight w:val="none"/>
        </w:rPr>
        <w:t>若您居住的建筑是非节能建筑，您是否愿意进行节能改造？</w:t>
      </w:r>
    </w:p>
    <w:p>
      <w:pPr>
        <w:ind w:firstLine="480"/>
        <w:jc w:val="left"/>
        <w:rPr>
          <w:rFonts w:cs="Times New Roman"/>
          <w:sz w:val="24"/>
          <w:szCs w:val="24"/>
          <w:highlight w:val="none"/>
        </w:rPr>
      </w:pPr>
      <w:r>
        <w:rPr>
          <w:rFonts w:cs="Times New Roman"/>
          <w:sz w:val="24"/>
          <w:szCs w:val="24"/>
          <w:highlight w:val="none"/>
        </w:rPr>
        <w:tab/>
      </w:r>
      <w:r>
        <w:rPr>
          <w:rFonts w:cs="Times New Roman"/>
          <w:sz w:val="24"/>
          <w:szCs w:val="24"/>
          <w:highlight w:val="none"/>
        </w:rPr>
        <w:tab/>
      </w:r>
      <w:r>
        <w:rPr>
          <w:rFonts w:cs="Times New Roman"/>
          <w:sz w:val="24"/>
          <w:szCs w:val="24"/>
          <w:highlight w:val="none"/>
        </w:rPr>
        <w:t>您是否愿意购置节能房？</w:t>
      </w:r>
    </w:p>
    <w:p>
      <w:pPr>
        <w:ind w:firstLine="480"/>
        <w:jc w:val="left"/>
        <w:rPr>
          <w:rFonts w:cs="Times New Roman"/>
          <w:sz w:val="24"/>
          <w:szCs w:val="24"/>
          <w:highlight w:val="none"/>
        </w:rPr>
      </w:pPr>
      <w:r>
        <w:rPr>
          <w:rFonts w:cs="Times New Roman"/>
          <w:sz w:val="24"/>
          <w:szCs w:val="24"/>
          <w:highlight w:val="none"/>
        </w:rPr>
        <w:tab/>
      </w:r>
      <w:r>
        <w:rPr>
          <w:rFonts w:cs="Times New Roman"/>
          <w:sz w:val="24"/>
          <w:szCs w:val="24"/>
          <w:highlight w:val="none"/>
        </w:rPr>
        <w:tab/>
      </w:r>
      <w:r>
        <w:rPr>
          <w:rFonts w:cs="Times New Roman"/>
          <w:sz w:val="24"/>
          <w:szCs w:val="24"/>
          <w:highlight w:val="none"/>
        </w:rPr>
        <w:t>您认为节能建筑应该大力发展哪一类建筑？</w:t>
      </w:r>
    </w:p>
    <w:p>
      <w:pPr>
        <w:ind w:firstLine="480"/>
        <w:jc w:val="left"/>
        <w:rPr>
          <w:rFonts w:cs="Times New Roman"/>
          <w:sz w:val="24"/>
          <w:szCs w:val="24"/>
          <w:highlight w:val="none"/>
        </w:rPr>
      </w:pPr>
      <w:r>
        <w:rPr>
          <w:rFonts w:cs="Times New Roman"/>
          <w:sz w:val="24"/>
          <w:szCs w:val="24"/>
          <w:highlight w:val="none"/>
        </w:rPr>
        <w:t>2.满意度问题：</w:t>
      </w:r>
    </w:p>
    <w:p>
      <w:pPr>
        <w:ind w:firstLine="480"/>
        <w:jc w:val="left"/>
        <w:rPr>
          <w:rFonts w:cs="Times New Roman"/>
          <w:sz w:val="24"/>
          <w:szCs w:val="24"/>
          <w:highlight w:val="none"/>
        </w:rPr>
      </w:pPr>
      <w:r>
        <w:rPr>
          <w:rFonts w:cs="Times New Roman"/>
          <w:sz w:val="24"/>
          <w:szCs w:val="24"/>
          <w:highlight w:val="none"/>
        </w:rPr>
        <w:tab/>
      </w:r>
      <w:r>
        <w:rPr>
          <w:rFonts w:cs="Times New Roman"/>
          <w:sz w:val="24"/>
          <w:szCs w:val="24"/>
          <w:highlight w:val="none"/>
        </w:rPr>
        <w:tab/>
      </w:r>
      <w:r>
        <w:rPr>
          <w:rFonts w:cs="Times New Roman"/>
          <w:sz w:val="24"/>
          <w:szCs w:val="24"/>
          <w:highlight w:val="none"/>
        </w:rPr>
        <w:t>您对可再生能源建筑应用项目取暖效果的满意度</w:t>
      </w:r>
    </w:p>
    <w:p>
      <w:pPr>
        <w:ind w:firstLine="480"/>
        <w:jc w:val="left"/>
        <w:rPr>
          <w:rFonts w:cs="Times New Roman"/>
          <w:sz w:val="24"/>
          <w:szCs w:val="24"/>
          <w:highlight w:val="none"/>
        </w:rPr>
      </w:pPr>
      <w:r>
        <w:rPr>
          <w:rFonts w:cs="Times New Roman"/>
          <w:sz w:val="24"/>
          <w:szCs w:val="24"/>
          <w:highlight w:val="none"/>
        </w:rPr>
        <w:tab/>
      </w:r>
      <w:r>
        <w:rPr>
          <w:rFonts w:cs="Times New Roman"/>
          <w:sz w:val="24"/>
          <w:szCs w:val="24"/>
          <w:highlight w:val="none"/>
        </w:rPr>
        <w:tab/>
      </w:r>
      <w:r>
        <w:rPr>
          <w:rFonts w:cs="Times New Roman"/>
          <w:sz w:val="24"/>
          <w:szCs w:val="24"/>
          <w:highlight w:val="none"/>
        </w:rPr>
        <w:t>您对可再生能源建筑应用项目制冷效果的满意度</w:t>
      </w:r>
    </w:p>
    <w:p>
      <w:pPr>
        <w:ind w:firstLine="480"/>
        <w:jc w:val="left"/>
        <w:rPr>
          <w:rFonts w:cs="Times New Roman"/>
          <w:sz w:val="24"/>
          <w:szCs w:val="24"/>
          <w:highlight w:val="none"/>
        </w:rPr>
      </w:pPr>
      <w:r>
        <w:rPr>
          <w:rFonts w:cs="Times New Roman"/>
          <w:sz w:val="24"/>
          <w:szCs w:val="24"/>
          <w:highlight w:val="none"/>
        </w:rPr>
        <w:tab/>
      </w:r>
      <w:r>
        <w:rPr>
          <w:rFonts w:cs="Times New Roman"/>
          <w:sz w:val="24"/>
          <w:szCs w:val="24"/>
          <w:highlight w:val="none"/>
        </w:rPr>
        <w:tab/>
      </w:r>
      <w:r>
        <w:rPr>
          <w:rFonts w:cs="Times New Roman"/>
          <w:sz w:val="24"/>
          <w:szCs w:val="24"/>
          <w:highlight w:val="none"/>
        </w:rPr>
        <w:t>您对可再生能源建筑应用项目施工保障的满意度</w:t>
      </w:r>
    </w:p>
    <w:p>
      <w:pPr>
        <w:ind w:firstLine="480"/>
        <w:jc w:val="left"/>
        <w:rPr>
          <w:rFonts w:cs="Times New Roman"/>
          <w:sz w:val="24"/>
          <w:szCs w:val="24"/>
          <w:highlight w:val="none"/>
        </w:rPr>
      </w:pPr>
      <w:r>
        <w:rPr>
          <w:rFonts w:cs="Times New Roman"/>
          <w:sz w:val="24"/>
          <w:szCs w:val="24"/>
          <w:highlight w:val="none"/>
        </w:rPr>
        <w:tab/>
      </w:r>
      <w:r>
        <w:rPr>
          <w:rFonts w:cs="Times New Roman"/>
          <w:sz w:val="24"/>
          <w:szCs w:val="24"/>
          <w:highlight w:val="none"/>
        </w:rPr>
        <w:tab/>
      </w:r>
      <w:r>
        <w:rPr>
          <w:rFonts w:cs="Times New Roman"/>
          <w:sz w:val="24"/>
          <w:szCs w:val="24"/>
          <w:highlight w:val="none"/>
        </w:rPr>
        <w:t>您对可再生能源建筑应用项目节能效果的满意度</w:t>
      </w:r>
    </w:p>
    <w:p>
      <w:pPr>
        <w:ind w:firstLine="480"/>
        <w:jc w:val="left"/>
        <w:rPr>
          <w:rFonts w:cs="Times New Roman"/>
          <w:sz w:val="24"/>
          <w:szCs w:val="24"/>
          <w:highlight w:val="none"/>
        </w:rPr>
      </w:pPr>
      <w:r>
        <w:rPr>
          <w:rFonts w:cs="Times New Roman"/>
          <w:sz w:val="24"/>
          <w:szCs w:val="24"/>
          <w:highlight w:val="none"/>
        </w:rPr>
        <w:tab/>
      </w:r>
      <w:r>
        <w:rPr>
          <w:rFonts w:cs="Times New Roman"/>
          <w:sz w:val="24"/>
          <w:szCs w:val="24"/>
          <w:highlight w:val="none"/>
        </w:rPr>
        <w:tab/>
      </w:r>
      <w:r>
        <w:rPr>
          <w:rFonts w:cs="Times New Roman"/>
          <w:sz w:val="24"/>
          <w:szCs w:val="24"/>
          <w:highlight w:val="none"/>
        </w:rPr>
        <w:t>您对可再生能源建筑应用项目整体的满意度</w:t>
      </w:r>
    </w:p>
    <w:p>
      <w:pPr>
        <w:ind w:firstLine="482"/>
        <w:jc w:val="left"/>
        <w:rPr>
          <w:rFonts w:cs="Times New Roman"/>
          <w:b/>
          <w:sz w:val="24"/>
          <w:szCs w:val="24"/>
          <w:highlight w:val="none"/>
        </w:rPr>
      </w:pPr>
      <w:r>
        <w:rPr>
          <w:rFonts w:cs="Times New Roman"/>
          <w:b/>
          <w:sz w:val="24"/>
          <w:szCs w:val="24"/>
          <w:highlight w:val="none"/>
        </w:rPr>
        <w:t>二、调研方法与抽样方式</w:t>
      </w:r>
    </w:p>
    <w:p>
      <w:pPr>
        <w:ind w:firstLine="482"/>
        <w:jc w:val="left"/>
        <w:rPr>
          <w:rFonts w:cs="Times New Roman"/>
          <w:b/>
          <w:sz w:val="24"/>
          <w:szCs w:val="24"/>
          <w:highlight w:val="none"/>
        </w:rPr>
      </w:pPr>
      <w:r>
        <w:rPr>
          <w:rFonts w:cs="Times New Roman"/>
          <w:b/>
          <w:sz w:val="24"/>
          <w:szCs w:val="24"/>
          <w:highlight w:val="none"/>
        </w:rPr>
        <w:t>（一）调研方法</w:t>
      </w:r>
    </w:p>
    <w:p>
      <w:pPr>
        <w:ind w:firstLine="480"/>
        <w:jc w:val="left"/>
        <w:rPr>
          <w:rFonts w:cs="Times New Roman"/>
          <w:sz w:val="24"/>
          <w:szCs w:val="24"/>
          <w:highlight w:val="none"/>
        </w:rPr>
      </w:pPr>
      <w:r>
        <w:rPr>
          <w:rFonts w:cs="Times New Roman"/>
          <w:sz w:val="24"/>
          <w:szCs w:val="24"/>
          <w:highlight w:val="none"/>
        </w:rPr>
        <w:t>针对上述问卷对象开展问卷调查，在全面调研开展之前先进行论证，根据论证结果对问卷和抽样方式进行一次修改调整。</w:t>
      </w:r>
    </w:p>
    <w:p>
      <w:pPr>
        <w:ind w:firstLine="482"/>
        <w:jc w:val="left"/>
        <w:rPr>
          <w:rFonts w:cs="Times New Roman"/>
          <w:b/>
          <w:sz w:val="24"/>
          <w:szCs w:val="24"/>
          <w:highlight w:val="none"/>
        </w:rPr>
      </w:pPr>
      <w:r>
        <w:rPr>
          <w:rFonts w:cs="Times New Roman"/>
          <w:b/>
          <w:sz w:val="24"/>
          <w:szCs w:val="24"/>
          <w:highlight w:val="none"/>
        </w:rPr>
        <w:t>（二）抽样方式</w:t>
      </w:r>
    </w:p>
    <w:p>
      <w:pPr>
        <w:ind w:firstLine="480"/>
        <w:jc w:val="left"/>
        <w:rPr>
          <w:rFonts w:cs="Times New Roman"/>
          <w:sz w:val="24"/>
          <w:szCs w:val="24"/>
          <w:highlight w:val="none"/>
        </w:rPr>
      </w:pPr>
      <w:r>
        <w:rPr>
          <w:rFonts w:cs="Times New Roman"/>
          <w:sz w:val="24"/>
          <w:szCs w:val="24"/>
          <w:highlight w:val="none"/>
        </w:rPr>
        <w:t>本次问卷调查采用的方式是随机抽样。</w:t>
      </w:r>
    </w:p>
    <w:p>
      <w:pPr>
        <w:ind w:firstLine="482"/>
        <w:jc w:val="left"/>
        <w:rPr>
          <w:rFonts w:cs="Times New Roman"/>
          <w:b/>
          <w:sz w:val="24"/>
          <w:szCs w:val="24"/>
          <w:highlight w:val="none"/>
        </w:rPr>
      </w:pPr>
      <w:r>
        <w:rPr>
          <w:rFonts w:cs="Times New Roman"/>
          <w:b/>
          <w:sz w:val="24"/>
          <w:szCs w:val="24"/>
          <w:highlight w:val="none"/>
        </w:rPr>
        <w:t>三、问卷的发放和回收</w:t>
      </w:r>
    </w:p>
    <w:p>
      <w:pPr>
        <w:ind w:firstLine="482"/>
        <w:rPr>
          <w:rFonts w:cs="Times New Roman"/>
          <w:b/>
          <w:sz w:val="24"/>
          <w:szCs w:val="24"/>
          <w:highlight w:val="none"/>
        </w:rPr>
      </w:pPr>
      <w:r>
        <w:rPr>
          <w:rFonts w:cs="Times New Roman"/>
          <w:b/>
          <w:sz w:val="24"/>
          <w:szCs w:val="24"/>
          <w:highlight w:val="none"/>
        </w:rPr>
        <w:t>四、调查问卷的信度与效度分析</w:t>
      </w:r>
    </w:p>
    <w:p>
      <w:pPr>
        <w:ind w:firstLine="482"/>
        <w:rPr>
          <w:rFonts w:cs="Times New Roman"/>
          <w:b/>
          <w:sz w:val="24"/>
          <w:szCs w:val="24"/>
          <w:highlight w:val="none"/>
        </w:rPr>
      </w:pPr>
      <w:r>
        <w:rPr>
          <w:rFonts w:cs="Times New Roman"/>
          <w:b/>
          <w:sz w:val="24"/>
          <w:szCs w:val="24"/>
          <w:highlight w:val="none"/>
        </w:rPr>
        <w:t>1.信度分析</w:t>
      </w:r>
    </w:p>
    <w:p>
      <w:pPr>
        <w:ind w:firstLine="480"/>
        <w:rPr>
          <w:rFonts w:cs="Times New Roman"/>
          <w:kern w:val="0"/>
          <w:sz w:val="24"/>
          <w:szCs w:val="24"/>
          <w:highlight w:val="none"/>
        </w:rPr>
      </w:pPr>
      <w:r>
        <w:rPr>
          <w:rFonts w:cs="Times New Roman"/>
          <w:kern w:val="0"/>
          <w:sz w:val="24"/>
          <w:szCs w:val="24"/>
          <w:highlight w:val="none"/>
        </w:rPr>
        <w:t>信度（Reliability）是指测量结果的一致性、稳定性及可靠性。本次问卷调查运用克朗巴哈信度系数法（Cronbach α）来测量满意度问题的信度，其计算公式为：</w:t>
      </w:r>
    </w:p>
    <w:p>
      <w:pPr>
        <w:spacing w:line="240" w:lineRule="auto"/>
        <w:ind w:firstLine="0" w:firstLineChars="0"/>
        <w:jc w:val="center"/>
        <w:rPr>
          <w:rFonts w:eastAsia="宋体" w:cs="Times New Roman"/>
          <w:sz w:val="21"/>
          <w:highlight w:val="none"/>
        </w:rPr>
      </w:pPr>
      <w:r>
        <w:rPr>
          <w:rFonts w:eastAsia="宋体" w:cs="Times New Roman"/>
          <w:sz w:val="21"/>
          <w:highlight w:val="none"/>
        </w:rPr>
        <w:drawing>
          <wp:inline distT="0" distB="0" distL="0" distR="0">
            <wp:extent cx="2401570" cy="1296035"/>
            <wp:effectExtent l="19050" t="0" r="0" b="0"/>
            <wp:docPr id="1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pic:cNvPicPr>
                      <a:picLocks noChangeAspect="1" noChangeArrowheads="1"/>
                    </pic:cNvPicPr>
                  </pic:nvPicPr>
                  <pic:blipFill>
                    <a:blip r:embed="rId8"/>
                    <a:srcRect/>
                    <a:stretch>
                      <a:fillRect/>
                    </a:stretch>
                  </pic:blipFill>
                  <pic:spPr>
                    <a:xfrm>
                      <a:off x="0" y="0"/>
                      <a:ext cx="2401570" cy="1296035"/>
                    </a:xfrm>
                    <a:prstGeom prst="rect">
                      <a:avLst/>
                    </a:prstGeom>
                    <a:noFill/>
                    <a:ln w="9525">
                      <a:noFill/>
                      <a:miter lim="800000"/>
                      <a:headEnd/>
                      <a:tailEnd/>
                    </a:ln>
                  </pic:spPr>
                </pic:pic>
              </a:graphicData>
            </a:graphic>
          </wp:inline>
        </w:drawing>
      </w:r>
    </w:p>
    <w:p>
      <w:pPr>
        <w:ind w:firstLine="480"/>
        <w:rPr>
          <w:rFonts w:cs="Times New Roman"/>
          <w:kern w:val="0"/>
          <w:sz w:val="24"/>
          <w:szCs w:val="24"/>
          <w:highlight w:val="none"/>
        </w:rPr>
      </w:pPr>
      <w:r>
        <w:rPr>
          <w:rFonts w:cs="Times New Roman"/>
          <w:kern w:val="0"/>
          <w:sz w:val="24"/>
          <w:szCs w:val="24"/>
          <w:highlight w:val="none"/>
        </w:rPr>
        <w:t>其中</w:t>
      </w:r>
      <w:r>
        <w:rPr>
          <w:rFonts w:cs="Times New Roman"/>
          <w:kern w:val="0"/>
          <w:sz w:val="24"/>
          <w:szCs w:val="24"/>
          <w:highlight w:val="none"/>
        </w:rPr>
        <w:drawing>
          <wp:inline distT="0" distB="0" distL="0" distR="0">
            <wp:extent cx="142875" cy="142875"/>
            <wp:effectExtent l="0" t="0" r="9525"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2875" cy="142875"/>
                    </a:xfrm>
                    <a:prstGeom prst="rect">
                      <a:avLst/>
                    </a:prstGeom>
                    <a:noFill/>
                    <a:ln>
                      <a:noFill/>
                    </a:ln>
                  </pic:spPr>
                </pic:pic>
              </a:graphicData>
            </a:graphic>
          </wp:inline>
        </w:drawing>
      </w:r>
      <w:r>
        <w:rPr>
          <w:rFonts w:cs="Times New Roman"/>
          <w:kern w:val="0"/>
          <w:sz w:val="24"/>
          <w:szCs w:val="24"/>
          <w:highlight w:val="none"/>
        </w:rPr>
        <w:t>表示问卷中问题的数目，</w:t>
      </w:r>
      <w:r>
        <w:rPr>
          <w:rFonts w:cs="Times New Roman"/>
          <w:kern w:val="0"/>
          <w:sz w:val="24"/>
          <w:szCs w:val="24"/>
          <w:highlight w:val="none"/>
        </w:rPr>
        <w:drawing>
          <wp:inline distT="0" distB="0" distL="0" distR="0">
            <wp:extent cx="190500" cy="219075"/>
            <wp:effectExtent l="0" t="0" r="0"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r>
        <w:rPr>
          <w:rFonts w:cs="Times New Roman"/>
          <w:kern w:val="0"/>
          <w:sz w:val="24"/>
          <w:szCs w:val="24"/>
          <w:highlight w:val="none"/>
        </w:rPr>
        <w:t>为第</w:t>
      </w:r>
      <w:r>
        <w:rPr>
          <w:rFonts w:cs="Times New Roman"/>
          <w:kern w:val="0"/>
          <w:sz w:val="24"/>
          <w:szCs w:val="24"/>
          <w:highlight w:val="none"/>
        </w:rPr>
        <w:drawing>
          <wp:inline distT="0" distB="0" distL="0" distR="0">
            <wp:extent cx="85725" cy="142875"/>
            <wp:effectExtent l="0" t="0" r="9525"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85725" cy="142875"/>
                    </a:xfrm>
                    <a:prstGeom prst="rect">
                      <a:avLst/>
                    </a:prstGeom>
                    <a:noFill/>
                    <a:ln>
                      <a:noFill/>
                    </a:ln>
                  </pic:spPr>
                </pic:pic>
              </a:graphicData>
            </a:graphic>
          </wp:inline>
        </w:drawing>
      </w:r>
      <w:r>
        <w:rPr>
          <w:rFonts w:cs="Times New Roman"/>
          <w:kern w:val="0"/>
          <w:sz w:val="24"/>
          <w:szCs w:val="24"/>
          <w:highlight w:val="none"/>
        </w:rPr>
        <w:t>个问题得分的方差，</w:t>
      </w:r>
      <w:r>
        <w:rPr>
          <w:rFonts w:cs="Times New Roman"/>
          <w:kern w:val="0"/>
          <w:sz w:val="24"/>
          <w:szCs w:val="24"/>
          <w:highlight w:val="none"/>
        </w:rPr>
        <w:drawing>
          <wp:inline distT="0" distB="0" distL="0" distR="0">
            <wp:extent cx="190500" cy="219075"/>
            <wp:effectExtent l="0" t="0" r="0"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r>
        <w:rPr>
          <w:rFonts w:cs="Times New Roman"/>
          <w:kern w:val="0"/>
          <w:sz w:val="24"/>
          <w:szCs w:val="24"/>
          <w:highlight w:val="none"/>
        </w:rPr>
        <w:t>为总得分的方差。</w:t>
      </w:r>
    </w:p>
    <w:p>
      <w:pPr>
        <w:ind w:firstLine="480"/>
        <w:rPr>
          <w:rFonts w:cs="Times New Roman"/>
          <w:kern w:val="0"/>
          <w:sz w:val="24"/>
          <w:szCs w:val="24"/>
          <w:highlight w:val="none"/>
        </w:rPr>
      </w:pPr>
      <w:r>
        <w:rPr>
          <w:rFonts w:cs="Times New Roman"/>
          <w:kern w:val="0"/>
          <w:sz w:val="24"/>
          <w:szCs w:val="24"/>
          <w:highlight w:val="none"/>
        </w:rPr>
        <w:t>通常，克朗巴哈系数的值在0和1之间。通常情况下，信度系数在0.9以上，则认为量表的内在信度高；信度系数在0.8～0.9之间，则表示量表信度较高；信度系数在0.7～0.8之间，表示量表具有相当的信度；信度系数不超过0.7，一般认为内部一致信度不足。</w:t>
      </w:r>
    </w:p>
    <w:p>
      <w:pPr>
        <w:ind w:firstLine="480"/>
        <w:rPr>
          <w:rFonts w:cs="Times New Roman"/>
          <w:kern w:val="0"/>
          <w:sz w:val="24"/>
          <w:szCs w:val="24"/>
          <w:highlight w:val="none"/>
        </w:rPr>
      </w:pPr>
      <w:r>
        <w:rPr>
          <w:rFonts w:cs="Times New Roman"/>
          <w:kern w:val="0"/>
          <w:sz w:val="24"/>
          <w:szCs w:val="24"/>
          <w:highlight w:val="none"/>
        </w:rPr>
        <w:t>分析结果显示，本次吉林省建筑节能奖补资金受益人员调查问卷的信度为1</w:t>
      </w:r>
    </w:p>
    <w:p>
      <w:pPr>
        <w:spacing w:before="120" w:after="60"/>
        <w:ind w:firstLine="482"/>
        <w:rPr>
          <w:rFonts w:cs="Times New Roman"/>
          <w:b/>
          <w:sz w:val="24"/>
          <w:szCs w:val="24"/>
          <w:highlight w:val="none"/>
        </w:rPr>
      </w:pPr>
      <w:r>
        <w:rPr>
          <w:rFonts w:cs="Times New Roman"/>
          <w:b/>
          <w:sz w:val="24"/>
          <w:szCs w:val="24"/>
          <w:highlight w:val="none"/>
        </w:rPr>
        <w:t>2.效度分析</w:t>
      </w:r>
    </w:p>
    <w:p>
      <w:pPr>
        <w:ind w:firstLine="480"/>
        <w:rPr>
          <w:rFonts w:cs="Times New Roman"/>
          <w:kern w:val="0"/>
          <w:sz w:val="24"/>
          <w:szCs w:val="24"/>
          <w:highlight w:val="none"/>
        </w:rPr>
      </w:pPr>
      <w:r>
        <w:rPr>
          <w:rFonts w:cs="Times New Roman"/>
          <w:kern w:val="0"/>
          <w:sz w:val="24"/>
          <w:szCs w:val="24"/>
          <w:highlight w:val="none"/>
        </w:rPr>
        <w:t>效度（Validity）用于评价量表的准确度、有效性和正确性，即检验问卷是否能简洁、准确地描述抽样数据的属性和特征以及它们之间的复杂关系。本次问卷调查运用相关系数来估算满意度问题的效度。其计算公式为：</w:t>
      </w:r>
    </w:p>
    <w:p>
      <w:pPr>
        <w:widowControl/>
        <w:spacing w:line="240" w:lineRule="auto"/>
        <w:ind w:firstLine="0" w:firstLineChars="0"/>
        <w:jc w:val="center"/>
        <w:rPr>
          <w:rFonts w:eastAsia="宋体" w:cs="Times New Roman"/>
          <w:kern w:val="0"/>
          <w:sz w:val="24"/>
          <w:szCs w:val="24"/>
          <w:highlight w:val="none"/>
        </w:rPr>
      </w:pPr>
      <w:r>
        <w:rPr>
          <w:rFonts w:eastAsia="宋体" w:cs="Times New Roman"/>
          <w:kern w:val="0"/>
          <w:sz w:val="24"/>
          <w:szCs w:val="24"/>
          <w:highlight w:val="none"/>
        </w:rPr>
        <w:drawing>
          <wp:inline distT="0" distB="0" distL="0" distR="0">
            <wp:extent cx="1788795" cy="803275"/>
            <wp:effectExtent l="19050" t="0" r="1905" b="0"/>
            <wp:docPr id="25" name="图片 25" descr="C:\Users\guhj.guhj-PC\AppData\Roaming\Tencent\Users\272031237\QQ\WinTemp\RichOle\2TI[4LD0HV7YK@`SS2C4E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guhj.guhj-PC\AppData\Roaming\Tencent\Users\272031237\QQ\WinTemp\RichOle\2TI[4LD0HV7YK@`SS2C4EML.png"/>
                    <pic:cNvPicPr>
                      <a:picLocks noChangeAspect="1" noChangeArrowheads="1"/>
                    </pic:cNvPicPr>
                  </pic:nvPicPr>
                  <pic:blipFill>
                    <a:blip r:embed="rId13"/>
                    <a:srcRect/>
                    <a:stretch>
                      <a:fillRect/>
                    </a:stretch>
                  </pic:blipFill>
                  <pic:spPr>
                    <a:xfrm>
                      <a:off x="0" y="0"/>
                      <a:ext cx="1788795" cy="803275"/>
                    </a:xfrm>
                    <a:prstGeom prst="rect">
                      <a:avLst/>
                    </a:prstGeom>
                    <a:noFill/>
                    <a:ln w="9525">
                      <a:noFill/>
                      <a:miter lim="800000"/>
                      <a:headEnd/>
                      <a:tailEnd/>
                    </a:ln>
                  </pic:spPr>
                </pic:pic>
              </a:graphicData>
            </a:graphic>
          </wp:inline>
        </w:drawing>
      </w:r>
    </w:p>
    <w:p>
      <w:pPr>
        <w:ind w:firstLine="480"/>
        <w:rPr>
          <w:rFonts w:cs="Times New Roman"/>
          <w:bCs/>
          <w:kern w:val="0"/>
          <w:sz w:val="24"/>
          <w:szCs w:val="24"/>
          <w:highlight w:val="none"/>
        </w:rPr>
      </w:pPr>
      <w:r>
        <w:rPr>
          <w:rFonts w:cs="Times New Roman"/>
          <w:bCs/>
          <w:kern w:val="0"/>
          <w:sz w:val="24"/>
          <w:szCs w:val="24"/>
          <w:highlight w:val="none"/>
        </w:rPr>
        <w:t>其中，</w:t>
      </w:r>
      <w:r>
        <w:rPr>
          <w:rFonts w:cs="Times New Roman"/>
          <w:kern w:val="0"/>
          <w:sz w:val="24"/>
          <w:szCs w:val="24"/>
          <w:highlight w:val="none"/>
        </w:rPr>
        <w:drawing>
          <wp:inline distT="0" distB="0" distL="0" distR="0">
            <wp:extent cx="600075" cy="247650"/>
            <wp:effectExtent l="0" t="0" r="952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0075" cy="247650"/>
                    </a:xfrm>
                    <a:prstGeom prst="rect">
                      <a:avLst/>
                    </a:prstGeom>
                    <a:noFill/>
                    <a:ln>
                      <a:noFill/>
                    </a:ln>
                  </pic:spPr>
                </pic:pic>
              </a:graphicData>
            </a:graphic>
          </wp:inline>
        </w:drawing>
      </w:r>
      <w:r>
        <w:rPr>
          <w:rFonts w:cs="Times New Roman"/>
          <w:bCs/>
          <w:kern w:val="0"/>
          <w:sz w:val="24"/>
          <w:szCs w:val="24"/>
          <w:highlight w:val="none"/>
        </w:rPr>
        <w:t>，表示题目得分偏差；</w:t>
      </w:r>
      <w:r>
        <w:rPr>
          <w:rFonts w:cs="Times New Roman"/>
          <w:kern w:val="0"/>
          <w:sz w:val="24"/>
          <w:szCs w:val="24"/>
          <w:highlight w:val="none"/>
        </w:rPr>
        <w:drawing>
          <wp:inline distT="0" distB="0" distL="0" distR="0">
            <wp:extent cx="600075" cy="247650"/>
            <wp:effectExtent l="0" t="0" r="952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00075" cy="247650"/>
                    </a:xfrm>
                    <a:prstGeom prst="rect">
                      <a:avLst/>
                    </a:prstGeom>
                    <a:noFill/>
                    <a:ln>
                      <a:noFill/>
                    </a:ln>
                  </pic:spPr>
                </pic:pic>
              </a:graphicData>
            </a:graphic>
          </wp:inline>
        </w:drawing>
      </w:r>
      <w:r>
        <w:rPr>
          <w:rFonts w:cs="Times New Roman"/>
          <w:bCs/>
          <w:kern w:val="0"/>
          <w:sz w:val="24"/>
          <w:szCs w:val="24"/>
          <w:highlight w:val="none"/>
        </w:rPr>
        <w:t>，表示问卷得分偏差。</w:t>
      </w:r>
    </w:p>
    <w:p>
      <w:pPr>
        <w:ind w:firstLine="480"/>
        <w:rPr>
          <w:rFonts w:cs="Times New Roman"/>
          <w:kern w:val="0"/>
          <w:sz w:val="24"/>
          <w:szCs w:val="24"/>
          <w:highlight w:val="none"/>
        </w:rPr>
      </w:pPr>
      <w:r>
        <w:rPr>
          <w:rFonts w:cs="Times New Roman"/>
          <w:bCs/>
          <w:sz w:val="24"/>
          <w:szCs w:val="24"/>
          <w:highlight w:val="none"/>
        </w:rPr>
        <w:t>通常，相关系数的值介于</w:t>
      </w:r>
      <w:r>
        <w:rPr>
          <w:rFonts w:eastAsia="微软雅黑" w:cs="Times New Roman"/>
          <w:sz w:val="24"/>
          <w:szCs w:val="24"/>
          <w:highlight w:val="none"/>
        </w:rPr>
        <w:t>–</w:t>
      </w:r>
      <w:r>
        <w:rPr>
          <w:rFonts w:cs="Times New Roman"/>
          <w:sz w:val="24"/>
          <w:szCs w:val="24"/>
          <w:highlight w:val="none"/>
        </w:rPr>
        <w:t>1</w:t>
      </w:r>
      <w:r>
        <w:rPr>
          <w:rFonts w:cs="Times New Roman"/>
          <w:bCs/>
          <w:sz w:val="24"/>
          <w:szCs w:val="24"/>
          <w:highlight w:val="none"/>
        </w:rPr>
        <w:t>与</w:t>
      </w:r>
      <w:r>
        <w:rPr>
          <w:rFonts w:cs="Times New Roman"/>
          <w:sz w:val="24"/>
          <w:szCs w:val="24"/>
          <w:highlight w:val="none"/>
        </w:rPr>
        <w:t>+1</w:t>
      </w:r>
      <w:r>
        <w:rPr>
          <w:rFonts w:cs="Times New Roman"/>
          <w:bCs/>
          <w:sz w:val="24"/>
          <w:szCs w:val="24"/>
          <w:highlight w:val="none"/>
        </w:rPr>
        <w:t>之间。</w:t>
      </w:r>
      <w:r>
        <w:rPr>
          <w:rFonts w:cs="Times New Roman"/>
          <w:kern w:val="0"/>
          <w:sz w:val="24"/>
          <w:szCs w:val="24"/>
          <w:highlight w:val="none"/>
        </w:rPr>
        <w:t>即</w:t>
      </w:r>
      <w:r>
        <w:rPr>
          <w:rFonts w:cs="Times New Roman"/>
          <w:kern w:val="0"/>
          <w:sz w:val="24"/>
          <w:szCs w:val="24"/>
          <w:highlight w:val="none"/>
        </w:rPr>
        <w:drawing>
          <wp:inline distT="0" distB="0" distL="0" distR="0">
            <wp:extent cx="695325" cy="161925"/>
            <wp:effectExtent l="0" t="0" r="9525"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695325" cy="161925"/>
                    </a:xfrm>
                    <a:prstGeom prst="rect">
                      <a:avLst/>
                    </a:prstGeom>
                    <a:noFill/>
                    <a:ln>
                      <a:noFill/>
                    </a:ln>
                  </pic:spPr>
                </pic:pic>
              </a:graphicData>
            </a:graphic>
          </wp:inline>
        </w:drawing>
      </w:r>
      <w:r>
        <w:rPr>
          <w:rFonts w:cs="Times New Roman"/>
          <w:kern w:val="0"/>
          <w:sz w:val="24"/>
          <w:szCs w:val="24"/>
          <w:highlight w:val="none"/>
        </w:rPr>
        <w:t>。其中，</w:t>
      </w:r>
      <w:r>
        <w:rPr>
          <w:rFonts w:cs="Times New Roman"/>
          <w:kern w:val="0"/>
          <w:sz w:val="24"/>
          <w:szCs w:val="24"/>
          <w:highlight w:val="none"/>
        </w:rPr>
        <w:drawing>
          <wp:inline distT="0" distB="0" distL="0" distR="0">
            <wp:extent cx="342900" cy="180975"/>
            <wp:effectExtent l="0" t="0" r="0" b="952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42900" cy="180975"/>
                    </a:xfrm>
                    <a:prstGeom prst="rect">
                      <a:avLst/>
                    </a:prstGeom>
                    <a:noFill/>
                    <a:ln>
                      <a:noFill/>
                    </a:ln>
                  </pic:spPr>
                </pic:pic>
              </a:graphicData>
            </a:graphic>
          </wp:inline>
        </w:drawing>
      </w:r>
      <w:r>
        <w:rPr>
          <w:rFonts w:cs="Times New Roman"/>
          <w:kern w:val="0"/>
          <w:sz w:val="24"/>
          <w:szCs w:val="24"/>
          <w:highlight w:val="none"/>
        </w:rPr>
        <w:t>表示两变量正相关；</w:t>
      </w:r>
      <w:r>
        <w:rPr>
          <w:rFonts w:cs="Times New Roman"/>
          <w:kern w:val="0"/>
          <w:sz w:val="24"/>
          <w:szCs w:val="24"/>
          <w:highlight w:val="none"/>
        </w:rPr>
        <w:drawing>
          <wp:inline distT="0" distB="0" distL="0" distR="0">
            <wp:extent cx="342900" cy="180975"/>
            <wp:effectExtent l="0" t="0" r="0" b="95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42900" cy="180975"/>
                    </a:xfrm>
                    <a:prstGeom prst="rect">
                      <a:avLst/>
                    </a:prstGeom>
                    <a:noFill/>
                    <a:ln>
                      <a:noFill/>
                    </a:ln>
                  </pic:spPr>
                </pic:pic>
              </a:graphicData>
            </a:graphic>
          </wp:inline>
        </w:drawing>
      </w:r>
      <w:r>
        <w:rPr>
          <w:rFonts w:cs="Times New Roman"/>
          <w:kern w:val="0"/>
          <w:sz w:val="24"/>
          <w:szCs w:val="24"/>
          <w:highlight w:val="none"/>
        </w:rPr>
        <w:t>表示两变量负相关；</w:t>
      </w:r>
      <w:r>
        <w:rPr>
          <w:rFonts w:cs="Times New Roman"/>
          <w:kern w:val="0"/>
          <w:sz w:val="24"/>
          <w:szCs w:val="24"/>
          <w:highlight w:val="none"/>
        </w:rPr>
        <w:drawing>
          <wp:inline distT="0" distB="0" distL="0" distR="0">
            <wp:extent cx="400050" cy="2476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00050" cy="247650"/>
                    </a:xfrm>
                    <a:prstGeom prst="rect">
                      <a:avLst/>
                    </a:prstGeom>
                    <a:noFill/>
                    <a:ln>
                      <a:noFill/>
                    </a:ln>
                  </pic:spPr>
                </pic:pic>
              </a:graphicData>
            </a:graphic>
          </wp:inline>
        </w:drawing>
      </w:r>
      <w:r>
        <w:rPr>
          <w:rFonts w:cs="Times New Roman"/>
          <w:kern w:val="0"/>
          <w:sz w:val="24"/>
          <w:szCs w:val="24"/>
          <w:highlight w:val="none"/>
        </w:rPr>
        <w:t>表示两变量间不存在线性相关关系；</w:t>
      </w:r>
      <w:r>
        <w:rPr>
          <w:rFonts w:cs="Times New Roman"/>
          <w:kern w:val="0"/>
          <w:sz w:val="24"/>
          <w:szCs w:val="24"/>
          <w:highlight w:val="none"/>
        </w:rPr>
        <w:drawing>
          <wp:inline distT="0" distB="0" distL="0" distR="0">
            <wp:extent cx="361950" cy="2476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61950" cy="247650"/>
                    </a:xfrm>
                    <a:prstGeom prst="rect">
                      <a:avLst/>
                    </a:prstGeom>
                    <a:noFill/>
                    <a:ln>
                      <a:noFill/>
                    </a:ln>
                  </pic:spPr>
                </pic:pic>
              </a:graphicData>
            </a:graphic>
          </wp:inline>
        </w:drawing>
      </w:r>
      <w:r>
        <w:rPr>
          <w:rFonts w:cs="Times New Roman"/>
          <w:kern w:val="0"/>
          <w:sz w:val="24"/>
          <w:szCs w:val="24"/>
          <w:highlight w:val="none"/>
        </w:rPr>
        <w:t>表示两变量为完全线性相关；</w:t>
      </w:r>
      <w:r>
        <w:rPr>
          <w:rFonts w:cs="Times New Roman"/>
          <w:kern w:val="0"/>
          <w:sz w:val="24"/>
          <w:szCs w:val="24"/>
          <w:highlight w:val="none"/>
        </w:rPr>
        <w:drawing>
          <wp:inline distT="0" distB="0" distL="0" distR="0">
            <wp:extent cx="581025" cy="247650"/>
            <wp:effectExtent l="0" t="0" r="9525"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81025" cy="247650"/>
                    </a:xfrm>
                    <a:prstGeom prst="rect">
                      <a:avLst/>
                    </a:prstGeom>
                    <a:noFill/>
                    <a:ln>
                      <a:noFill/>
                    </a:ln>
                  </pic:spPr>
                </pic:pic>
              </a:graphicData>
            </a:graphic>
          </wp:inline>
        </w:drawing>
      </w:r>
      <w:r>
        <w:rPr>
          <w:rFonts w:cs="Times New Roman"/>
          <w:kern w:val="0"/>
          <w:sz w:val="24"/>
          <w:szCs w:val="24"/>
          <w:highlight w:val="none"/>
        </w:rPr>
        <w:t>表示两变量存在一定程度的线性相关，其中</w:t>
      </w:r>
      <w:r>
        <w:rPr>
          <w:rFonts w:cs="Times New Roman"/>
          <w:kern w:val="0"/>
          <w:sz w:val="24"/>
          <w:szCs w:val="24"/>
          <w:highlight w:val="none"/>
        </w:rPr>
        <w:drawing>
          <wp:inline distT="0" distB="0" distL="0" distR="0">
            <wp:extent cx="723900" cy="24765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23900" cy="247650"/>
                    </a:xfrm>
                    <a:prstGeom prst="rect">
                      <a:avLst/>
                    </a:prstGeom>
                    <a:noFill/>
                    <a:ln>
                      <a:noFill/>
                    </a:ln>
                  </pic:spPr>
                </pic:pic>
              </a:graphicData>
            </a:graphic>
          </wp:inline>
        </w:drawing>
      </w:r>
      <w:r>
        <w:rPr>
          <w:rFonts w:cs="Times New Roman"/>
          <w:kern w:val="0"/>
          <w:sz w:val="24"/>
          <w:szCs w:val="24"/>
          <w:highlight w:val="none"/>
        </w:rPr>
        <w:t>为微弱相关，</w:t>
      </w:r>
      <w:r>
        <w:rPr>
          <w:rFonts w:cs="Times New Roman"/>
          <w:kern w:val="0"/>
          <w:sz w:val="24"/>
          <w:szCs w:val="24"/>
          <w:highlight w:val="none"/>
        </w:rPr>
        <w:drawing>
          <wp:inline distT="0" distB="0" distL="0" distR="0">
            <wp:extent cx="847725" cy="247650"/>
            <wp:effectExtent l="0" t="0" r="9525"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847725" cy="247650"/>
                    </a:xfrm>
                    <a:prstGeom prst="rect">
                      <a:avLst/>
                    </a:prstGeom>
                    <a:noFill/>
                    <a:ln>
                      <a:noFill/>
                    </a:ln>
                  </pic:spPr>
                </pic:pic>
              </a:graphicData>
            </a:graphic>
          </wp:inline>
        </w:drawing>
      </w:r>
      <w:r>
        <w:rPr>
          <w:rFonts w:cs="Times New Roman"/>
          <w:kern w:val="0"/>
          <w:sz w:val="24"/>
          <w:szCs w:val="24"/>
          <w:highlight w:val="none"/>
        </w:rPr>
        <w:t>为低度相关，</w:t>
      </w:r>
      <w:r>
        <w:rPr>
          <w:rFonts w:cs="Times New Roman"/>
          <w:kern w:val="0"/>
          <w:sz w:val="24"/>
          <w:szCs w:val="24"/>
          <w:highlight w:val="none"/>
        </w:rPr>
        <w:drawing>
          <wp:inline distT="0" distB="0" distL="0" distR="0">
            <wp:extent cx="847725" cy="247650"/>
            <wp:effectExtent l="0" t="0" r="9525"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847725" cy="247650"/>
                    </a:xfrm>
                    <a:prstGeom prst="rect">
                      <a:avLst/>
                    </a:prstGeom>
                    <a:noFill/>
                    <a:ln>
                      <a:noFill/>
                    </a:ln>
                  </pic:spPr>
                </pic:pic>
              </a:graphicData>
            </a:graphic>
          </wp:inline>
        </w:drawing>
      </w:r>
      <w:r>
        <w:rPr>
          <w:rFonts w:cs="Times New Roman"/>
          <w:kern w:val="0"/>
          <w:sz w:val="24"/>
          <w:szCs w:val="24"/>
          <w:highlight w:val="none"/>
        </w:rPr>
        <w:t>为显著相关，</w:t>
      </w:r>
      <w:r>
        <w:rPr>
          <w:rFonts w:cs="Times New Roman"/>
          <w:kern w:val="0"/>
          <w:sz w:val="24"/>
          <w:szCs w:val="24"/>
          <w:highlight w:val="none"/>
        </w:rPr>
        <w:drawing>
          <wp:inline distT="0" distB="0" distL="0" distR="0">
            <wp:extent cx="695325" cy="247650"/>
            <wp:effectExtent l="0" t="0" r="9525"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695325" cy="247650"/>
                    </a:xfrm>
                    <a:prstGeom prst="rect">
                      <a:avLst/>
                    </a:prstGeom>
                    <a:noFill/>
                    <a:ln>
                      <a:noFill/>
                    </a:ln>
                  </pic:spPr>
                </pic:pic>
              </a:graphicData>
            </a:graphic>
          </wp:inline>
        </w:drawing>
      </w:r>
      <w:r>
        <w:rPr>
          <w:rFonts w:cs="Times New Roman"/>
          <w:kern w:val="0"/>
          <w:sz w:val="24"/>
          <w:szCs w:val="24"/>
          <w:highlight w:val="none"/>
        </w:rPr>
        <w:t>为高度相关。</w:t>
      </w:r>
    </w:p>
    <w:p>
      <w:pPr>
        <w:ind w:firstLine="480"/>
        <w:rPr>
          <w:rFonts w:cs="Times New Roman"/>
          <w:bCs/>
          <w:kern w:val="0"/>
          <w:sz w:val="24"/>
          <w:szCs w:val="24"/>
          <w:highlight w:val="none"/>
        </w:rPr>
      </w:pPr>
      <w:r>
        <w:rPr>
          <w:rFonts w:cs="Times New Roman"/>
          <w:bCs/>
          <w:kern w:val="0"/>
          <w:sz w:val="24"/>
          <w:szCs w:val="24"/>
          <w:highlight w:val="none"/>
        </w:rPr>
        <w:t>调查数据计算结果表明，此次问卷效度较高，因此能够很好地反映的满意程度，有关问卷效度请见附表</w:t>
      </w:r>
      <w:r>
        <w:rPr>
          <w:rFonts w:cs="Times New Roman"/>
          <w:kern w:val="0"/>
          <w:sz w:val="24"/>
          <w:szCs w:val="24"/>
          <w:highlight w:val="none"/>
        </w:rPr>
        <w:t>1</w:t>
      </w:r>
      <w:r>
        <w:rPr>
          <w:rFonts w:cs="Times New Roman"/>
          <w:bCs/>
          <w:kern w:val="0"/>
          <w:sz w:val="24"/>
          <w:szCs w:val="24"/>
          <w:highlight w:val="none"/>
        </w:rPr>
        <w:t>。</w:t>
      </w:r>
    </w:p>
    <w:p>
      <w:pPr>
        <w:ind w:firstLine="0" w:firstLineChars="0"/>
        <w:jc w:val="center"/>
        <w:rPr>
          <w:rFonts w:cs="Times New Roman"/>
          <w:b/>
          <w:bCs/>
          <w:sz w:val="22"/>
          <w:szCs w:val="24"/>
          <w:highlight w:val="none"/>
        </w:rPr>
      </w:pPr>
      <w:r>
        <w:rPr>
          <w:rFonts w:cs="Times New Roman"/>
          <w:b/>
          <w:bCs/>
          <w:sz w:val="22"/>
          <w:szCs w:val="24"/>
          <w:highlight w:val="none"/>
        </w:rPr>
        <w:t>附表1 吉林省建筑节能奖补资金受益人员调查问卷问卷效度汇总</w:t>
      </w:r>
    </w:p>
    <w:p>
      <w:pPr>
        <w:ind w:firstLine="0" w:firstLineChars="0"/>
        <w:jc w:val="center"/>
        <w:rPr>
          <w:rFonts w:cs="Times New Roman"/>
          <w:b/>
          <w:bCs/>
          <w:sz w:val="22"/>
          <w:szCs w:val="24"/>
          <w:highlight w:val="none"/>
        </w:rPr>
      </w:pPr>
    </w:p>
    <w:tbl>
      <w:tblPr>
        <w:tblStyle w:val="4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6"/>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516" w:type="dxa"/>
            <w:shd w:val="clear" w:color="auto" w:fill="D8D8D8" w:themeFill="background1" w:themeFillShade="D9"/>
            <w:vAlign w:val="center"/>
          </w:tcPr>
          <w:p>
            <w:pPr>
              <w:spacing w:line="400" w:lineRule="exact"/>
              <w:ind w:firstLine="0" w:firstLineChars="0"/>
              <w:jc w:val="center"/>
              <w:rPr>
                <w:rFonts w:cs="Times New Roman"/>
                <w:b/>
                <w:sz w:val="21"/>
                <w:szCs w:val="21"/>
                <w:highlight w:val="none"/>
              </w:rPr>
            </w:pPr>
            <w:r>
              <w:rPr>
                <w:rFonts w:cs="Times New Roman"/>
                <w:b/>
                <w:sz w:val="21"/>
                <w:szCs w:val="21"/>
                <w:highlight w:val="none"/>
              </w:rPr>
              <w:t>题目</w:t>
            </w:r>
          </w:p>
        </w:tc>
        <w:tc>
          <w:tcPr>
            <w:tcW w:w="1780" w:type="dxa"/>
            <w:shd w:val="clear" w:color="auto" w:fill="D8D8D8" w:themeFill="background1" w:themeFillShade="D9"/>
            <w:vAlign w:val="center"/>
          </w:tcPr>
          <w:p>
            <w:pPr>
              <w:spacing w:line="400" w:lineRule="exact"/>
              <w:ind w:firstLine="0" w:firstLineChars="0"/>
              <w:jc w:val="center"/>
              <w:rPr>
                <w:rFonts w:cs="Times New Roman"/>
                <w:b/>
                <w:kern w:val="0"/>
                <w:sz w:val="21"/>
                <w:szCs w:val="21"/>
                <w:highlight w:val="none"/>
              </w:rPr>
            </w:pPr>
            <w:r>
              <w:rPr>
                <w:rFonts w:cs="Times New Roman"/>
                <w:b/>
                <w:kern w:val="0"/>
                <w:sz w:val="21"/>
                <w:szCs w:val="21"/>
                <w:highlight w:val="none"/>
              </w:rPr>
              <w:t>效度得分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6" w:type="dxa"/>
            <w:vAlign w:val="center"/>
          </w:tcPr>
          <w:p>
            <w:pPr>
              <w:spacing w:line="400" w:lineRule="exact"/>
              <w:ind w:firstLine="0" w:firstLineChars="0"/>
              <w:jc w:val="left"/>
              <w:rPr>
                <w:rFonts w:cs="Times New Roman"/>
                <w:sz w:val="21"/>
                <w:szCs w:val="21"/>
                <w:highlight w:val="none"/>
              </w:rPr>
            </w:pPr>
            <w:r>
              <w:rPr>
                <w:rFonts w:cs="Times New Roman"/>
                <w:sz w:val="21"/>
                <w:szCs w:val="21"/>
                <w:highlight w:val="none"/>
              </w:rPr>
              <w:t>您对可再生能源建筑应用项目施工保障的满意度</w:t>
            </w:r>
          </w:p>
        </w:tc>
        <w:tc>
          <w:tcPr>
            <w:tcW w:w="1780" w:type="dxa"/>
            <w:vAlign w:val="center"/>
          </w:tcPr>
          <w:p>
            <w:pPr>
              <w:widowControl/>
              <w:spacing w:line="400" w:lineRule="exact"/>
              <w:ind w:firstLine="0" w:firstLineChars="0"/>
              <w:jc w:val="center"/>
              <w:rPr>
                <w:rFonts w:cs="Times New Roman"/>
                <w:sz w:val="21"/>
                <w:szCs w:val="21"/>
                <w:highlight w:val="none"/>
              </w:rPr>
            </w:pPr>
            <w:r>
              <w:rPr>
                <w:rFonts w:cs="Times New Roman"/>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6" w:type="dxa"/>
            <w:vAlign w:val="center"/>
          </w:tcPr>
          <w:p>
            <w:pPr>
              <w:spacing w:line="400" w:lineRule="exact"/>
              <w:ind w:firstLine="0" w:firstLineChars="0"/>
              <w:jc w:val="left"/>
              <w:rPr>
                <w:rFonts w:cs="Times New Roman"/>
                <w:sz w:val="21"/>
                <w:szCs w:val="21"/>
                <w:highlight w:val="none"/>
              </w:rPr>
            </w:pPr>
            <w:r>
              <w:rPr>
                <w:rFonts w:cs="Times New Roman"/>
                <w:sz w:val="21"/>
                <w:szCs w:val="21"/>
                <w:highlight w:val="none"/>
              </w:rPr>
              <w:t>您对可再生能源建筑应用项目节能效果的满意度</w:t>
            </w:r>
          </w:p>
        </w:tc>
        <w:tc>
          <w:tcPr>
            <w:tcW w:w="1780" w:type="dxa"/>
            <w:vAlign w:val="center"/>
          </w:tcPr>
          <w:p>
            <w:pPr>
              <w:widowControl/>
              <w:spacing w:line="400" w:lineRule="exact"/>
              <w:ind w:firstLine="0" w:firstLineChars="0"/>
              <w:jc w:val="center"/>
              <w:rPr>
                <w:rFonts w:cs="Times New Roman"/>
                <w:sz w:val="21"/>
                <w:szCs w:val="21"/>
                <w:highlight w:val="none"/>
              </w:rPr>
            </w:pPr>
            <w:r>
              <w:rPr>
                <w:rFonts w:cs="Times New Roman"/>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6" w:type="dxa"/>
            <w:vAlign w:val="center"/>
          </w:tcPr>
          <w:p>
            <w:pPr>
              <w:spacing w:line="400" w:lineRule="exact"/>
              <w:ind w:firstLine="0" w:firstLineChars="0"/>
              <w:jc w:val="left"/>
              <w:rPr>
                <w:rFonts w:cs="Times New Roman"/>
                <w:sz w:val="21"/>
                <w:szCs w:val="21"/>
                <w:highlight w:val="none"/>
              </w:rPr>
            </w:pPr>
            <w:r>
              <w:rPr>
                <w:rFonts w:cs="Times New Roman"/>
                <w:sz w:val="21"/>
                <w:szCs w:val="21"/>
                <w:highlight w:val="none"/>
              </w:rPr>
              <w:t>您对可再生能源建筑应用项目制冷效果的满意度</w:t>
            </w:r>
          </w:p>
        </w:tc>
        <w:tc>
          <w:tcPr>
            <w:tcW w:w="1780" w:type="dxa"/>
            <w:vAlign w:val="center"/>
          </w:tcPr>
          <w:p>
            <w:pPr>
              <w:widowControl/>
              <w:spacing w:line="400" w:lineRule="exact"/>
              <w:ind w:firstLine="0" w:firstLineChars="0"/>
              <w:jc w:val="center"/>
              <w:rPr>
                <w:rFonts w:cs="Times New Roman"/>
                <w:sz w:val="21"/>
                <w:szCs w:val="21"/>
                <w:highlight w:val="none"/>
              </w:rPr>
            </w:pPr>
            <w:r>
              <w:rPr>
                <w:rFonts w:cs="Times New Roman"/>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6" w:type="dxa"/>
            <w:vAlign w:val="center"/>
          </w:tcPr>
          <w:p>
            <w:pPr>
              <w:spacing w:line="400" w:lineRule="exact"/>
              <w:ind w:firstLine="0" w:firstLineChars="0"/>
              <w:jc w:val="left"/>
              <w:rPr>
                <w:rFonts w:cs="Times New Roman"/>
                <w:sz w:val="21"/>
                <w:szCs w:val="21"/>
                <w:highlight w:val="none"/>
              </w:rPr>
            </w:pPr>
            <w:r>
              <w:rPr>
                <w:rFonts w:cs="Times New Roman"/>
                <w:sz w:val="21"/>
                <w:szCs w:val="21"/>
                <w:highlight w:val="none"/>
              </w:rPr>
              <w:t>您对可再生能源建筑应用项目取暖效果的满意度</w:t>
            </w:r>
          </w:p>
        </w:tc>
        <w:tc>
          <w:tcPr>
            <w:tcW w:w="1780" w:type="dxa"/>
            <w:vAlign w:val="center"/>
          </w:tcPr>
          <w:p>
            <w:pPr>
              <w:widowControl/>
              <w:spacing w:line="400" w:lineRule="exact"/>
              <w:ind w:firstLine="0" w:firstLineChars="0"/>
              <w:jc w:val="center"/>
              <w:rPr>
                <w:rFonts w:cs="Times New Roman"/>
                <w:sz w:val="21"/>
                <w:szCs w:val="21"/>
                <w:highlight w:val="none"/>
              </w:rPr>
            </w:pPr>
            <w:r>
              <w:rPr>
                <w:rFonts w:cs="Times New Roman"/>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6" w:type="dxa"/>
            <w:vAlign w:val="center"/>
          </w:tcPr>
          <w:p>
            <w:pPr>
              <w:spacing w:line="400" w:lineRule="exact"/>
              <w:ind w:firstLine="0" w:firstLineChars="0"/>
              <w:jc w:val="left"/>
              <w:rPr>
                <w:rFonts w:cs="Times New Roman"/>
                <w:sz w:val="21"/>
                <w:szCs w:val="21"/>
                <w:highlight w:val="none"/>
              </w:rPr>
            </w:pPr>
            <w:r>
              <w:rPr>
                <w:rFonts w:cs="Times New Roman"/>
                <w:sz w:val="21"/>
                <w:szCs w:val="21"/>
                <w:highlight w:val="none"/>
              </w:rPr>
              <w:t>您对可再生能源建筑应用项目整体的满意度</w:t>
            </w:r>
          </w:p>
        </w:tc>
        <w:tc>
          <w:tcPr>
            <w:tcW w:w="1780" w:type="dxa"/>
            <w:vAlign w:val="center"/>
          </w:tcPr>
          <w:p>
            <w:pPr>
              <w:widowControl/>
              <w:spacing w:line="400" w:lineRule="exact"/>
              <w:ind w:firstLine="0" w:firstLineChars="0"/>
              <w:jc w:val="center"/>
              <w:rPr>
                <w:rFonts w:cs="Times New Roman"/>
                <w:sz w:val="21"/>
                <w:szCs w:val="21"/>
                <w:highlight w:val="none"/>
              </w:rPr>
            </w:pPr>
            <w:r>
              <w:rPr>
                <w:rFonts w:cs="Times New Roman"/>
                <w:sz w:val="21"/>
                <w:szCs w:val="21"/>
                <w:highlight w:val="none"/>
              </w:rPr>
              <w:t>1</w:t>
            </w:r>
          </w:p>
        </w:tc>
      </w:tr>
    </w:tbl>
    <w:p>
      <w:pPr>
        <w:ind w:firstLine="482"/>
        <w:rPr>
          <w:rFonts w:cs="Times New Roman"/>
          <w:b/>
          <w:sz w:val="24"/>
          <w:szCs w:val="24"/>
          <w:highlight w:val="none"/>
        </w:rPr>
      </w:pPr>
      <w:r>
        <w:rPr>
          <w:rFonts w:cs="Times New Roman"/>
          <w:b/>
          <w:sz w:val="24"/>
          <w:szCs w:val="24"/>
          <w:highlight w:val="none"/>
        </w:rPr>
        <w:t>五、调查问卷的分析</w:t>
      </w:r>
    </w:p>
    <w:p>
      <w:pPr>
        <w:ind w:firstLine="480"/>
        <w:rPr>
          <w:rFonts w:cs="Times New Roman"/>
          <w:kern w:val="0"/>
          <w:sz w:val="24"/>
          <w:szCs w:val="24"/>
          <w:highlight w:val="none"/>
        </w:rPr>
      </w:pPr>
      <w:r>
        <w:rPr>
          <w:rFonts w:cs="Times New Roman"/>
          <w:kern w:val="0"/>
          <w:sz w:val="24"/>
          <w:szCs w:val="24"/>
          <w:highlight w:val="none"/>
        </w:rPr>
        <w:t>1.单选题</w:t>
      </w:r>
    </w:p>
    <w:p>
      <w:pPr>
        <w:ind w:firstLine="480"/>
        <w:rPr>
          <w:rFonts w:cs="Times New Roman"/>
          <w:kern w:val="0"/>
          <w:sz w:val="24"/>
          <w:szCs w:val="24"/>
          <w:highlight w:val="none"/>
        </w:rPr>
      </w:pPr>
      <w:r>
        <w:rPr>
          <w:rFonts w:cs="Times New Roman"/>
          <w:kern w:val="0"/>
          <w:sz w:val="24"/>
          <w:szCs w:val="24"/>
          <w:highlight w:val="none"/>
        </w:rPr>
        <w:t>1)您的性别是</w:t>
      </w:r>
    </w:p>
    <w:p>
      <w:pPr>
        <w:ind w:firstLine="480"/>
        <w:rPr>
          <w:rFonts w:cs="Times New Roman"/>
          <w:kern w:val="0"/>
          <w:sz w:val="24"/>
          <w:szCs w:val="24"/>
          <w:highlight w:val="none"/>
        </w:rPr>
      </w:pPr>
      <w:r>
        <w:rPr>
          <w:rFonts w:cs="Times New Roman"/>
          <w:kern w:val="0"/>
          <w:sz w:val="24"/>
          <w:szCs w:val="24"/>
          <w:highlight w:val="none"/>
        </w:rPr>
        <w:t>在7份有效问卷中，被调查对象中选男的比例为42.86%，选女的比例为57.14%。</w:t>
      </w:r>
    </w:p>
    <w:p>
      <w:pPr>
        <w:ind w:firstLine="480"/>
        <w:rPr>
          <w:rFonts w:cs="Times New Roman"/>
          <w:kern w:val="0"/>
          <w:sz w:val="24"/>
          <w:szCs w:val="24"/>
          <w:highlight w:val="none"/>
        </w:rPr>
      </w:pPr>
      <w:r>
        <w:rPr>
          <w:rFonts w:cs="Times New Roman"/>
          <w:kern w:val="0"/>
          <w:sz w:val="24"/>
          <w:szCs w:val="24"/>
          <w:highlight w:val="none"/>
        </w:rPr>
        <w:t>2)您的年龄段是</w:t>
      </w:r>
    </w:p>
    <w:p>
      <w:pPr>
        <w:ind w:firstLine="480"/>
        <w:rPr>
          <w:rFonts w:cs="Times New Roman"/>
          <w:kern w:val="0"/>
          <w:sz w:val="24"/>
          <w:szCs w:val="24"/>
          <w:highlight w:val="none"/>
        </w:rPr>
      </w:pPr>
      <w:r>
        <w:rPr>
          <w:rFonts w:cs="Times New Roman"/>
          <w:kern w:val="0"/>
          <w:sz w:val="24"/>
          <w:szCs w:val="24"/>
          <w:highlight w:val="none"/>
        </w:rPr>
        <w:t>在7份有效问卷中，被调查对象中选25岁以下的比例为0%，选25~35岁的比例为14.29%，选36~50岁的比例为85.71%，选50岁以上的比例为0%。</w:t>
      </w:r>
    </w:p>
    <w:p>
      <w:pPr>
        <w:ind w:firstLine="480"/>
        <w:rPr>
          <w:rFonts w:cs="Times New Roman"/>
          <w:kern w:val="0"/>
          <w:sz w:val="24"/>
          <w:szCs w:val="24"/>
          <w:highlight w:val="none"/>
        </w:rPr>
      </w:pPr>
      <w:r>
        <w:rPr>
          <w:rFonts w:cs="Times New Roman"/>
          <w:kern w:val="0"/>
          <w:sz w:val="24"/>
          <w:szCs w:val="24"/>
          <w:highlight w:val="none"/>
        </w:rPr>
        <w:t>3)您的受教育程度</w:t>
      </w:r>
    </w:p>
    <w:p>
      <w:pPr>
        <w:ind w:firstLine="480"/>
        <w:rPr>
          <w:rFonts w:cs="Times New Roman"/>
          <w:kern w:val="0"/>
          <w:sz w:val="24"/>
          <w:szCs w:val="24"/>
          <w:highlight w:val="none"/>
        </w:rPr>
      </w:pPr>
      <w:r>
        <w:rPr>
          <w:rFonts w:cs="Times New Roman"/>
          <w:kern w:val="0"/>
          <w:sz w:val="24"/>
          <w:szCs w:val="24"/>
          <w:highlight w:val="none"/>
        </w:rPr>
        <w:t>在7份有效问卷中，被调查对象中选高中及以下的比例为0%，选大学专科的比例为85.71%，选大学本科的比例为14.29%，选硕士及以上的比例为0%。</w:t>
      </w:r>
    </w:p>
    <w:p>
      <w:pPr>
        <w:ind w:firstLine="480"/>
        <w:rPr>
          <w:rFonts w:cs="Times New Roman"/>
          <w:kern w:val="0"/>
          <w:sz w:val="24"/>
          <w:szCs w:val="24"/>
          <w:highlight w:val="none"/>
        </w:rPr>
      </w:pPr>
      <w:r>
        <w:rPr>
          <w:rFonts w:cs="Times New Roman"/>
          <w:kern w:val="0"/>
          <w:sz w:val="24"/>
          <w:szCs w:val="24"/>
          <w:highlight w:val="none"/>
        </w:rPr>
        <w:t>4)1.您是否关注过建筑节能话题?</w:t>
      </w:r>
    </w:p>
    <w:p>
      <w:pPr>
        <w:ind w:firstLine="480"/>
        <w:rPr>
          <w:rFonts w:cs="Times New Roman"/>
          <w:kern w:val="0"/>
          <w:sz w:val="24"/>
          <w:szCs w:val="24"/>
          <w:highlight w:val="none"/>
        </w:rPr>
      </w:pPr>
      <w:r>
        <w:rPr>
          <w:rFonts w:cs="Times New Roman"/>
          <w:kern w:val="0"/>
          <w:sz w:val="24"/>
          <w:szCs w:val="24"/>
          <w:highlight w:val="none"/>
        </w:rPr>
        <w:t>在7份有效问卷中，被调查对象中选是的比例为100%，选否的比例为0%。</w:t>
      </w:r>
    </w:p>
    <w:p>
      <w:pPr>
        <w:ind w:firstLine="480"/>
        <w:rPr>
          <w:rFonts w:cs="Times New Roman"/>
          <w:kern w:val="0"/>
          <w:sz w:val="24"/>
          <w:szCs w:val="24"/>
          <w:highlight w:val="none"/>
        </w:rPr>
      </w:pPr>
      <w:r>
        <w:rPr>
          <w:rFonts w:cs="Times New Roman"/>
          <w:kern w:val="0"/>
          <w:sz w:val="24"/>
          <w:szCs w:val="24"/>
          <w:highlight w:val="none"/>
        </w:rPr>
        <w:t>5)你对建筑节能是否了解？</w:t>
      </w:r>
    </w:p>
    <w:p>
      <w:pPr>
        <w:ind w:firstLine="480"/>
        <w:rPr>
          <w:rFonts w:cs="Times New Roman"/>
          <w:kern w:val="0"/>
          <w:sz w:val="24"/>
          <w:szCs w:val="24"/>
          <w:highlight w:val="none"/>
        </w:rPr>
      </w:pPr>
      <w:r>
        <w:rPr>
          <w:rFonts w:cs="Times New Roman"/>
          <w:kern w:val="0"/>
          <w:sz w:val="24"/>
          <w:szCs w:val="24"/>
          <w:highlight w:val="none"/>
        </w:rPr>
        <w:t>在7份有效问卷中，被调查对象中选没听说过的比例为0%，选不了解的比例为14.29%，选比较了解的比例为71.43%，选非常了解的比例为14.29%。</w:t>
      </w:r>
    </w:p>
    <w:p>
      <w:pPr>
        <w:ind w:firstLine="480"/>
        <w:rPr>
          <w:rFonts w:cs="Times New Roman"/>
          <w:kern w:val="0"/>
          <w:sz w:val="24"/>
          <w:szCs w:val="24"/>
          <w:highlight w:val="none"/>
        </w:rPr>
      </w:pPr>
      <w:r>
        <w:rPr>
          <w:rFonts w:cs="Times New Roman"/>
          <w:kern w:val="0"/>
          <w:sz w:val="24"/>
          <w:szCs w:val="24"/>
          <w:highlight w:val="none"/>
        </w:rPr>
        <w:t>6)您对本地区的可再生能源建筑应用项目是否了解?</w:t>
      </w:r>
    </w:p>
    <w:p>
      <w:pPr>
        <w:ind w:firstLine="480"/>
        <w:rPr>
          <w:rFonts w:cs="Times New Roman"/>
          <w:kern w:val="0"/>
          <w:sz w:val="24"/>
          <w:szCs w:val="24"/>
          <w:highlight w:val="none"/>
        </w:rPr>
      </w:pPr>
      <w:r>
        <w:rPr>
          <w:rFonts w:cs="Times New Roman"/>
          <w:kern w:val="0"/>
          <w:sz w:val="24"/>
          <w:szCs w:val="24"/>
          <w:highlight w:val="none"/>
        </w:rPr>
        <w:t>在7份有效问卷中，被调查对象中选没听说过的比例为0%，选不了解的比例为14.29%，选比较了解的比例为57.14%，选非常了解的比例为28.57%。</w:t>
      </w:r>
    </w:p>
    <w:p>
      <w:pPr>
        <w:ind w:firstLine="480"/>
        <w:rPr>
          <w:rFonts w:cs="Times New Roman"/>
          <w:kern w:val="0"/>
          <w:sz w:val="24"/>
          <w:szCs w:val="24"/>
          <w:highlight w:val="none"/>
        </w:rPr>
      </w:pPr>
      <w:r>
        <w:rPr>
          <w:rFonts w:cs="Times New Roman"/>
          <w:kern w:val="0"/>
          <w:sz w:val="24"/>
          <w:szCs w:val="24"/>
          <w:highlight w:val="none"/>
        </w:rPr>
        <w:t>7)你认为发展建筑节能是否有必要?</w:t>
      </w:r>
    </w:p>
    <w:p>
      <w:pPr>
        <w:ind w:firstLine="480"/>
        <w:rPr>
          <w:rFonts w:cs="Times New Roman"/>
          <w:kern w:val="0"/>
          <w:sz w:val="24"/>
          <w:szCs w:val="24"/>
          <w:highlight w:val="none"/>
        </w:rPr>
      </w:pPr>
      <w:r>
        <w:rPr>
          <w:rFonts w:cs="Times New Roman"/>
          <w:kern w:val="0"/>
          <w:sz w:val="24"/>
          <w:szCs w:val="24"/>
          <w:highlight w:val="none"/>
        </w:rPr>
        <w:t>在7份有效问卷中，被调查对象中选没必要的比例为0%，选无所谓的比例为0%，选比较有必要的比例为0%，选非常有必要的比例为100%。</w:t>
      </w:r>
    </w:p>
    <w:p>
      <w:pPr>
        <w:ind w:firstLine="480"/>
        <w:rPr>
          <w:rFonts w:cs="Times New Roman"/>
          <w:kern w:val="0"/>
          <w:sz w:val="24"/>
          <w:szCs w:val="24"/>
          <w:highlight w:val="none"/>
        </w:rPr>
      </w:pPr>
      <w:r>
        <w:rPr>
          <w:rFonts w:cs="Times New Roman"/>
          <w:kern w:val="0"/>
          <w:sz w:val="24"/>
          <w:szCs w:val="24"/>
          <w:highlight w:val="none"/>
        </w:rPr>
        <w:t>8)您认为该地区的可再生能源建筑应用项目取暖、制冷效果如何?</w:t>
      </w:r>
    </w:p>
    <w:p>
      <w:pPr>
        <w:ind w:firstLine="480"/>
        <w:rPr>
          <w:rFonts w:cs="Times New Roman"/>
          <w:kern w:val="0"/>
          <w:sz w:val="24"/>
          <w:szCs w:val="24"/>
          <w:highlight w:val="none"/>
        </w:rPr>
      </w:pPr>
      <w:r>
        <w:rPr>
          <w:rFonts w:cs="Times New Roman"/>
          <w:kern w:val="0"/>
          <w:sz w:val="24"/>
          <w:szCs w:val="24"/>
          <w:highlight w:val="none"/>
        </w:rPr>
        <w:t>在7份有效问卷中，被调查对象中选非常好的比例为71.43%，选一般的比例为14.29%，选不好的比例为0%，选不了解的比例为14.29%。</w:t>
      </w:r>
    </w:p>
    <w:p>
      <w:pPr>
        <w:ind w:firstLine="480"/>
        <w:rPr>
          <w:rFonts w:cs="Times New Roman"/>
          <w:kern w:val="0"/>
          <w:sz w:val="24"/>
          <w:szCs w:val="24"/>
          <w:highlight w:val="none"/>
        </w:rPr>
      </w:pPr>
      <w:r>
        <w:rPr>
          <w:rFonts w:cs="Times New Roman"/>
          <w:kern w:val="0"/>
          <w:sz w:val="24"/>
          <w:szCs w:val="24"/>
          <w:highlight w:val="none"/>
        </w:rPr>
        <w:t>9)本地区的可再生能源建筑应用项目施工过程中有没有发生过安全事故?</w:t>
      </w:r>
    </w:p>
    <w:p>
      <w:pPr>
        <w:ind w:firstLine="480"/>
        <w:rPr>
          <w:rFonts w:cs="Times New Roman"/>
          <w:kern w:val="0"/>
          <w:sz w:val="24"/>
          <w:szCs w:val="24"/>
          <w:highlight w:val="none"/>
        </w:rPr>
      </w:pPr>
      <w:r>
        <w:rPr>
          <w:rFonts w:cs="Times New Roman"/>
          <w:kern w:val="0"/>
          <w:sz w:val="24"/>
          <w:szCs w:val="24"/>
          <w:highlight w:val="none"/>
        </w:rPr>
        <w:t>在7份有效问卷中，被调查对象中选有的比例为0%，选没有的比例为57.14%，选不了解的比例为42.86%。</w:t>
      </w:r>
    </w:p>
    <w:p>
      <w:pPr>
        <w:ind w:firstLine="480"/>
        <w:rPr>
          <w:rFonts w:cs="Times New Roman"/>
          <w:kern w:val="0"/>
          <w:sz w:val="24"/>
          <w:szCs w:val="24"/>
          <w:highlight w:val="none"/>
        </w:rPr>
      </w:pPr>
      <w:r>
        <w:rPr>
          <w:rFonts w:cs="Times New Roman"/>
          <w:kern w:val="0"/>
          <w:sz w:val="24"/>
          <w:szCs w:val="24"/>
          <w:highlight w:val="none"/>
        </w:rPr>
        <w:t>10)若您居住的建筑是非节能建筑，您是否愿意进行节能改造？</w:t>
      </w:r>
    </w:p>
    <w:p>
      <w:pPr>
        <w:ind w:firstLine="480"/>
        <w:rPr>
          <w:rFonts w:cs="Times New Roman"/>
          <w:kern w:val="0"/>
          <w:sz w:val="24"/>
          <w:szCs w:val="24"/>
          <w:highlight w:val="none"/>
        </w:rPr>
      </w:pPr>
      <w:r>
        <w:rPr>
          <w:rFonts w:cs="Times New Roman"/>
          <w:kern w:val="0"/>
          <w:sz w:val="24"/>
          <w:szCs w:val="24"/>
          <w:highlight w:val="none"/>
        </w:rPr>
        <w:t>在7份有效问卷中，被调查对象中选不愿意的比例为0%，选视建筑而定的比例为0%，选视国家政策而定的比例为28.57%，选非常愿意的比例为71.43%。</w:t>
      </w:r>
    </w:p>
    <w:p>
      <w:pPr>
        <w:ind w:firstLine="480"/>
        <w:rPr>
          <w:rFonts w:cs="Times New Roman"/>
          <w:kern w:val="0"/>
          <w:sz w:val="24"/>
          <w:szCs w:val="24"/>
          <w:highlight w:val="none"/>
        </w:rPr>
      </w:pPr>
      <w:r>
        <w:rPr>
          <w:rFonts w:cs="Times New Roman"/>
          <w:kern w:val="0"/>
          <w:sz w:val="24"/>
          <w:szCs w:val="24"/>
          <w:highlight w:val="none"/>
        </w:rPr>
        <w:t>11)您是否愿意购置节能房？</w:t>
      </w:r>
    </w:p>
    <w:p>
      <w:pPr>
        <w:ind w:firstLine="480"/>
        <w:rPr>
          <w:rFonts w:cs="Times New Roman"/>
          <w:kern w:val="0"/>
          <w:sz w:val="24"/>
          <w:szCs w:val="24"/>
          <w:highlight w:val="none"/>
        </w:rPr>
      </w:pPr>
      <w:r>
        <w:rPr>
          <w:rFonts w:cs="Times New Roman"/>
          <w:kern w:val="0"/>
          <w:sz w:val="24"/>
          <w:szCs w:val="24"/>
          <w:highlight w:val="none"/>
        </w:rPr>
        <w:t>在7份有效问卷中，被调查对象中选不愿意的比例为0%，选愿意的比例为85.71%，选说不清的比例为14.29%。</w:t>
      </w:r>
    </w:p>
    <w:p>
      <w:pPr>
        <w:ind w:firstLine="480"/>
        <w:rPr>
          <w:rFonts w:cs="Times New Roman"/>
          <w:kern w:val="0"/>
          <w:sz w:val="24"/>
          <w:szCs w:val="24"/>
          <w:highlight w:val="none"/>
        </w:rPr>
      </w:pPr>
      <w:r>
        <w:rPr>
          <w:rFonts w:cs="Times New Roman"/>
          <w:kern w:val="0"/>
          <w:sz w:val="24"/>
          <w:szCs w:val="24"/>
          <w:highlight w:val="none"/>
        </w:rPr>
        <w:t>12)您认为节能建筑应该大力发展哪一类建筑？</w:t>
      </w:r>
    </w:p>
    <w:p>
      <w:pPr>
        <w:ind w:firstLine="480"/>
        <w:rPr>
          <w:rFonts w:cs="Times New Roman"/>
          <w:kern w:val="0"/>
          <w:sz w:val="24"/>
          <w:szCs w:val="24"/>
          <w:highlight w:val="none"/>
        </w:rPr>
      </w:pPr>
      <w:r>
        <w:rPr>
          <w:rFonts w:cs="Times New Roman"/>
          <w:kern w:val="0"/>
          <w:sz w:val="24"/>
          <w:szCs w:val="24"/>
          <w:highlight w:val="none"/>
        </w:rPr>
        <w:t>在7份有效问卷中，被调查对象中选可再生能源建筑的比例为28.57%，选装配式建筑的比例为14.29%，选超低能耗建筑的比例为0%，选都应该发展的比例为57.14%。</w:t>
      </w:r>
    </w:p>
    <w:p>
      <w:pPr>
        <w:ind w:firstLine="480"/>
        <w:rPr>
          <w:rFonts w:cs="Times New Roman"/>
          <w:kern w:val="0"/>
          <w:sz w:val="24"/>
          <w:szCs w:val="24"/>
          <w:highlight w:val="none"/>
        </w:rPr>
      </w:pPr>
      <w:r>
        <w:rPr>
          <w:rFonts w:cs="Times New Roman"/>
          <w:kern w:val="0"/>
          <w:sz w:val="24"/>
          <w:szCs w:val="24"/>
          <w:highlight w:val="none"/>
        </w:rPr>
        <w:t>2.满意度题</w:t>
      </w:r>
    </w:p>
    <w:p>
      <w:pPr>
        <w:ind w:firstLine="480"/>
        <w:rPr>
          <w:rFonts w:cs="Times New Roman"/>
          <w:kern w:val="0"/>
          <w:sz w:val="24"/>
          <w:szCs w:val="24"/>
          <w:highlight w:val="none"/>
        </w:rPr>
      </w:pPr>
      <w:r>
        <w:rPr>
          <w:rFonts w:cs="Times New Roman"/>
          <w:kern w:val="0"/>
          <w:sz w:val="24"/>
          <w:szCs w:val="24"/>
          <w:highlight w:val="none"/>
        </w:rPr>
        <w:t>根据问卷调查结果显示，受益对象的整体满意程度为94.29%，满意度水平较好。调查对象对问题按照满意度评分由高到低排序依次为：您对可再生能源建筑应用项目取暖效果的满意度(94.286%)、您对可再生能源建筑应用项目制冷效果的满意度(94.286%)、您对可再生能源建筑应用项目施工保障的满意度(94.286%)、您对可再生能源建筑应用项目节能效果的满意度(94.286%)、您对可再生能源建筑应用项目整体的满意度(94.286%)。</w:t>
      </w:r>
    </w:p>
    <w:p>
      <w:pPr>
        <w:ind w:firstLine="482"/>
        <w:rPr>
          <w:rFonts w:cs="Times New Roman"/>
          <w:b/>
          <w:sz w:val="24"/>
          <w:szCs w:val="24"/>
          <w:highlight w:val="none"/>
        </w:rPr>
      </w:pPr>
      <w:r>
        <w:rPr>
          <w:rFonts w:cs="Times New Roman"/>
          <w:b/>
          <w:sz w:val="24"/>
          <w:szCs w:val="24"/>
          <w:highlight w:val="none"/>
        </w:rPr>
        <w:t>六、意见及建议</w:t>
      </w:r>
    </w:p>
    <w:p>
      <w:pPr>
        <w:ind w:firstLine="560"/>
        <w:rPr>
          <w:rFonts w:cs="Times New Roman"/>
          <w:szCs w:val="28"/>
          <w:highlight w:val="none"/>
        </w:rPr>
        <w:sectPr>
          <w:pgSz w:w="11906" w:h="16838"/>
          <w:pgMar w:top="1440" w:right="1800" w:bottom="1440" w:left="1800" w:header="851" w:footer="992" w:gutter="0"/>
          <w:cols w:space="425" w:num="1"/>
          <w:docGrid w:type="lines" w:linePitch="381" w:charSpace="0"/>
        </w:sectPr>
      </w:pPr>
      <w:r>
        <w:rPr>
          <w:rFonts w:cs="Times New Roman"/>
          <w:szCs w:val="28"/>
          <w:highlight w:val="none"/>
        </w:rPr>
        <w:t>无。</w:t>
      </w:r>
    </w:p>
    <w:p>
      <w:pPr>
        <w:pStyle w:val="4"/>
        <w:rPr>
          <w:rFonts w:cs="Times New Roman"/>
          <w:highlight w:val="none"/>
        </w:rPr>
      </w:pPr>
      <w:bookmarkStart w:id="49" w:name="_Toc136265000"/>
      <w:r>
        <w:rPr>
          <w:rFonts w:cs="Times New Roman"/>
          <w:highlight w:val="none"/>
        </w:rPr>
        <w:t>附件4 访谈记录</w:t>
      </w:r>
      <w:bookmarkEnd w:id="49"/>
    </w:p>
    <w:p>
      <w:pPr>
        <w:pStyle w:val="45"/>
        <w:adjustRightInd w:val="0"/>
        <w:ind w:firstLine="560"/>
        <w:outlineLvl w:val="1"/>
        <w:rPr>
          <w:rFonts w:eastAsia="仿宋_GB2312"/>
          <w:bCs/>
          <w:sz w:val="28"/>
          <w:szCs w:val="32"/>
          <w:highlight w:val="none"/>
        </w:rPr>
      </w:pPr>
      <w:bookmarkStart w:id="50" w:name="_Toc136265001"/>
      <w:r>
        <w:rPr>
          <w:rFonts w:eastAsia="仿宋_GB2312"/>
          <w:bCs/>
          <w:sz w:val="28"/>
          <w:szCs w:val="32"/>
          <w:highlight w:val="none"/>
        </w:rPr>
        <w:t>附件4-1 受益单位相关负责人访谈提纲-金源购物广场空气源热泵工程项目</w:t>
      </w:r>
      <w:bookmarkEnd w:id="50"/>
    </w:p>
    <w:p>
      <w:pPr>
        <w:ind w:firstLine="480"/>
        <w:rPr>
          <w:rFonts w:eastAsia="仿宋" w:cs="Times New Roman"/>
          <w:sz w:val="24"/>
          <w:szCs w:val="24"/>
          <w:highlight w:val="none"/>
        </w:rPr>
      </w:pPr>
      <w:r>
        <w:rPr>
          <w:rFonts w:eastAsia="仿宋" w:cs="Times New Roman"/>
          <w:sz w:val="24"/>
          <w:szCs w:val="24"/>
          <w:highlight w:val="none"/>
        </w:rPr>
        <w:t>1.请您谈谈贵单位的基本情况。</w:t>
      </w:r>
    </w:p>
    <w:p>
      <w:pPr>
        <w:ind w:firstLine="480"/>
        <w:rPr>
          <w:rFonts w:eastAsia="仿宋" w:cs="Times New Roman"/>
          <w:sz w:val="24"/>
          <w:szCs w:val="24"/>
          <w:highlight w:val="none"/>
        </w:rPr>
      </w:pPr>
      <w:r>
        <w:rPr>
          <w:rFonts w:eastAsia="仿宋" w:cs="Times New Roman"/>
          <w:sz w:val="24"/>
          <w:szCs w:val="24"/>
          <w:highlight w:val="none"/>
        </w:rPr>
        <w:t>我司是扶余市金源购物广场有限公司，是扶余市政府招商引资项目，项目位于扶余市太祖路上，我司是扶余市位置最佳，业态最全，体量最大的商业综合体。目前我司正在积极拓展，逐渐引进新品牌，新项目，打造扶余商业的风向标。</w:t>
      </w:r>
    </w:p>
    <w:p>
      <w:pPr>
        <w:ind w:firstLine="480"/>
        <w:rPr>
          <w:rFonts w:eastAsia="仿宋" w:cs="Times New Roman"/>
          <w:sz w:val="24"/>
          <w:szCs w:val="24"/>
          <w:highlight w:val="none"/>
        </w:rPr>
      </w:pPr>
      <w:r>
        <w:rPr>
          <w:rFonts w:eastAsia="仿宋" w:cs="Times New Roman"/>
          <w:sz w:val="24"/>
          <w:szCs w:val="24"/>
          <w:highlight w:val="none"/>
        </w:rPr>
        <w:t>2.贵单位申报的省级建筑节能奖补资金项目的基本情况。</w:t>
      </w:r>
    </w:p>
    <w:p>
      <w:pPr>
        <w:ind w:firstLine="480"/>
        <w:rPr>
          <w:rFonts w:eastAsia="仿宋" w:cs="Times New Roman"/>
          <w:sz w:val="24"/>
          <w:szCs w:val="24"/>
          <w:highlight w:val="none"/>
        </w:rPr>
      </w:pPr>
      <w:r>
        <w:rPr>
          <w:rFonts w:eastAsia="仿宋" w:cs="Times New Roman"/>
          <w:sz w:val="24"/>
          <w:szCs w:val="24"/>
          <w:highlight w:val="none"/>
        </w:rPr>
        <w:t>我司申报的项目是金源购物广场空气源热泵工程项目，该项目是对扶余市金源购物广场进行冷暖改造，总改造面积28100平方米。安装3套空气源热泵机组，配套水处理装置、软化水箱、补水泵和循环泵等。项目于2022年11月开始施工，12月份开始试运行，运行效果良好。目前由于天气转暖，设备暂时停止运行。待天气变热，将启动制冷。</w:t>
      </w:r>
    </w:p>
    <w:p>
      <w:pPr>
        <w:ind w:firstLine="480"/>
        <w:rPr>
          <w:rFonts w:eastAsia="仿宋" w:cs="Times New Roman"/>
          <w:sz w:val="24"/>
          <w:szCs w:val="24"/>
          <w:highlight w:val="none"/>
        </w:rPr>
      </w:pPr>
      <w:r>
        <w:rPr>
          <w:rFonts w:eastAsia="仿宋" w:cs="Times New Roman"/>
          <w:sz w:val="24"/>
          <w:szCs w:val="24"/>
          <w:highlight w:val="none"/>
        </w:rPr>
        <w:t>3.请您谈谈贵单位申报省级建筑节能奖补资金的基本流程及对申报流程便捷性、科学性的评价。</w:t>
      </w:r>
    </w:p>
    <w:p>
      <w:pPr>
        <w:ind w:firstLine="480"/>
        <w:rPr>
          <w:rFonts w:eastAsia="仿宋" w:cs="Times New Roman"/>
          <w:sz w:val="24"/>
          <w:szCs w:val="24"/>
          <w:highlight w:val="none"/>
        </w:rPr>
      </w:pPr>
      <w:r>
        <w:rPr>
          <w:rFonts w:eastAsia="仿宋" w:cs="Times New Roman"/>
          <w:sz w:val="24"/>
          <w:szCs w:val="24"/>
          <w:highlight w:val="none"/>
        </w:rPr>
        <w:t>申报过程完全按照《吉林省建筑节能奖补资金管理办法》和省厅发布的年度奖补资金项目申报通知要求实施，要求清晰，所需材料清单明确，申报过程很便捷也很科学。</w:t>
      </w:r>
    </w:p>
    <w:p>
      <w:pPr>
        <w:ind w:firstLine="480"/>
        <w:rPr>
          <w:rFonts w:cs="Times New Roman"/>
          <w:kern w:val="0"/>
          <w:sz w:val="24"/>
          <w:szCs w:val="28"/>
          <w:highlight w:val="none"/>
          <w:lang w:val="zh-CN"/>
        </w:rPr>
      </w:pPr>
      <w:r>
        <w:rPr>
          <w:rFonts w:cs="Times New Roman"/>
          <w:kern w:val="0"/>
          <w:sz w:val="24"/>
          <w:szCs w:val="28"/>
          <w:highlight w:val="none"/>
          <w:lang w:val="zh-CN"/>
        </w:rPr>
        <w:t>4.请你谈谈贵单位对扶持资金的使用情况，项目开展过程中有关部门有无对项目实施情况、资金使用情况进行跟踪检查？若有，具体的检查形式、频率是怎样的？</w:t>
      </w:r>
    </w:p>
    <w:p>
      <w:pPr>
        <w:ind w:firstLine="480"/>
        <w:rPr>
          <w:rFonts w:eastAsia="仿宋" w:cs="Times New Roman"/>
          <w:sz w:val="24"/>
          <w:szCs w:val="24"/>
          <w:highlight w:val="none"/>
        </w:rPr>
      </w:pPr>
      <w:r>
        <w:rPr>
          <w:rFonts w:eastAsia="仿宋" w:cs="Times New Roman"/>
          <w:sz w:val="24"/>
          <w:szCs w:val="24"/>
          <w:highlight w:val="none"/>
        </w:rPr>
        <w:t>我司申请的项目扶持资金还未到位，目前正在扶余市政府走相关流程。项目实施和验收过程中，省住建厅相关领导和专家两次到项目现场进行检查并对项目存在的问题提出了宝贵意见，在此，我司表示非常感谢，并积极采纳。</w:t>
      </w:r>
    </w:p>
    <w:p>
      <w:pPr>
        <w:ind w:firstLine="480"/>
        <w:rPr>
          <w:rFonts w:cs="Times New Roman"/>
          <w:kern w:val="0"/>
          <w:sz w:val="24"/>
          <w:szCs w:val="28"/>
          <w:highlight w:val="none"/>
          <w:lang w:val="zh-CN"/>
        </w:rPr>
      </w:pPr>
      <w:r>
        <w:rPr>
          <w:rFonts w:cs="Times New Roman"/>
          <w:kern w:val="0"/>
          <w:sz w:val="24"/>
          <w:szCs w:val="28"/>
          <w:highlight w:val="none"/>
          <w:lang w:val="zh-CN"/>
        </w:rPr>
        <w:t>5.请您谈谈建筑节能奖补资金对贵单位建设发展等方面起到了怎么样的作用。</w:t>
      </w:r>
    </w:p>
    <w:p>
      <w:pPr>
        <w:ind w:firstLine="0" w:firstLineChars="0"/>
        <w:rPr>
          <w:rFonts w:cs="Times New Roman"/>
          <w:kern w:val="0"/>
          <w:sz w:val="24"/>
          <w:szCs w:val="28"/>
          <w:highlight w:val="none"/>
        </w:rPr>
      </w:pPr>
      <w:r>
        <w:rPr>
          <w:rFonts w:cs="Times New Roman"/>
          <w:kern w:val="0"/>
          <w:sz w:val="24"/>
          <w:szCs w:val="28"/>
          <w:highlight w:val="none"/>
        </w:rPr>
        <w:t xml:space="preserve">    奖补资金对我司资金紧缺的问题起到了一定的缓解作用，为公司继续实施新能源节能项目起到了助力作用。新能源项目虽然初投资大，但我司着眼未来，更多的是看重其长期效益，包括经济、生态和社会效益。新能源项目的实施使我们大开眼界，非常感谢政府的支持，我们一定不负众望，坚持走下去，为将来其他项目的新能源开展打下坚实的基础。</w:t>
      </w:r>
    </w:p>
    <w:p>
      <w:pPr>
        <w:tabs>
          <w:tab w:val="left" w:pos="312"/>
        </w:tabs>
        <w:spacing w:line="240" w:lineRule="auto"/>
        <w:ind w:left="480" w:firstLine="0" w:firstLineChars="0"/>
        <w:rPr>
          <w:rFonts w:cs="Times New Roman"/>
          <w:kern w:val="0"/>
          <w:sz w:val="24"/>
          <w:szCs w:val="28"/>
          <w:highlight w:val="none"/>
          <w:lang w:val="zh-CN"/>
        </w:rPr>
      </w:pPr>
      <w:r>
        <w:rPr>
          <w:rFonts w:cs="Times New Roman"/>
          <w:kern w:val="0"/>
          <w:sz w:val="24"/>
          <w:szCs w:val="28"/>
          <w:highlight w:val="none"/>
          <w:lang w:val="zh-CN"/>
        </w:rPr>
        <w:t>6.您认为现阶段建筑节能应重点支持哪个方向？</w:t>
      </w:r>
    </w:p>
    <w:p>
      <w:pPr>
        <w:ind w:firstLine="420" w:firstLineChars="175"/>
        <w:jc w:val="left"/>
        <w:rPr>
          <w:rFonts w:cs="Times New Roman"/>
          <w:kern w:val="0"/>
          <w:sz w:val="24"/>
          <w:szCs w:val="28"/>
          <w:highlight w:val="none"/>
        </w:rPr>
      </w:pPr>
      <w:r>
        <w:rPr>
          <w:rFonts w:cs="Times New Roman"/>
          <w:kern w:val="0"/>
          <w:sz w:val="24"/>
          <w:szCs w:val="28"/>
          <w:highlight w:val="none"/>
        </w:rPr>
        <w:t>我司觉得更应该多多支持民企，重点支持民企建筑节能材料的研发和生产。大力支持可再生能源的应用，比如空气源热泵，基本上城市中集中供热没有覆盖的地方和村镇的小区、百姓民房，都可以利用，国家给予相应资金扶持，既环保又能提高供热制冷质量，降低民企及老百姓的成本。</w:t>
      </w:r>
    </w:p>
    <w:p>
      <w:pPr>
        <w:ind w:firstLine="420" w:firstLineChars="175"/>
        <w:jc w:val="left"/>
        <w:rPr>
          <w:rFonts w:cs="Times New Roman"/>
          <w:kern w:val="0"/>
          <w:sz w:val="24"/>
          <w:szCs w:val="28"/>
          <w:highlight w:val="none"/>
        </w:rPr>
      </w:pPr>
      <w:r>
        <w:rPr>
          <w:rFonts w:cs="Times New Roman"/>
          <w:kern w:val="0"/>
          <w:sz w:val="24"/>
          <w:szCs w:val="28"/>
          <w:highlight w:val="none"/>
        </w:rPr>
        <w:t>7.您认为目前该专项资金在实施过程中是否存在一些问题?并说明出现问题的原因及解决方法。</w:t>
      </w:r>
    </w:p>
    <w:p>
      <w:pPr>
        <w:ind w:firstLine="480"/>
        <w:rPr>
          <w:rFonts w:cs="Times New Roman"/>
          <w:kern w:val="0"/>
          <w:sz w:val="24"/>
          <w:szCs w:val="28"/>
          <w:highlight w:val="none"/>
        </w:rPr>
      </w:pPr>
      <w:r>
        <w:rPr>
          <w:rFonts w:cs="Times New Roman"/>
          <w:kern w:val="0"/>
          <w:sz w:val="24"/>
          <w:szCs w:val="28"/>
          <w:highlight w:val="none"/>
        </w:rPr>
        <w:t>没有问题。</w:t>
      </w:r>
    </w:p>
    <w:p>
      <w:pPr>
        <w:ind w:firstLine="480"/>
        <w:rPr>
          <w:rFonts w:cs="Times New Roman"/>
          <w:kern w:val="0"/>
          <w:sz w:val="24"/>
          <w:szCs w:val="28"/>
          <w:highlight w:val="none"/>
          <w:lang w:val="zh-CN"/>
        </w:rPr>
      </w:pPr>
      <w:r>
        <w:rPr>
          <w:rFonts w:cs="Times New Roman"/>
          <w:kern w:val="0"/>
          <w:sz w:val="24"/>
          <w:szCs w:val="28"/>
          <w:highlight w:val="none"/>
          <w:lang w:val="zh-CN"/>
        </w:rPr>
        <w:t>8.请您谈谈在推进建筑节能方面，政府还应该加强哪些方面的支持?</w:t>
      </w:r>
    </w:p>
    <w:p>
      <w:pPr>
        <w:ind w:firstLine="0" w:firstLineChars="0"/>
        <w:rPr>
          <w:rFonts w:cs="Times New Roman"/>
          <w:kern w:val="0"/>
          <w:sz w:val="24"/>
          <w:szCs w:val="28"/>
          <w:highlight w:val="none"/>
        </w:rPr>
        <w:sectPr>
          <w:pgSz w:w="11906" w:h="16838"/>
          <w:pgMar w:top="1440" w:right="1800" w:bottom="1440" w:left="1800" w:header="851" w:footer="992" w:gutter="0"/>
          <w:cols w:space="425" w:num="1"/>
          <w:docGrid w:type="lines" w:linePitch="381" w:charSpace="0"/>
        </w:sectPr>
      </w:pPr>
      <w:r>
        <w:rPr>
          <w:rFonts w:cs="Times New Roman"/>
          <w:kern w:val="0"/>
          <w:sz w:val="24"/>
          <w:szCs w:val="28"/>
          <w:highlight w:val="none"/>
        </w:rPr>
        <w:t xml:space="preserve">    一是希望补贴年限能够相对延长，有些项目资金投入较大，对企业压力极大，延长年限，能有效的使企业更具活力，同时也能够更好的宣传国家的相关政策。二是加大资金扶持力度，补贴比例希望能够有所增加。</w:t>
      </w:r>
    </w:p>
    <w:p>
      <w:pPr>
        <w:pStyle w:val="45"/>
        <w:adjustRightInd w:val="0"/>
        <w:ind w:firstLine="560"/>
        <w:outlineLvl w:val="1"/>
        <w:rPr>
          <w:rFonts w:eastAsia="仿宋_GB2312"/>
          <w:bCs/>
          <w:sz w:val="28"/>
          <w:szCs w:val="32"/>
          <w:highlight w:val="none"/>
        </w:rPr>
      </w:pPr>
      <w:bookmarkStart w:id="51" w:name="_Toc136265002"/>
      <w:r>
        <w:rPr>
          <w:rFonts w:eastAsia="仿宋_GB2312"/>
          <w:bCs/>
          <w:sz w:val="28"/>
          <w:szCs w:val="32"/>
          <w:highlight w:val="none"/>
        </w:rPr>
        <w:t>附件4-2 受益单位相关负责人访谈提纲-集安边境经济合作区医药健康产业园区建设项目（一期）空气源热泵示范项目</w:t>
      </w:r>
      <w:bookmarkEnd w:id="51"/>
    </w:p>
    <w:p>
      <w:pPr>
        <w:pStyle w:val="46"/>
        <w:ind w:firstLine="480"/>
        <w:rPr>
          <w:szCs w:val="24"/>
          <w:highlight w:val="none"/>
        </w:rPr>
      </w:pPr>
      <w:r>
        <w:rPr>
          <w:szCs w:val="24"/>
          <w:highlight w:val="none"/>
        </w:rPr>
        <w:t>1.请您谈谈贵单位的基本情况。</w:t>
      </w:r>
    </w:p>
    <w:p>
      <w:pPr>
        <w:pStyle w:val="46"/>
        <w:ind w:firstLine="480"/>
        <w:rPr>
          <w:szCs w:val="24"/>
          <w:highlight w:val="none"/>
        </w:rPr>
      </w:pPr>
      <w:r>
        <w:rPr>
          <w:szCs w:val="24"/>
          <w:highlight w:val="none"/>
        </w:rPr>
        <w:t>集安市万资投资集团有限公司成立于2017年11月08日，注册地位于吉林省集安市鸭江路1111号。经营范围包括一般项目：以自有资金从事投资活动；工程和技术研究和试验发展；技术服务、技术开发、技术咨询、技术交流、技术转让、技术推广；物业管理；机械设备租赁；特种设备出租；非居住房地产租赁。</w:t>
      </w:r>
    </w:p>
    <w:p>
      <w:pPr>
        <w:pStyle w:val="46"/>
        <w:ind w:firstLine="480"/>
        <w:rPr>
          <w:szCs w:val="24"/>
          <w:highlight w:val="none"/>
        </w:rPr>
      </w:pPr>
      <w:r>
        <w:rPr>
          <w:szCs w:val="24"/>
          <w:highlight w:val="none"/>
        </w:rPr>
        <w:t>2.贵单位申报的省级建筑节能奖补资金项目的基本情况。</w:t>
      </w:r>
    </w:p>
    <w:p>
      <w:pPr>
        <w:pStyle w:val="46"/>
        <w:ind w:firstLine="480"/>
        <w:rPr>
          <w:szCs w:val="24"/>
          <w:highlight w:val="none"/>
          <w:lang w:val="en-US"/>
        </w:rPr>
      </w:pPr>
      <w:r>
        <w:rPr>
          <w:szCs w:val="24"/>
          <w:highlight w:val="none"/>
          <w:lang w:val="en-US"/>
        </w:rPr>
        <w:t>我公司申报的省级建筑节能奖补资金项目为集安边境经济合作区医药健康产业园区建设项目(一期)空气源热泵示范项目，应用面积76005平方米，建设期为2022年3月-2022年10月，于2022年12月1日运行，运行温度40℃-45℃，年二氧化碳减排量1895.2吨，年二氧化硫减排量15.3吨，粉尘减排量7.7吨，标煤代替量1304.4吨。</w:t>
      </w:r>
    </w:p>
    <w:p>
      <w:pPr>
        <w:pStyle w:val="46"/>
        <w:ind w:firstLine="480"/>
        <w:rPr>
          <w:szCs w:val="24"/>
          <w:highlight w:val="none"/>
        </w:rPr>
      </w:pPr>
      <w:r>
        <w:rPr>
          <w:szCs w:val="24"/>
          <w:highlight w:val="none"/>
        </w:rPr>
        <w:t>3.请您谈谈贵单位申报省级建筑节能奖补资金的基本流程及对申报流程便捷性、科学性的评价。</w:t>
      </w:r>
    </w:p>
    <w:p>
      <w:pPr>
        <w:pStyle w:val="46"/>
        <w:ind w:firstLine="480"/>
        <w:rPr>
          <w:szCs w:val="24"/>
          <w:highlight w:val="none"/>
          <w:lang w:val="en-US"/>
        </w:rPr>
      </w:pPr>
      <w:r>
        <w:rPr>
          <w:szCs w:val="24"/>
          <w:highlight w:val="none"/>
          <w:lang w:val="en-US"/>
        </w:rPr>
        <w:t>申报流程便捷，科学性高。</w:t>
      </w:r>
    </w:p>
    <w:p>
      <w:pPr>
        <w:pStyle w:val="46"/>
        <w:ind w:firstLine="480"/>
        <w:rPr>
          <w:szCs w:val="24"/>
          <w:highlight w:val="none"/>
        </w:rPr>
      </w:pPr>
      <w:r>
        <w:rPr>
          <w:szCs w:val="24"/>
          <w:highlight w:val="none"/>
        </w:rPr>
        <w:t>4.请你谈谈贵单位对扶持资金的使用情况，项目开展过程中有关部门有无对项目实施情况、资金使用情况进行跟踪检查？若有，具体的检查形式、频率是怎样的？</w:t>
      </w:r>
    </w:p>
    <w:p>
      <w:pPr>
        <w:pStyle w:val="46"/>
        <w:ind w:firstLine="480"/>
        <w:rPr>
          <w:szCs w:val="24"/>
          <w:highlight w:val="none"/>
          <w:lang w:val="en-US"/>
        </w:rPr>
      </w:pPr>
      <w:r>
        <w:rPr>
          <w:szCs w:val="24"/>
          <w:highlight w:val="none"/>
          <w:lang w:val="en-US"/>
        </w:rPr>
        <w:t>无。</w:t>
      </w:r>
    </w:p>
    <w:p>
      <w:pPr>
        <w:pStyle w:val="46"/>
        <w:ind w:firstLine="480"/>
        <w:rPr>
          <w:szCs w:val="24"/>
          <w:highlight w:val="none"/>
        </w:rPr>
      </w:pPr>
      <w:r>
        <w:rPr>
          <w:szCs w:val="24"/>
          <w:highlight w:val="none"/>
        </w:rPr>
        <w:t>5.请您谈谈建筑节能奖补资金对贵单位建设发展等方面起到了怎么样的作用。</w:t>
      </w:r>
    </w:p>
    <w:p>
      <w:pPr>
        <w:pStyle w:val="46"/>
        <w:ind w:firstLine="480"/>
        <w:rPr>
          <w:szCs w:val="24"/>
          <w:highlight w:val="none"/>
          <w:lang w:val="en-US"/>
        </w:rPr>
      </w:pPr>
      <w:r>
        <w:rPr>
          <w:szCs w:val="24"/>
          <w:highlight w:val="none"/>
          <w:lang w:val="en-US"/>
        </w:rPr>
        <w:t>对产业园区的扶持和发展起到了至关重要的帮助。</w:t>
      </w:r>
    </w:p>
    <w:p>
      <w:pPr>
        <w:pStyle w:val="46"/>
        <w:ind w:firstLine="480"/>
        <w:rPr>
          <w:szCs w:val="24"/>
          <w:highlight w:val="none"/>
        </w:rPr>
      </w:pPr>
      <w:r>
        <w:rPr>
          <w:szCs w:val="24"/>
          <w:highlight w:val="none"/>
        </w:rPr>
        <w:t>6.您认为现阶段建筑节能应重点支持哪个方向？</w:t>
      </w:r>
    </w:p>
    <w:p>
      <w:pPr>
        <w:pStyle w:val="46"/>
        <w:ind w:firstLine="480"/>
        <w:rPr>
          <w:szCs w:val="24"/>
          <w:highlight w:val="none"/>
          <w:lang w:val="en-US"/>
        </w:rPr>
      </w:pPr>
      <w:r>
        <w:rPr>
          <w:szCs w:val="24"/>
          <w:highlight w:val="none"/>
          <w:lang w:val="en-US"/>
        </w:rPr>
        <w:t>空气源热泵。</w:t>
      </w:r>
    </w:p>
    <w:p>
      <w:pPr>
        <w:pStyle w:val="46"/>
        <w:ind w:firstLine="480"/>
        <w:rPr>
          <w:szCs w:val="24"/>
          <w:highlight w:val="none"/>
        </w:rPr>
      </w:pPr>
      <w:r>
        <w:rPr>
          <w:szCs w:val="24"/>
          <w:highlight w:val="none"/>
        </w:rPr>
        <w:t>7.您认为目前该专项资金在实施过程中是否存在一些问题?并说明出现问题的原因及解决方法。</w:t>
      </w:r>
    </w:p>
    <w:p>
      <w:pPr>
        <w:pStyle w:val="46"/>
        <w:ind w:firstLine="480"/>
        <w:rPr>
          <w:szCs w:val="24"/>
          <w:highlight w:val="none"/>
          <w:lang w:val="en-US"/>
        </w:rPr>
      </w:pPr>
      <w:r>
        <w:rPr>
          <w:szCs w:val="24"/>
          <w:highlight w:val="none"/>
          <w:lang w:val="en-US"/>
        </w:rPr>
        <w:t>无问题。</w:t>
      </w:r>
    </w:p>
    <w:p>
      <w:pPr>
        <w:pStyle w:val="46"/>
        <w:ind w:firstLine="480"/>
        <w:rPr>
          <w:szCs w:val="24"/>
          <w:highlight w:val="none"/>
        </w:rPr>
      </w:pPr>
      <w:r>
        <w:rPr>
          <w:szCs w:val="24"/>
          <w:highlight w:val="none"/>
        </w:rPr>
        <w:t>8.请您谈谈在推进建筑节能方面，政府还应该加强哪些方面的支持?</w:t>
      </w:r>
    </w:p>
    <w:p>
      <w:pPr>
        <w:pStyle w:val="46"/>
        <w:ind w:firstLine="480"/>
        <w:rPr>
          <w:szCs w:val="24"/>
          <w:highlight w:val="none"/>
          <w:lang w:val="en-US"/>
        </w:rPr>
      </w:pPr>
      <w:r>
        <w:rPr>
          <w:szCs w:val="24"/>
          <w:highlight w:val="none"/>
          <w:lang w:val="en-US"/>
        </w:rPr>
        <w:t>无。</w:t>
      </w:r>
    </w:p>
    <w:p>
      <w:pPr>
        <w:ind w:firstLine="560"/>
        <w:rPr>
          <w:rFonts w:cs="Times New Roman"/>
          <w:highlight w:val="none"/>
        </w:rPr>
        <w:sectPr>
          <w:pgSz w:w="11906" w:h="16838"/>
          <w:pgMar w:top="1440" w:right="1800" w:bottom="1440" w:left="1800" w:header="851" w:footer="992" w:gutter="0"/>
          <w:cols w:space="425" w:num="1"/>
          <w:docGrid w:type="lines" w:linePitch="381" w:charSpace="0"/>
        </w:sectPr>
      </w:pPr>
    </w:p>
    <w:p>
      <w:pPr>
        <w:pStyle w:val="45"/>
        <w:adjustRightInd w:val="0"/>
        <w:ind w:firstLine="560"/>
        <w:outlineLvl w:val="1"/>
        <w:rPr>
          <w:rFonts w:eastAsia="仿宋_GB2312"/>
          <w:bCs/>
          <w:sz w:val="28"/>
          <w:szCs w:val="32"/>
          <w:highlight w:val="none"/>
        </w:rPr>
      </w:pPr>
      <w:bookmarkStart w:id="52" w:name="_Toc136265003"/>
      <w:r>
        <w:rPr>
          <w:rFonts w:eastAsia="仿宋_GB2312"/>
          <w:bCs/>
          <w:sz w:val="28"/>
          <w:szCs w:val="32"/>
          <w:highlight w:val="none"/>
        </w:rPr>
        <w:t>附件4-3 受益单位相关负责人访谈提纲-琵岩山高丽汤泉村空气源热泵示范项目</w:t>
      </w:r>
      <w:bookmarkEnd w:id="52"/>
    </w:p>
    <w:p>
      <w:pPr>
        <w:pStyle w:val="46"/>
        <w:ind w:firstLine="480"/>
        <w:rPr>
          <w:szCs w:val="24"/>
          <w:highlight w:val="none"/>
        </w:rPr>
      </w:pPr>
      <w:r>
        <w:rPr>
          <w:szCs w:val="24"/>
          <w:highlight w:val="none"/>
        </w:rPr>
        <w:t>1.请您谈谈贵单位的基本情况。</w:t>
      </w:r>
    </w:p>
    <w:p>
      <w:pPr>
        <w:pStyle w:val="46"/>
        <w:ind w:firstLine="480"/>
        <w:rPr>
          <w:szCs w:val="24"/>
          <w:highlight w:val="none"/>
        </w:rPr>
      </w:pPr>
      <w:r>
        <w:rPr>
          <w:szCs w:val="24"/>
          <w:highlight w:val="none"/>
        </w:rPr>
        <w:t>吉林省中佰文化旅游投资有限公司成立于2018年。主业：文化旅游产业。琵岩山文化旅游度假区是中佰投资的第一个4A级景区，规划总占地面积459公顷。中佰文旅致力于把琵岩山打造为集生态观光、花海休闲、温泉养生度假于一体的“花海养生度假”胜地。</w:t>
      </w:r>
    </w:p>
    <w:p>
      <w:pPr>
        <w:pStyle w:val="46"/>
        <w:ind w:firstLine="480"/>
        <w:rPr>
          <w:szCs w:val="24"/>
          <w:highlight w:val="none"/>
        </w:rPr>
      </w:pPr>
      <w:r>
        <w:rPr>
          <w:szCs w:val="24"/>
          <w:highlight w:val="none"/>
        </w:rPr>
        <w:t>中佰集团历经多年深耕细作，文旅产业发展，业务已涵盖旅游项目投资开发、项目全案策划、项目咨询服务、运营全过程管理等相关业务，全方位产业链的集群服务。在吉林省已形成区域标志性中佰自有品牌。</w:t>
      </w:r>
    </w:p>
    <w:p>
      <w:pPr>
        <w:pStyle w:val="46"/>
        <w:ind w:firstLine="480"/>
        <w:rPr>
          <w:szCs w:val="24"/>
          <w:highlight w:val="none"/>
        </w:rPr>
      </w:pPr>
      <w:r>
        <w:rPr>
          <w:szCs w:val="24"/>
          <w:highlight w:val="none"/>
        </w:rPr>
        <w:t>琵岩山度假区规划总占地面积459公顷。规划四大主题板块：琵岩山风景区、琵岩山温泉古村落、琵岩山康养地产、琵岩山康养产业园。</w:t>
      </w:r>
    </w:p>
    <w:p>
      <w:pPr>
        <w:pStyle w:val="46"/>
        <w:ind w:firstLine="480"/>
        <w:rPr>
          <w:szCs w:val="24"/>
          <w:highlight w:val="none"/>
        </w:rPr>
      </w:pPr>
      <w:r>
        <w:rPr>
          <w:szCs w:val="24"/>
          <w:highlight w:val="none"/>
        </w:rPr>
        <w:t>2.贵单位申报的省级建筑节能奖补资金项目的基本情况。</w:t>
      </w:r>
    </w:p>
    <w:p>
      <w:pPr>
        <w:pStyle w:val="46"/>
        <w:ind w:firstLine="480"/>
        <w:rPr>
          <w:szCs w:val="24"/>
          <w:highlight w:val="none"/>
        </w:rPr>
      </w:pPr>
      <w:r>
        <w:rPr>
          <w:szCs w:val="24"/>
          <w:highlight w:val="none"/>
        </w:rPr>
        <w:t xml:space="preserve">本项目为琵岩山高丽汤泉村空气源热泵示范项目，位于吉林省延边朝鲜族自治州龙井市琵岩山风景区南侧，建筑面积共 37546.15 平方米。 </w:t>
      </w:r>
    </w:p>
    <w:p>
      <w:pPr>
        <w:pStyle w:val="46"/>
        <w:ind w:firstLine="480"/>
        <w:rPr>
          <w:szCs w:val="24"/>
          <w:highlight w:val="none"/>
        </w:rPr>
      </w:pPr>
      <w:r>
        <w:rPr>
          <w:szCs w:val="24"/>
          <w:highlight w:val="none"/>
        </w:rPr>
        <w:t>根据热泵机组的性能参数选用 23 台 LSQWRF150MGALH 山东沃克空调集团有限公司生产的空气源热泵机组采暖。</w:t>
      </w:r>
    </w:p>
    <w:p>
      <w:pPr>
        <w:pStyle w:val="46"/>
        <w:ind w:firstLine="480"/>
        <w:rPr>
          <w:szCs w:val="24"/>
          <w:highlight w:val="none"/>
        </w:rPr>
      </w:pPr>
      <w:r>
        <w:rPr>
          <w:szCs w:val="24"/>
          <w:highlight w:val="none"/>
        </w:rPr>
        <w:t>3.请您谈谈贵单位申报省级建筑节能奖补资金的基本流程及对申报流程便捷性、科学性的评价。</w:t>
      </w:r>
    </w:p>
    <w:p>
      <w:pPr>
        <w:pStyle w:val="46"/>
        <w:ind w:firstLine="480"/>
        <w:rPr>
          <w:szCs w:val="24"/>
          <w:highlight w:val="none"/>
        </w:rPr>
      </w:pPr>
      <w:r>
        <w:rPr>
          <w:szCs w:val="24"/>
          <w:highlight w:val="none"/>
        </w:rPr>
        <w:t>由建设单位组织设计方、施工方和厂家等，梳理专业资料；按省厅文件精神，与当地住建、财政沟通；编制专业资料、装订；先上报当地住建、财政审阅合格后，上报省厅。</w:t>
      </w:r>
    </w:p>
    <w:p>
      <w:pPr>
        <w:pStyle w:val="46"/>
        <w:ind w:firstLine="480"/>
        <w:rPr>
          <w:szCs w:val="24"/>
          <w:highlight w:val="none"/>
        </w:rPr>
      </w:pPr>
      <w:r>
        <w:rPr>
          <w:szCs w:val="24"/>
          <w:highlight w:val="none"/>
        </w:rPr>
        <w:t>申报过程中，若有不清楚之处，可通过省住建厅电话咨询，得到详尽的解答，工作人员态度很好，沟通顺速，同时给申报单位提供了速度最快的多种便利的申报方式。效率高，沟通渠道顺畅。</w:t>
      </w:r>
    </w:p>
    <w:p>
      <w:pPr>
        <w:pStyle w:val="46"/>
        <w:ind w:firstLine="480"/>
        <w:rPr>
          <w:szCs w:val="24"/>
          <w:highlight w:val="none"/>
        </w:rPr>
      </w:pPr>
      <w:r>
        <w:rPr>
          <w:szCs w:val="24"/>
          <w:highlight w:val="none"/>
        </w:rPr>
        <w:t>4.请你谈谈贵单位对扶持资金的使用情况，项目开展过程中有关部门有无对项目实施情况、资金使用情况进行跟踪检查？若有，具体的检查形式、频率是怎样的？</w:t>
      </w:r>
    </w:p>
    <w:p>
      <w:pPr>
        <w:pStyle w:val="46"/>
        <w:ind w:firstLine="480"/>
        <w:rPr>
          <w:szCs w:val="24"/>
          <w:highlight w:val="none"/>
        </w:rPr>
      </w:pPr>
      <w:r>
        <w:rPr>
          <w:szCs w:val="24"/>
          <w:highlight w:val="none"/>
        </w:rPr>
        <w:t>当地住建、财政现场实地踏查项目。施工中、完工时。根据项目进度情况到场检查。资金目前还未到位企业。</w:t>
      </w:r>
    </w:p>
    <w:p>
      <w:pPr>
        <w:pStyle w:val="46"/>
        <w:ind w:firstLine="480"/>
        <w:rPr>
          <w:szCs w:val="24"/>
          <w:highlight w:val="none"/>
        </w:rPr>
      </w:pPr>
      <w:r>
        <w:rPr>
          <w:szCs w:val="24"/>
          <w:highlight w:val="none"/>
        </w:rPr>
        <w:t>5.请您谈谈建筑节能奖补资金对贵单位建设发展等方面起到了怎么样的作用。</w:t>
      </w:r>
    </w:p>
    <w:p>
      <w:pPr>
        <w:pStyle w:val="46"/>
        <w:ind w:firstLine="480"/>
        <w:rPr>
          <w:szCs w:val="24"/>
          <w:highlight w:val="none"/>
        </w:rPr>
      </w:pPr>
      <w:r>
        <w:rPr>
          <w:szCs w:val="24"/>
          <w:highlight w:val="none"/>
        </w:rPr>
        <w:t xml:space="preserve"> 一是极大地激励了企业对节能设备产品的信心；二是解决了企业的生产运营资金。促进了企业生产发展。</w:t>
      </w:r>
    </w:p>
    <w:p>
      <w:pPr>
        <w:pStyle w:val="46"/>
        <w:ind w:firstLine="480"/>
        <w:rPr>
          <w:szCs w:val="24"/>
          <w:highlight w:val="none"/>
        </w:rPr>
      </w:pPr>
      <w:r>
        <w:rPr>
          <w:szCs w:val="24"/>
          <w:highlight w:val="none"/>
        </w:rPr>
        <w:t>6.您认为现阶段建筑节能应重点支持哪个方向？</w:t>
      </w:r>
    </w:p>
    <w:p>
      <w:pPr>
        <w:pStyle w:val="46"/>
        <w:ind w:firstLine="480"/>
        <w:rPr>
          <w:szCs w:val="24"/>
          <w:highlight w:val="none"/>
        </w:rPr>
      </w:pPr>
      <w:r>
        <w:rPr>
          <w:szCs w:val="24"/>
          <w:highlight w:val="none"/>
        </w:rPr>
        <w:t>地源热泵、节能材料、智能节能建筑和电器、供暖供水设备、保温、轻型材料、内墙材料等。</w:t>
      </w:r>
    </w:p>
    <w:p>
      <w:pPr>
        <w:pStyle w:val="46"/>
        <w:ind w:firstLine="480"/>
        <w:rPr>
          <w:szCs w:val="24"/>
          <w:highlight w:val="none"/>
        </w:rPr>
      </w:pPr>
      <w:r>
        <w:rPr>
          <w:szCs w:val="24"/>
          <w:highlight w:val="none"/>
        </w:rPr>
        <w:t>7.您认为目前该专项资金在实施过程中是否存在一些问题?并说明出现问题的原因及解决方法。</w:t>
      </w:r>
    </w:p>
    <w:p>
      <w:pPr>
        <w:pStyle w:val="46"/>
        <w:ind w:firstLine="480"/>
        <w:rPr>
          <w:szCs w:val="24"/>
          <w:highlight w:val="none"/>
        </w:rPr>
      </w:pPr>
      <w:r>
        <w:rPr>
          <w:szCs w:val="24"/>
          <w:highlight w:val="none"/>
        </w:rPr>
        <w:t>还未发现问题。</w:t>
      </w:r>
    </w:p>
    <w:p>
      <w:pPr>
        <w:pStyle w:val="46"/>
        <w:ind w:firstLine="480"/>
        <w:rPr>
          <w:szCs w:val="24"/>
          <w:highlight w:val="none"/>
        </w:rPr>
      </w:pPr>
      <w:r>
        <w:rPr>
          <w:szCs w:val="24"/>
          <w:highlight w:val="none"/>
        </w:rPr>
        <w:t>8.请您谈谈在推进建筑节能方面，政府还应该加强哪些方面的支持?</w:t>
      </w:r>
    </w:p>
    <w:p>
      <w:pPr>
        <w:pStyle w:val="46"/>
        <w:ind w:firstLine="480"/>
        <w:rPr>
          <w:szCs w:val="24"/>
          <w:highlight w:val="none"/>
        </w:rPr>
      </w:pPr>
      <w:r>
        <w:rPr>
          <w:szCs w:val="24"/>
          <w:highlight w:val="none"/>
        </w:rPr>
        <w:t>一方面生产企业给政策扶持；二是政府奖补使用节能材料；三是终端用者给税费等方面的扶持。</w:t>
      </w:r>
    </w:p>
    <w:p>
      <w:pPr>
        <w:pStyle w:val="46"/>
        <w:ind w:firstLine="199" w:firstLineChars="83"/>
        <w:rPr>
          <w:szCs w:val="24"/>
          <w:highlight w:val="none"/>
        </w:rPr>
        <w:sectPr>
          <w:pgSz w:w="11906" w:h="16838"/>
          <w:pgMar w:top="1440" w:right="1800" w:bottom="1440" w:left="1800" w:header="851" w:footer="992" w:gutter="0"/>
          <w:cols w:space="425" w:num="1"/>
          <w:docGrid w:type="lines" w:linePitch="381" w:charSpace="0"/>
        </w:sectPr>
      </w:pPr>
    </w:p>
    <w:p>
      <w:pPr>
        <w:pStyle w:val="45"/>
        <w:adjustRightInd w:val="0"/>
        <w:ind w:firstLine="560"/>
        <w:outlineLvl w:val="1"/>
        <w:rPr>
          <w:rFonts w:eastAsia="仿宋_GB2312"/>
          <w:bCs/>
          <w:sz w:val="28"/>
          <w:szCs w:val="32"/>
          <w:highlight w:val="none"/>
        </w:rPr>
      </w:pPr>
      <w:bookmarkStart w:id="53" w:name="_Toc136265004"/>
      <w:r>
        <w:rPr>
          <w:rFonts w:eastAsia="仿宋_GB2312"/>
          <w:bCs/>
          <w:sz w:val="28"/>
          <w:szCs w:val="32"/>
          <w:highlight w:val="none"/>
        </w:rPr>
        <w:t>附件4-4 受益单位相关负责人访谈提纲-通化医药高新区空气能改造项目（一期）</w:t>
      </w:r>
      <w:bookmarkEnd w:id="53"/>
    </w:p>
    <w:p>
      <w:pPr>
        <w:pStyle w:val="46"/>
        <w:ind w:left="480" w:firstLine="0" w:firstLineChars="0"/>
        <w:rPr>
          <w:highlight w:val="none"/>
        </w:rPr>
      </w:pPr>
      <w:r>
        <w:rPr>
          <w:highlight w:val="none"/>
        </w:rPr>
        <w:t>1.请您谈谈贵单位的基本情况。</w:t>
      </w:r>
    </w:p>
    <w:p>
      <w:pPr>
        <w:spacing w:line="576" w:lineRule="exact"/>
        <w:ind w:firstLine="480"/>
        <w:rPr>
          <w:rFonts w:cs="Times New Roman"/>
          <w:highlight w:val="none"/>
        </w:rPr>
      </w:pPr>
      <w:r>
        <w:rPr>
          <w:rFonts w:eastAsia="仿宋" w:cs="Times New Roman"/>
          <w:sz w:val="24"/>
          <w:szCs w:val="24"/>
          <w:highlight w:val="none"/>
        </w:rPr>
        <w:t>我公司是通化高创投资建设有限公司，是由通化市人民政府所属的通化市国有资产经营公司单独出资设立的国有独资公司，位于通化市通化开发区经开环路 1-1号A5楼205 室，成立于2022年10月9日。</w:t>
      </w:r>
      <w:r>
        <w:rPr>
          <w:rFonts w:cs="Times New Roman"/>
          <w:kern w:val="0"/>
          <w:sz w:val="24"/>
          <w:szCs w:val="24"/>
          <w:highlight w:val="none"/>
          <w:lang w:val="zh-CN"/>
        </w:rPr>
        <w:t>公司经营范围</w:t>
      </w:r>
      <w:r>
        <w:rPr>
          <w:rFonts w:cs="Times New Roman"/>
          <w:kern w:val="0"/>
          <w:sz w:val="24"/>
          <w:szCs w:val="24"/>
          <w:highlight w:val="none"/>
        </w:rPr>
        <w:t>有：</w:t>
      </w:r>
      <w:r>
        <w:rPr>
          <w:rFonts w:cs="Times New Roman"/>
          <w:kern w:val="0"/>
          <w:sz w:val="24"/>
          <w:szCs w:val="24"/>
          <w:highlight w:val="none"/>
          <w:lang w:val="zh-CN"/>
        </w:rPr>
        <w:t>建设工程施工；房地产开发经营；园林绿化工程施工；以自有资金从事投资活动；劳务服务（不含劳务派遣）</w:t>
      </w:r>
      <w:r>
        <w:rPr>
          <w:rFonts w:cs="Times New Roman"/>
          <w:kern w:val="0"/>
          <w:sz w:val="24"/>
          <w:szCs w:val="24"/>
          <w:highlight w:val="none"/>
        </w:rPr>
        <w:t>和</w:t>
      </w:r>
      <w:r>
        <w:rPr>
          <w:rFonts w:cs="Times New Roman"/>
          <w:kern w:val="0"/>
          <w:sz w:val="24"/>
          <w:szCs w:val="24"/>
          <w:highlight w:val="none"/>
          <w:lang w:val="zh-CN"/>
        </w:rPr>
        <w:t>工程管理服务</w:t>
      </w:r>
      <w:r>
        <w:rPr>
          <w:rFonts w:cs="Times New Roman"/>
          <w:kern w:val="0"/>
          <w:sz w:val="24"/>
          <w:szCs w:val="24"/>
          <w:highlight w:val="none"/>
        </w:rPr>
        <w:t>等。</w:t>
      </w:r>
    </w:p>
    <w:p>
      <w:pPr>
        <w:pStyle w:val="46"/>
        <w:ind w:left="480" w:firstLine="0" w:firstLineChars="0"/>
        <w:rPr>
          <w:highlight w:val="none"/>
        </w:rPr>
      </w:pPr>
      <w:r>
        <w:rPr>
          <w:highlight w:val="none"/>
        </w:rPr>
        <w:t>2.贵单位申报的省级建筑节能奖补资金项目的基本情况。</w:t>
      </w:r>
    </w:p>
    <w:p>
      <w:pPr>
        <w:pStyle w:val="46"/>
        <w:ind w:firstLine="0" w:firstLineChars="0"/>
        <w:rPr>
          <w:highlight w:val="none"/>
          <w:lang w:val="en-US"/>
        </w:rPr>
      </w:pPr>
      <w:r>
        <w:rPr>
          <w:highlight w:val="none"/>
          <w:lang w:val="en-US"/>
        </w:rPr>
        <w:t xml:space="preserve">    </w:t>
      </w:r>
      <w:r>
        <w:rPr>
          <w:rFonts w:eastAsia="仿宋"/>
          <w:kern w:val="2"/>
          <w:szCs w:val="24"/>
          <w:highlight w:val="none"/>
          <w:lang w:val="en-US"/>
        </w:rPr>
        <w:t>我公司申报的项目是通化医药高新区空气能改造项目（一期），该项目对通化医药高新区西区4栋标准厂房进行采暖改造，总采暖面积32610平方米。安装25台超低温空气源热泵机组，配套水处理装置、软化水箱、补水泵和循环泵等。项目于2023年1月开工，2月竣工并进行调试和试运行，运行效果良好。后期由于天气转暖，设备没有继续运行。</w:t>
      </w:r>
    </w:p>
    <w:p>
      <w:pPr>
        <w:pStyle w:val="46"/>
        <w:ind w:firstLine="480"/>
        <w:rPr>
          <w:rFonts w:eastAsia="仿宋"/>
          <w:kern w:val="2"/>
          <w:szCs w:val="24"/>
          <w:highlight w:val="none"/>
          <w:lang w:val="en-US"/>
        </w:rPr>
      </w:pPr>
      <w:r>
        <w:rPr>
          <w:rFonts w:eastAsia="仿宋"/>
          <w:kern w:val="2"/>
          <w:szCs w:val="24"/>
          <w:highlight w:val="none"/>
          <w:lang w:val="en-US"/>
        </w:rPr>
        <w:t>3.请您谈谈贵单位申报省级建筑节能奖补资金的基本流程及对申报流程便捷性、科学性的评价。</w:t>
      </w:r>
    </w:p>
    <w:p>
      <w:pPr>
        <w:pStyle w:val="46"/>
        <w:ind w:firstLine="480"/>
        <w:rPr>
          <w:rFonts w:eastAsia="仿宋"/>
          <w:kern w:val="2"/>
          <w:szCs w:val="24"/>
          <w:highlight w:val="none"/>
          <w:lang w:val="en-US"/>
        </w:rPr>
      </w:pPr>
      <w:r>
        <w:rPr>
          <w:rFonts w:eastAsia="仿宋"/>
          <w:kern w:val="2"/>
          <w:szCs w:val="24"/>
          <w:highlight w:val="none"/>
          <w:lang w:val="en-US"/>
        </w:rPr>
        <w:t>申报过程完全按照《吉林省建筑节能奖补资金管理办法》和省厅发布的年度奖补资金项目申报通知要求实施，要求清晰，所需材料清单明确，申报过程很便捷也很科学。</w:t>
      </w:r>
    </w:p>
    <w:p>
      <w:pPr>
        <w:pStyle w:val="46"/>
        <w:ind w:firstLine="480"/>
        <w:rPr>
          <w:rFonts w:eastAsia="仿宋"/>
          <w:kern w:val="2"/>
          <w:szCs w:val="24"/>
          <w:highlight w:val="none"/>
          <w:lang w:val="en-US"/>
        </w:rPr>
      </w:pPr>
      <w:r>
        <w:rPr>
          <w:rFonts w:eastAsia="仿宋"/>
          <w:kern w:val="2"/>
          <w:szCs w:val="24"/>
          <w:highlight w:val="none"/>
          <w:lang w:val="en-US"/>
        </w:rPr>
        <w:t>4.请你谈谈贵单位对扶持资金的使用情况，项目开展过程中有关部门有无对项目实施情况、资金使用情况进行跟踪检查？若有，具体的检查形式、频率是怎样的？</w:t>
      </w:r>
    </w:p>
    <w:p>
      <w:pPr>
        <w:pStyle w:val="46"/>
        <w:ind w:firstLine="480"/>
        <w:rPr>
          <w:rFonts w:eastAsia="仿宋"/>
          <w:kern w:val="2"/>
          <w:szCs w:val="24"/>
          <w:highlight w:val="none"/>
          <w:lang w:val="en-US"/>
        </w:rPr>
      </w:pPr>
      <w:r>
        <w:rPr>
          <w:rFonts w:eastAsia="仿宋"/>
          <w:kern w:val="2"/>
          <w:szCs w:val="24"/>
          <w:highlight w:val="none"/>
          <w:lang w:val="en-US"/>
        </w:rPr>
        <w:t>我公司申请的项目扶持资金还未到位，已支付的工程款全部来自我公司自筹。</w:t>
      </w:r>
    </w:p>
    <w:p>
      <w:pPr>
        <w:pStyle w:val="46"/>
        <w:ind w:firstLine="480"/>
        <w:rPr>
          <w:rFonts w:eastAsia="仿宋"/>
          <w:kern w:val="2"/>
          <w:szCs w:val="24"/>
          <w:highlight w:val="none"/>
          <w:lang w:val="en-US"/>
        </w:rPr>
      </w:pPr>
      <w:r>
        <w:rPr>
          <w:rFonts w:eastAsia="仿宋"/>
          <w:kern w:val="2"/>
          <w:szCs w:val="24"/>
          <w:highlight w:val="none"/>
          <w:lang w:val="en-US"/>
        </w:rPr>
        <w:t>项目实施和验收过程中，省建设厅相关领导和专家两次到项目现场进行检查并对项目存在的问题提出了宝贵意见，我公司按照专家意见进行了整改。</w:t>
      </w:r>
    </w:p>
    <w:p>
      <w:pPr>
        <w:pStyle w:val="46"/>
        <w:ind w:firstLine="480"/>
        <w:rPr>
          <w:rFonts w:eastAsia="仿宋"/>
          <w:kern w:val="2"/>
          <w:szCs w:val="24"/>
          <w:highlight w:val="none"/>
          <w:lang w:val="en-US"/>
        </w:rPr>
      </w:pPr>
      <w:r>
        <w:rPr>
          <w:rFonts w:eastAsia="仿宋"/>
          <w:kern w:val="2"/>
          <w:szCs w:val="24"/>
          <w:highlight w:val="none"/>
          <w:lang w:val="en-US"/>
        </w:rPr>
        <w:t>5.请您谈谈建筑节能奖补资金对贵单位建设发展等方面起到了怎么样的作用。</w:t>
      </w:r>
    </w:p>
    <w:p>
      <w:pPr>
        <w:pStyle w:val="46"/>
        <w:ind w:firstLine="480"/>
        <w:rPr>
          <w:rFonts w:eastAsia="仿宋"/>
          <w:kern w:val="2"/>
          <w:szCs w:val="24"/>
          <w:highlight w:val="none"/>
          <w:lang w:val="en-US"/>
        </w:rPr>
      </w:pPr>
      <w:r>
        <w:rPr>
          <w:rFonts w:eastAsia="仿宋"/>
          <w:kern w:val="2"/>
          <w:szCs w:val="24"/>
          <w:highlight w:val="none"/>
          <w:lang w:val="en-US"/>
        </w:rPr>
        <w:t>奖补资金对公司资金紧缺的问题有一定的缓解，为公司继续实施新能源节能项目起到了助力作用。新能源项目虽然初投资大，但我们看重的是长期效益，包括经济效益、生态效益和社会效益。新能源项目的实施能改善我们高新区的整体环境和居住、办公环境，有利于招商引资，为高新区发展带来新的动力。</w:t>
      </w:r>
    </w:p>
    <w:p>
      <w:pPr>
        <w:pStyle w:val="46"/>
        <w:ind w:firstLine="480"/>
        <w:rPr>
          <w:rFonts w:eastAsia="仿宋"/>
          <w:kern w:val="2"/>
          <w:szCs w:val="24"/>
          <w:highlight w:val="none"/>
          <w:lang w:val="en-US"/>
        </w:rPr>
      </w:pPr>
      <w:r>
        <w:rPr>
          <w:rFonts w:eastAsia="仿宋"/>
          <w:kern w:val="2"/>
          <w:szCs w:val="24"/>
          <w:highlight w:val="none"/>
          <w:lang w:val="en-US"/>
        </w:rPr>
        <w:t>6.您认为现阶段建筑节能应重点支持哪个方向？</w:t>
      </w:r>
    </w:p>
    <w:p>
      <w:pPr>
        <w:pStyle w:val="46"/>
        <w:ind w:firstLine="480"/>
        <w:rPr>
          <w:rFonts w:eastAsia="仿宋"/>
          <w:kern w:val="2"/>
          <w:szCs w:val="24"/>
          <w:highlight w:val="none"/>
          <w:lang w:val="en-US"/>
        </w:rPr>
      </w:pPr>
      <w:r>
        <w:rPr>
          <w:rFonts w:eastAsia="仿宋"/>
          <w:kern w:val="2"/>
          <w:szCs w:val="24"/>
          <w:highlight w:val="none"/>
          <w:lang w:val="en-US"/>
        </w:rPr>
        <w:t>在这个问题上我不是很专业，说一点自己的看法，不一定准确。一是绿色建筑材料的应用，国家应该重点支持绿色建筑材料的研发和生产，支持产业发展。二是大力支持可再生能源的应用，比如空气源热泵就是很好的例子，城市中集中供热没有覆盖的地方和村镇的小区、民房，都可以引用，国家给予资金扶持，淘汰燃煤锅炉，既环保又能提高供热质量，降低供热成本。</w:t>
      </w:r>
    </w:p>
    <w:p>
      <w:pPr>
        <w:pStyle w:val="46"/>
        <w:ind w:firstLine="480"/>
        <w:rPr>
          <w:rFonts w:eastAsia="仿宋"/>
          <w:kern w:val="2"/>
          <w:szCs w:val="24"/>
          <w:highlight w:val="none"/>
          <w:lang w:val="en-US"/>
        </w:rPr>
      </w:pPr>
      <w:r>
        <w:rPr>
          <w:rFonts w:eastAsia="仿宋"/>
          <w:kern w:val="2"/>
          <w:szCs w:val="24"/>
          <w:highlight w:val="none"/>
          <w:lang w:val="en-US"/>
        </w:rPr>
        <w:t>7.您认为目前该专项资金在实施过程中是否存在一些问题?并说明出现问题的原因及解决方法。</w:t>
      </w:r>
    </w:p>
    <w:p>
      <w:pPr>
        <w:pStyle w:val="46"/>
        <w:ind w:firstLine="480"/>
        <w:rPr>
          <w:rFonts w:eastAsia="仿宋"/>
          <w:kern w:val="2"/>
          <w:szCs w:val="24"/>
          <w:highlight w:val="none"/>
          <w:lang w:val="en-US"/>
        </w:rPr>
      </w:pPr>
      <w:r>
        <w:rPr>
          <w:rFonts w:eastAsia="仿宋"/>
          <w:kern w:val="2"/>
          <w:szCs w:val="24"/>
          <w:highlight w:val="none"/>
          <w:lang w:val="en-US"/>
        </w:rPr>
        <w:t>没有问题。</w:t>
      </w:r>
    </w:p>
    <w:p>
      <w:pPr>
        <w:pStyle w:val="46"/>
        <w:ind w:firstLine="480"/>
        <w:rPr>
          <w:rFonts w:eastAsia="仿宋"/>
          <w:kern w:val="2"/>
          <w:szCs w:val="24"/>
          <w:highlight w:val="none"/>
          <w:lang w:val="en-US"/>
        </w:rPr>
      </w:pPr>
      <w:r>
        <w:rPr>
          <w:rFonts w:eastAsia="仿宋"/>
          <w:kern w:val="2"/>
          <w:szCs w:val="24"/>
          <w:highlight w:val="none"/>
          <w:lang w:val="en-US"/>
        </w:rPr>
        <w:t>8.请您谈谈在推进建筑节能方面，政府还应该加强哪些方面的支持?</w:t>
      </w:r>
    </w:p>
    <w:p>
      <w:pPr>
        <w:pStyle w:val="46"/>
        <w:ind w:firstLine="480"/>
        <w:rPr>
          <w:rFonts w:eastAsia="仿宋"/>
          <w:kern w:val="2"/>
          <w:szCs w:val="24"/>
          <w:highlight w:val="none"/>
          <w:lang w:val="en-US"/>
        </w:rPr>
      </w:pPr>
      <w:r>
        <w:rPr>
          <w:rFonts w:eastAsia="仿宋"/>
          <w:kern w:val="2"/>
          <w:szCs w:val="24"/>
          <w:highlight w:val="none"/>
          <w:lang w:val="en-US"/>
        </w:rPr>
        <w:t>一是加大资金扶持力度，二是为项目单位提供技术支持，因为很多新技术、新设备、新材料对项目单位来说是知识盲区，很容易被供应商或施工单位诓骗，希望政府多搞一些建筑节能方面的培训和宣传，为项目单位把好设备和技术质量关和价格关。</w:t>
      </w:r>
    </w:p>
    <w:p>
      <w:pPr>
        <w:pStyle w:val="46"/>
        <w:ind w:firstLine="199" w:firstLineChars="83"/>
        <w:rPr>
          <w:szCs w:val="24"/>
          <w:highlight w:val="none"/>
          <w:lang w:val="en-US"/>
        </w:rPr>
      </w:pPr>
    </w:p>
    <w:sectPr>
      <w:pgSz w:w="11906" w:h="16838"/>
      <w:pgMar w:top="1440" w:right="1800" w:bottom="1440" w:left="1800"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swiss"/>
    <w:pitch w:val="default"/>
    <w:sig w:usb0="80000287" w:usb1="280F3C52" w:usb2="00000016" w:usb3="00000000" w:csb0="0004001F" w:csb1="00000000"/>
  </w:font>
  <w:font w:name="_x000B__x000C_">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20"/>
      <w:jc w:val="center"/>
      <w:rPr>
        <w:rFonts w:eastAsia="Times New Roman"/>
        <w:kern w:val="0"/>
        <w:sz w:val="21"/>
        <w:szCs w:val="28"/>
      </w:rPr>
    </w:pPr>
    <w:r>
      <w:rPr>
        <w:rFonts w:hint="eastAsia" w:eastAsia="Times New Roman"/>
        <w:kern w:val="0"/>
        <w:sz w:val="21"/>
        <w:szCs w:val="28"/>
      </w:rPr>
      <w:t>-</w:t>
    </w:r>
    <w:r>
      <w:rPr>
        <w:rFonts w:eastAsia="Times New Roman"/>
        <w:kern w:val="0"/>
        <w:sz w:val="21"/>
        <w:szCs w:val="28"/>
      </w:rPr>
      <w:fldChar w:fldCharType="begin"/>
    </w:r>
    <w:r>
      <w:rPr>
        <w:rFonts w:eastAsia="Times New Roman"/>
        <w:kern w:val="0"/>
        <w:sz w:val="21"/>
        <w:szCs w:val="28"/>
      </w:rPr>
      <w:instrText xml:space="preserve">PAGE   \* MERGEFORMAT</w:instrText>
    </w:r>
    <w:r>
      <w:rPr>
        <w:rFonts w:eastAsia="Times New Roman"/>
        <w:kern w:val="0"/>
        <w:sz w:val="21"/>
        <w:szCs w:val="28"/>
      </w:rPr>
      <w:fldChar w:fldCharType="separate"/>
    </w:r>
    <w:r>
      <w:rPr>
        <w:rFonts w:eastAsia="Times New Roman"/>
        <w:kern w:val="0"/>
        <w:sz w:val="21"/>
        <w:szCs w:val="28"/>
      </w:rPr>
      <w:t>7</w:t>
    </w:r>
    <w:r>
      <w:rPr>
        <w:rFonts w:eastAsia="Times New Roman"/>
        <w:kern w:val="0"/>
        <w:sz w:val="21"/>
        <w:szCs w:val="28"/>
      </w:rPr>
      <w:fldChar w:fldCharType="end"/>
    </w:r>
    <w:r>
      <w:rPr>
        <w:rFonts w:hint="eastAsia" w:eastAsia="Times New Roman"/>
        <w:kern w:val="0"/>
        <w:sz w:val="21"/>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4"/>
        <w:ind w:firstLine="360"/>
      </w:pPr>
      <w:r>
        <w:rPr>
          <w:rStyle w:val="20"/>
        </w:rPr>
        <w:footnoteRef/>
      </w:r>
      <w:r>
        <w:rPr>
          <w:rFonts w:hint="eastAsia"/>
        </w:rPr>
        <w:t>.根据吉财建指〔2022〕755号文件，2022年已下达奖补资金1644.53万元；根据吉建文〔2023〕15号文件，2023年下达示范市县前四名增补奖金618万元。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00E88"/>
    <w:multiLevelType w:val="multilevel"/>
    <w:tmpl w:val="4C800E88"/>
    <w:lvl w:ilvl="0" w:tentative="0">
      <w:start w:val="1"/>
      <w:numFmt w:val="chineseCountingThousand"/>
      <w:suff w:val="nothing"/>
      <w:lvlText w:val="%1、"/>
      <w:lvlJc w:val="left"/>
      <w:pPr>
        <w:ind w:left="425" w:hanging="425"/>
      </w:pPr>
      <w:rPr>
        <w:rFonts w:hint="eastAsia"/>
      </w:rPr>
    </w:lvl>
    <w:lvl w:ilvl="1" w:tentative="0">
      <w:start w:val="1"/>
      <w:numFmt w:val="chineseCountingThousand"/>
      <w:suff w:val="nothing"/>
      <w:lvlText w:val="（%2）"/>
      <w:lvlJc w:val="left"/>
      <w:pPr>
        <w:ind w:left="709" w:hanging="567"/>
      </w:pPr>
      <w:rPr>
        <w:rFonts w:hint="eastAsia"/>
      </w:rPr>
    </w:lvl>
    <w:lvl w:ilvl="2" w:tentative="0">
      <w:start w:val="1"/>
      <w:numFmt w:val="decimal"/>
      <w:suff w:val="nothing"/>
      <w:lvlText w:val="%3、"/>
      <w:lvlJc w:val="left"/>
      <w:pPr>
        <w:ind w:left="992" w:hanging="567"/>
      </w:pPr>
      <w:rPr>
        <w:rFonts w:hint="eastAsia"/>
      </w:rPr>
    </w:lvl>
    <w:lvl w:ilvl="3" w:tentative="0">
      <w:start w:val="1"/>
      <w:numFmt w:val="decimal"/>
      <w:pStyle w:val="7"/>
      <w:suff w:val="nothing"/>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2ZWNkODcwYzRjY2U1Mzg5YWJkMmJjNDgxNWUxZjAifQ=="/>
  </w:docVars>
  <w:rsids>
    <w:rsidRoot w:val="00421C9A"/>
    <w:rsid w:val="0000075C"/>
    <w:rsid w:val="000018FD"/>
    <w:rsid w:val="00002321"/>
    <w:rsid w:val="000025D7"/>
    <w:rsid w:val="0000277C"/>
    <w:rsid w:val="00002BF7"/>
    <w:rsid w:val="00003BC9"/>
    <w:rsid w:val="0000773E"/>
    <w:rsid w:val="00007C89"/>
    <w:rsid w:val="00007F84"/>
    <w:rsid w:val="00010CCC"/>
    <w:rsid w:val="00011479"/>
    <w:rsid w:val="00013929"/>
    <w:rsid w:val="00013D5B"/>
    <w:rsid w:val="000163D2"/>
    <w:rsid w:val="00016BCF"/>
    <w:rsid w:val="000174AC"/>
    <w:rsid w:val="00020336"/>
    <w:rsid w:val="00021837"/>
    <w:rsid w:val="00021DDE"/>
    <w:rsid w:val="00023784"/>
    <w:rsid w:val="00024186"/>
    <w:rsid w:val="00025C01"/>
    <w:rsid w:val="00025FE4"/>
    <w:rsid w:val="00027E7E"/>
    <w:rsid w:val="000315D3"/>
    <w:rsid w:val="00031A02"/>
    <w:rsid w:val="00031AE3"/>
    <w:rsid w:val="0003311F"/>
    <w:rsid w:val="00033FCA"/>
    <w:rsid w:val="0003473D"/>
    <w:rsid w:val="000356B8"/>
    <w:rsid w:val="00035BC0"/>
    <w:rsid w:val="0003685F"/>
    <w:rsid w:val="00037CAE"/>
    <w:rsid w:val="00040378"/>
    <w:rsid w:val="000408AF"/>
    <w:rsid w:val="00041D5C"/>
    <w:rsid w:val="000427AD"/>
    <w:rsid w:val="00042A62"/>
    <w:rsid w:val="00043753"/>
    <w:rsid w:val="00043C07"/>
    <w:rsid w:val="000440F9"/>
    <w:rsid w:val="00044B6C"/>
    <w:rsid w:val="00045915"/>
    <w:rsid w:val="000501AC"/>
    <w:rsid w:val="00050B69"/>
    <w:rsid w:val="00051247"/>
    <w:rsid w:val="000527BB"/>
    <w:rsid w:val="00053E25"/>
    <w:rsid w:val="00053ECF"/>
    <w:rsid w:val="00055C13"/>
    <w:rsid w:val="00056286"/>
    <w:rsid w:val="0006015C"/>
    <w:rsid w:val="00062A0D"/>
    <w:rsid w:val="00063263"/>
    <w:rsid w:val="0006331C"/>
    <w:rsid w:val="0006367E"/>
    <w:rsid w:val="00063E57"/>
    <w:rsid w:val="00065D1B"/>
    <w:rsid w:val="00065F4F"/>
    <w:rsid w:val="000663B3"/>
    <w:rsid w:val="00066909"/>
    <w:rsid w:val="00066DA5"/>
    <w:rsid w:val="00067033"/>
    <w:rsid w:val="0006726C"/>
    <w:rsid w:val="0007000E"/>
    <w:rsid w:val="000701FB"/>
    <w:rsid w:val="00070E72"/>
    <w:rsid w:val="00074838"/>
    <w:rsid w:val="00075160"/>
    <w:rsid w:val="0007522E"/>
    <w:rsid w:val="00075AD5"/>
    <w:rsid w:val="00075EE5"/>
    <w:rsid w:val="00082A3D"/>
    <w:rsid w:val="00083178"/>
    <w:rsid w:val="000833A3"/>
    <w:rsid w:val="0008405B"/>
    <w:rsid w:val="000845D4"/>
    <w:rsid w:val="00084D62"/>
    <w:rsid w:val="00085AC0"/>
    <w:rsid w:val="000860BF"/>
    <w:rsid w:val="00086219"/>
    <w:rsid w:val="00086AD3"/>
    <w:rsid w:val="00087CE7"/>
    <w:rsid w:val="000910C4"/>
    <w:rsid w:val="000910EB"/>
    <w:rsid w:val="000913BC"/>
    <w:rsid w:val="0009243F"/>
    <w:rsid w:val="00092801"/>
    <w:rsid w:val="0009286E"/>
    <w:rsid w:val="00093132"/>
    <w:rsid w:val="000936C8"/>
    <w:rsid w:val="0009389A"/>
    <w:rsid w:val="00094DD8"/>
    <w:rsid w:val="00095338"/>
    <w:rsid w:val="00095B7B"/>
    <w:rsid w:val="000A0909"/>
    <w:rsid w:val="000A1494"/>
    <w:rsid w:val="000A1689"/>
    <w:rsid w:val="000A3319"/>
    <w:rsid w:val="000A4935"/>
    <w:rsid w:val="000A4BCB"/>
    <w:rsid w:val="000A50BC"/>
    <w:rsid w:val="000A5DC8"/>
    <w:rsid w:val="000A7D95"/>
    <w:rsid w:val="000B0635"/>
    <w:rsid w:val="000B18D0"/>
    <w:rsid w:val="000B2C5D"/>
    <w:rsid w:val="000B406B"/>
    <w:rsid w:val="000B474A"/>
    <w:rsid w:val="000B4F1C"/>
    <w:rsid w:val="000B5B6B"/>
    <w:rsid w:val="000B619D"/>
    <w:rsid w:val="000B6639"/>
    <w:rsid w:val="000C03DA"/>
    <w:rsid w:val="000C532E"/>
    <w:rsid w:val="000C5603"/>
    <w:rsid w:val="000C6450"/>
    <w:rsid w:val="000D02DE"/>
    <w:rsid w:val="000D063B"/>
    <w:rsid w:val="000D0A44"/>
    <w:rsid w:val="000D221A"/>
    <w:rsid w:val="000D3AAB"/>
    <w:rsid w:val="000D4E1E"/>
    <w:rsid w:val="000D6206"/>
    <w:rsid w:val="000D6317"/>
    <w:rsid w:val="000D70D8"/>
    <w:rsid w:val="000E11A5"/>
    <w:rsid w:val="000E1FF9"/>
    <w:rsid w:val="000E3C82"/>
    <w:rsid w:val="000E6A4C"/>
    <w:rsid w:val="000F0180"/>
    <w:rsid w:val="000F20D6"/>
    <w:rsid w:val="000F2169"/>
    <w:rsid w:val="000F2415"/>
    <w:rsid w:val="000F2613"/>
    <w:rsid w:val="000F29CC"/>
    <w:rsid w:val="000F3AC0"/>
    <w:rsid w:val="000F5A6C"/>
    <w:rsid w:val="000F6F9F"/>
    <w:rsid w:val="000F7E81"/>
    <w:rsid w:val="00101403"/>
    <w:rsid w:val="001035E0"/>
    <w:rsid w:val="001058D9"/>
    <w:rsid w:val="001070F8"/>
    <w:rsid w:val="00107988"/>
    <w:rsid w:val="00107B05"/>
    <w:rsid w:val="00107EA9"/>
    <w:rsid w:val="00107EB9"/>
    <w:rsid w:val="00110A65"/>
    <w:rsid w:val="00111791"/>
    <w:rsid w:val="00111D41"/>
    <w:rsid w:val="00112015"/>
    <w:rsid w:val="0011260C"/>
    <w:rsid w:val="00112683"/>
    <w:rsid w:val="00112D73"/>
    <w:rsid w:val="00114755"/>
    <w:rsid w:val="00117E02"/>
    <w:rsid w:val="00117F14"/>
    <w:rsid w:val="00117FCA"/>
    <w:rsid w:val="00121213"/>
    <w:rsid w:val="0012131A"/>
    <w:rsid w:val="001215D7"/>
    <w:rsid w:val="00121D89"/>
    <w:rsid w:val="0012389B"/>
    <w:rsid w:val="00124380"/>
    <w:rsid w:val="00126F03"/>
    <w:rsid w:val="00126FC7"/>
    <w:rsid w:val="001309E1"/>
    <w:rsid w:val="00131DB5"/>
    <w:rsid w:val="00132363"/>
    <w:rsid w:val="0013564B"/>
    <w:rsid w:val="00137AAB"/>
    <w:rsid w:val="0014043D"/>
    <w:rsid w:val="00140572"/>
    <w:rsid w:val="001418AB"/>
    <w:rsid w:val="001423DA"/>
    <w:rsid w:val="00144533"/>
    <w:rsid w:val="00144E4F"/>
    <w:rsid w:val="00146CCF"/>
    <w:rsid w:val="00146F42"/>
    <w:rsid w:val="0014756D"/>
    <w:rsid w:val="00147EB0"/>
    <w:rsid w:val="0015031C"/>
    <w:rsid w:val="00151D82"/>
    <w:rsid w:val="00152233"/>
    <w:rsid w:val="00152DFA"/>
    <w:rsid w:val="00153499"/>
    <w:rsid w:val="00153FE8"/>
    <w:rsid w:val="001543A1"/>
    <w:rsid w:val="00154E49"/>
    <w:rsid w:val="00156FA3"/>
    <w:rsid w:val="0015797B"/>
    <w:rsid w:val="00160ABE"/>
    <w:rsid w:val="00162F31"/>
    <w:rsid w:val="001631BF"/>
    <w:rsid w:val="001631E8"/>
    <w:rsid w:val="001647CD"/>
    <w:rsid w:val="00164E9F"/>
    <w:rsid w:val="001652F0"/>
    <w:rsid w:val="0016570A"/>
    <w:rsid w:val="001658C9"/>
    <w:rsid w:val="00167FDE"/>
    <w:rsid w:val="00170838"/>
    <w:rsid w:val="00170AAF"/>
    <w:rsid w:val="0017100A"/>
    <w:rsid w:val="00175350"/>
    <w:rsid w:val="001772A5"/>
    <w:rsid w:val="00180A0D"/>
    <w:rsid w:val="00181D47"/>
    <w:rsid w:val="0018355E"/>
    <w:rsid w:val="001854F0"/>
    <w:rsid w:val="00187177"/>
    <w:rsid w:val="001878F4"/>
    <w:rsid w:val="00190559"/>
    <w:rsid w:val="00192F3C"/>
    <w:rsid w:val="0019322E"/>
    <w:rsid w:val="00193CF0"/>
    <w:rsid w:val="00193D1C"/>
    <w:rsid w:val="00194313"/>
    <w:rsid w:val="00194F0D"/>
    <w:rsid w:val="0019517E"/>
    <w:rsid w:val="001A0AE1"/>
    <w:rsid w:val="001A3002"/>
    <w:rsid w:val="001A50B2"/>
    <w:rsid w:val="001A54A7"/>
    <w:rsid w:val="001A58AE"/>
    <w:rsid w:val="001A7146"/>
    <w:rsid w:val="001A7E5B"/>
    <w:rsid w:val="001A7EA2"/>
    <w:rsid w:val="001B0053"/>
    <w:rsid w:val="001B0F36"/>
    <w:rsid w:val="001B2766"/>
    <w:rsid w:val="001B34F8"/>
    <w:rsid w:val="001B457D"/>
    <w:rsid w:val="001B4A82"/>
    <w:rsid w:val="001B5230"/>
    <w:rsid w:val="001B572E"/>
    <w:rsid w:val="001B7455"/>
    <w:rsid w:val="001B7CD5"/>
    <w:rsid w:val="001C1808"/>
    <w:rsid w:val="001C257E"/>
    <w:rsid w:val="001C260D"/>
    <w:rsid w:val="001C2B2E"/>
    <w:rsid w:val="001C3BB4"/>
    <w:rsid w:val="001C3D9E"/>
    <w:rsid w:val="001C4026"/>
    <w:rsid w:val="001C61FF"/>
    <w:rsid w:val="001C6DD1"/>
    <w:rsid w:val="001C74E7"/>
    <w:rsid w:val="001C7A84"/>
    <w:rsid w:val="001D0E7F"/>
    <w:rsid w:val="001D0FC4"/>
    <w:rsid w:val="001D1814"/>
    <w:rsid w:val="001D3778"/>
    <w:rsid w:val="001D48F8"/>
    <w:rsid w:val="001D5D55"/>
    <w:rsid w:val="001D6A18"/>
    <w:rsid w:val="001D7C03"/>
    <w:rsid w:val="001E02A1"/>
    <w:rsid w:val="001E1536"/>
    <w:rsid w:val="001E2482"/>
    <w:rsid w:val="001E6507"/>
    <w:rsid w:val="001E76CF"/>
    <w:rsid w:val="001E7789"/>
    <w:rsid w:val="001E7880"/>
    <w:rsid w:val="001F015E"/>
    <w:rsid w:val="001F12D8"/>
    <w:rsid w:val="001F2BD2"/>
    <w:rsid w:val="001F5982"/>
    <w:rsid w:val="001F5B19"/>
    <w:rsid w:val="001F7500"/>
    <w:rsid w:val="00200062"/>
    <w:rsid w:val="0020294C"/>
    <w:rsid w:val="00203EB6"/>
    <w:rsid w:val="0020407D"/>
    <w:rsid w:val="00204ADF"/>
    <w:rsid w:val="00205439"/>
    <w:rsid w:val="00206672"/>
    <w:rsid w:val="00206A39"/>
    <w:rsid w:val="0021047B"/>
    <w:rsid w:val="002104EF"/>
    <w:rsid w:val="00210BB2"/>
    <w:rsid w:val="0021157E"/>
    <w:rsid w:val="002119B9"/>
    <w:rsid w:val="0021271D"/>
    <w:rsid w:val="002130C4"/>
    <w:rsid w:val="002133D6"/>
    <w:rsid w:val="00214AF2"/>
    <w:rsid w:val="00215032"/>
    <w:rsid w:val="00215D92"/>
    <w:rsid w:val="00216F7C"/>
    <w:rsid w:val="00217181"/>
    <w:rsid w:val="0021721C"/>
    <w:rsid w:val="00220AF5"/>
    <w:rsid w:val="00221492"/>
    <w:rsid w:val="00224023"/>
    <w:rsid w:val="00226478"/>
    <w:rsid w:val="00232993"/>
    <w:rsid w:val="00232E4F"/>
    <w:rsid w:val="00234194"/>
    <w:rsid w:val="00235356"/>
    <w:rsid w:val="00235C3A"/>
    <w:rsid w:val="00236C07"/>
    <w:rsid w:val="00237A68"/>
    <w:rsid w:val="00237C95"/>
    <w:rsid w:val="0024037D"/>
    <w:rsid w:val="00241E2A"/>
    <w:rsid w:val="002437A5"/>
    <w:rsid w:val="002443BA"/>
    <w:rsid w:val="002446E5"/>
    <w:rsid w:val="00246276"/>
    <w:rsid w:val="002508B3"/>
    <w:rsid w:val="00251C6A"/>
    <w:rsid w:val="00251D27"/>
    <w:rsid w:val="00252765"/>
    <w:rsid w:val="002530CE"/>
    <w:rsid w:val="00253211"/>
    <w:rsid w:val="00254369"/>
    <w:rsid w:val="00257972"/>
    <w:rsid w:val="00257C6C"/>
    <w:rsid w:val="002609A4"/>
    <w:rsid w:val="00260BF2"/>
    <w:rsid w:val="00261679"/>
    <w:rsid w:val="00263A8B"/>
    <w:rsid w:val="002648F6"/>
    <w:rsid w:val="00264A7E"/>
    <w:rsid w:val="00265478"/>
    <w:rsid w:val="00266225"/>
    <w:rsid w:val="00266BAF"/>
    <w:rsid w:val="00266F27"/>
    <w:rsid w:val="002678C4"/>
    <w:rsid w:val="00270375"/>
    <w:rsid w:val="00276532"/>
    <w:rsid w:val="00276DAD"/>
    <w:rsid w:val="0027772E"/>
    <w:rsid w:val="00277E5A"/>
    <w:rsid w:val="002813B1"/>
    <w:rsid w:val="002815CD"/>
    <w:rsid w:val="00281786"/>
    <w:rsid w:val="002818D6"/>
    <w:rsid w:val="00281C5C"/>
    <w:rsid w:val="00281DCD"/>
    <w:rsid w:val="002837E9"/>
    <w:rsid w:val="00284AED"/>
    <w:rsid w:val="0028548C"/>
    <w:rsid w:val="00285A57"/>
    <w:rsid w:val="00286D76"/>
    <w:rsid w:val="00287FBF"/>
    <w:rsid w:val="00290DEB"/>
    <w:rsid w:val="00292954"/>
    <w:rsid w:val="00292AB4"/>
    <w:rsid w:val="00293F12"/>
    <w:rsid w:val="00294C42"/>
    <w:rsid w:val="00295425"/>
    <w:rsid w:val="0029603D"/>
    <w:rsid w:val="00296731"/>
    <w:rsid w:val="00297E70"/>
    <w:rsid w:val="002A0CCF"/>
    <w:rsid w:val="002A1B9A"/>
    <w:rsid w:val="002A1CB6"/>
    <w:rsid w:val="002A2994"/>
    <w:rsid w:val="002A3E74"/>
    <w:rsid w:val="002A42DB"/>
    <w:rsid w:val="002A505F"/>
    <w:rsid w:val="002A5F97"/>
    <w:rsid w:val="002A6D9F"/>
    <w:rsid w:val="002B062B"/>
    <w:rsid w:val="002B0B98"/>
    <w:rsid w:val="002B2A04"/>
    <w:rsid w:val="002B627F"/>
    <w:rsid w:val="002B7CF4"/>
    <w:rsid w:val="002C1492"/>
    <w:rsid w:val="002C43A5"/>
    <w:rsid w:val="002C5606"/>
    <w:rsid w:val="002C7748"/>
    <w:rsid w:val="002C7961"/>
    <w:rsid w:val="002D0CF6"/>
    <w:rsid w:val="002D3810"/>
    <w:rsid w:val="002D563D"/>
    <w:rsid w:val="002D6843"/>
    <w:rsid w:val="002D7C26"/>
    <w:rsid w:val="002D7D18"/>
    <w:rsid w:val="002E0650"/>
    <w:rsid w:val="002E08D4"/>
    <w:rsid w:val="002E092E"/>
    <w:rsid w:val="002E1935"/>
    <w:rsid w:val="002E2831"/>
    <w:rsid w:val="002E39AD"/>
    <w:rsid w:val="002E4E49"/>
    <w:rsid w:val="002E669C"/>
    <w:rsid w:val="002E6B6A"/>
    <w:rsid w:val="002E72D8"/>
    <w:rsid w:val="002F365E"/>
    <w:rsid w:val="002F3759"/>
    <w:rsid w:val="002F471B"/>
    <w:rsid w:val="002F65EB"/>
    <w:rsid w:val="002F75DD"/>
    <w:rsid w:val="002F75F1"/>
    <w:rsid w:val="00300F8D"/>
    <w:rsid w:val="00301F89"/>
    <w:rsid w:val="00302065"/>
    <w:rsid w:val="003027B6"/>
    <w:rsid w:val="00302DBA"/>
    <w:rsid w:val="00303CA3"/>
    <w:rsid w:val="0030469C"/>
    <w:rsid w:val="00304B60"/>
    <w:rsid w:val="003059A3"/>
    <w:rsid w:val="00311F6C"/>
    <w:rsid w:val="003133D6"/>
    <w:rsid w:val="003138A4"/>
    <w:rsid w:val="00313E30"/>
    <w:rsid w:val="00315A57"/>
    <w:rsid w:val="00315AB5"/>
    <w:rsid w:val="00315B67"/>
    <w:rsid w:val="00315BDE"/>
    <w:rsid w:val="003169B4"/>
    <w:rsid w:val="0031761D"/>
    <w:rsid w:val="003200F7"/>
    <w:rsid w:val="00320D61"/>
    <w:rsid w:val="003217E9"/>
    <w:rsid w:val="003223EB"/>
    <w:rsid w:val="00324ACD"/>
    <w:rsid w:val="00326276"/>
    <w:rsid w:val="003302DF"/>
    <w:rsid w:val="00330C0E"/>
    <w:rsid w:val="003313F5"/>
    <w:rsid w:val="00332A42"/>
    <w:rsid w:val="0033542A"/>
    <w:rsid w:val="00340CB8"/>
    <w:rsid w:val="00341091"/>
    <w:rsid w:val="00341796"/>
    <w:rsid w:val="003421F8"/>
    <w:rsid w:val="003437BC"/>
    <w:rsid w:val="003438F6"/>
    <w:rsid w:val="00343B4D"/>
    <w:rsid w:val="003441A2"/>
    <w:rsid w:val="0034483B"/>
    <w:rsid w:val="003476E0"/>
    <w:rsid w:val="003512D7"/>
    <w:rsid w:val="00351588"/>
    <w:rsid w:val="00351E06"/>
    <w:rsid w:val="0035253D"/>
    <w:rsid w:val="00352C82"/>
    <w:rsid w:val="003533B6"/>
    <w:rsid w:val="00353D82"/>
    <w:rsid w:val="00354806"/>
    <w:rsid w:val="00354ED9"/>
    <w:rsid w:val="0035539C"/>
    <w:rsid w:val="003567DE"/>
    <w:rsid w:val="00360B0A"/>
    <w:rsid w:val="003610E1"/>
    <w:rsid w:val="003625A9"/>
    <w:rsid w:val="003632E0"/>
    <w:rsid w:val="00363563"/>
    <w:rsid w:val="0036686C"/>
    <w:rsid w:val="00366E3A"/>
    <w:rsid w:val="00370864"/>
    <w:rsid w:val="00372B93"/>
    <w:rsid w:val="0037312A"/>
    <w:rsid w:val="00373905"/>
    <w:rsid w:val="00373FBC"/>
    <w:rsid w:val="003741FA"/>
    <w:rsid w:val="00374D7C"/>
    <w:rsid w:val="003750E6"/>
    <w:rsid w:val="00375C84"/>
    <w:rsid w:val="00377AD1"/>
    <w:rsid w:val="00377FE9"/>
    <w:rsid w:val="00386DF2"/>
    <w:rsid w:val="00386FC3"/>
    <w:rsid w:val="0038729D"/>
    <w:rsid w:val="00387C8C"/>
    <w:rsid w:val="00390026"/>
    <w:rsid w:val="00391924"/>
    <w:rsid w:val="00393161"/>
    <w:rsid w:val="00393305"/>
    <w:rsid w:val="003938AD"/>
    <w:rsid w:val="00395A28"/>
    <w:rsid w:val="00395F9E"/>
    <w:rsid w:val="003A3EAA"/>
    <w:rsid w:val="003A5397"/>
    <w:rsid w:val="003A643E"/>
    <w:rsid w:val="003A6785"/>
    <w:rsid w:val="003B0D9B"/>
    <w:rsid w:val="003B111B"/>
    <w:rsid w:val="003B1FDC"/>
    <w:rsid w:val="003B29ED"/>
    <w:rsid w:val="003B413D"/>
    <w:rsid w:val="003B5065"/>
    <w:rsid w:val="003B5203"/>
    <w:rsid w:val="003B6744"/>
    <w:rsid w:val="003C181C"/>
    <w:rsid w:val="003C3554"/>
    <w:rsid w:val="003C4289"/>
    <w:rsid w:val="003C6C4D"/>
    <w:rsid w:val="003C6E1D"/>
    <w:rsid w:val="003D0B49"/>
    <w:rsid w:val="003D118B"/>
    <w:rsid w:val="003D233F"/>
    <w:rsid w:val="003D32DD"/>
    <w:rsid w:val="003D3CF2"/>
    <w:rsid w:val="003D434E"/>
    <w:rsid w:val="003D497E"/>
    <w:rsid w:val="003D545E"/>
    <w:rsid w:val="003D581E"/>
    <w:rsid w:val="003D5870"/>
    <w:rsid w:val="003D65BB"/>
    <w:rsid w:val="003D740E"/>
    <w:rsid w:val="003D7A04"/>
    <w:rsid w:val="003E02AC"/>
    <w:rsid w:val="003E0E2F"/>
    <w:rsid w:val="003E2BB1"/>
    <w:rsid w:val="003E2BC3"/>
    <w:rsid w:val="003E4541"/>
    <w:rsid w:val="003E50F7"/>
    <w:rsid w:val="003E6F63"/>
    <w:rsid w:val="003E72BD"/>
    <w:rsid w:val="003E79F7"/>
    <w:rsid w:val="003F016A"/>
    <w:rsid w:val="003F1F0C"/>
    <w:rsid w:val="003F237D"/>
    <w:rsid w:val="003F2B84"/>
    <w:rsid w:val="003F54D8"/>
    <w:rsid w:val="003F61EA"/>
    <w:rsid w:val="004004FB"/>
    <w:rsid w:val="00400D0C"/>
    <w:rsid w:val="00401C5F"/>
    <w:rsid w:val="00402CDE"/>
    <w:rsid w:val="004034F3"/>
    <w:rsid w:val="00405863"/>
    <w:rsid w:val="00405EA2"/>
    <w:rsid w:val="004060B5"/>
    <w:rsid w:val="00410B26"/>
    <w:rsid w:val="00411DBA"/>
    <w:rsid w:val="00412016"/>
    <w:rsid w:val="00412651"/>
    <w:rsid w:val="00412972"/>
    <w:rsid w:val="00412E70"/>
    <w:rsid w:val="00420471"/>
    <w:rsid w:val="00420B6A"/>
    <w:rsid w:val="004215D6"/>
    <w:rsid w:val="00421C9A"/>
    <w:rsid w:val="004226C5"/>
    <w:rsid w:val="00423BD6"/>
    <w:rsid w:val="00424304"/>
    <w:rsid w:val="00424E01"/>
    <w:rsid w:val="00425B7F"/>
    <w:rsid w:val="00427282"/>
    <w:rsid w:val="00427B27"/>
    <w:rsid w:val="00431441"/>
    <w:rsid w:val="00432424"/>
    <w:rsid w:val="0043258F"/>
    <w:rsid w:val="00432EDA"/>
    <w:rsid w:val="004331AD"/>
    <w:rsid w:val="00433963"/>
    <w:rsid w:val="004339DB"/>
    <w:rsid w:val="00434388"/>
    <w:rsid w:val="00435070"/>
    <w:rsid w:val="00435A9E"/>
    <w:rsid w:val="00436FC4"/>
    <w:rsid w:val="00437AB1"/>
    <w:rsid w:val="00437D4B"/>
    <w:rsid w:val="004403A4"/>
    <w:rsid w:val="0044184A"/>
    <w:rsid w:val="00441B7A"/>
    <w:rsid w:val="00441C71"/>
    <w:rsid w:val="00442033"/>
    <w:rsid w:val="004426EA"/>
    <w:rsid w:val="004446AF"/>
    <w:rsid w:val="00444B19"/>
    <w:rsid w:val="0044551E"/>
    <w:rsid w:val="004478DF"/>
    <w:rsid w:val="00451D65"/>
    <w:rsid w:val="004525F8"/>
    <w:rsid w:val="0045448A"/>
    <w:rsid w:val="00454E9F"/>
    <w:rsid w:val="004553F4"/>
    <w:rsid w:val="004569C1"/>
    <w:rsid w:val="004572D2"/>
    <w:rsid w:val="00457F9E"/>
    <w:rsid w:val="0046046F"/>
    <w:rsid w:val="00460AF4"/>
    <w:rsid w:val="004636BE"/>
    <w:rsid w:val="0047270E"/>
    <w:rsid w:val="004741BD"/>
    <w:rsid w:val="00474AAA"/>
    <w:rsid w:val="00475F9A"/>
    <w:rsid w:val="004777BB"/>
    <w:rsid w:val="004804ED"/>
    <w:rsid w:val="004811C2"/>
    <w:rsid w:val="004866AD"/>
    <w:rsid w:val="00490A3C"/>
    <w:rsid w:val="00490F6E"/>
    <w:rsid w:val="00491F15"/>
    <w:rsid w:val="0049280F"/>
    <w:rsid w:val="00493B3D"/>
    <w:rsid w:val="004948E3"/>
    <w:rsid w:val="004A0F44"/>
    <w:rsid w:val="004A133E"/>
    <w:rsid w:val="004A2635"/>
    <w:rsid w:val="004A2FE4"/>
    <w:rsid w:val="004A2FFE"/>
    <w:rsid w:val="004A3DF9"/>
    <w:rsid w:val="004A6FA4"/>
    <w:rsid w:val="004B0539"/>
    <w:rsid w:val="004B1EA5"/>
    <w:rsid w:val="004B462A"/>
    <w:rsid w:val="004B53DB"/>
    <w:rsid w:val="004B5F5E"/>
    <w:rsid w:val="004B64C8"/>
    <w:rsid w:val="004B7858"/>
    <w:rsid w:val="004C0D47"/>
    <w:rsid w:val="004C135B"/>
    <w:rsid w:val="004C46E4"/>
    <w:rsid w:val="004C473F"/>
    <w:rsid w:val="004C7608"/>
    <w:rsid w:val="004D15C6"/>
    <w:rsid w:val="004D1792"/>
    <w:rsid w:val="004D1947"/>
    <w:rsid w:val="004D2F64"/>
    <w:rsid w:val="004D36CA"/>
    <w:rsid w:val="004D39B8"/>
    <w:rsid w:val="004D6E64"/>
    <w:rsid w:val="004D70B6"/>
    <w:rsid w:val="004E1C28"/>
    <w:rsid w:val="004E3776"/>
    <w:rsid w:val="004E4DD0"/>
    <w:rsid w:val="004E66A1"/>
    <w:rsid w:val="004F1426"/>
    <w:rsid w:val="004F1D5C"/>
    <w:rsid w:val="004F30A5"/>
    <w:rsid w:val="004F5FF4"/>
    <w:rsid w:val="004F6631"/>
    <w:rsid w:val="004F72B7"/>
    <w:rsid w:val="005012A9"/>
    <w:rsid w:val="005022BA"/>
    <w:rsid w:val="00503C6C"/>
    <w:rsid w:val="00506437"/>
    <w:rsid w:val="00506A51"/>
    <w:rsid w:val="0050756F"/>
    <w:rsid w:val="00507D03"/>
    <w:rsid w:val="00511623"/>
    <w:rsid w:val="005118CA"/>
    <w:rsid w:val="0051291D"/>
    <w:rsid w:val="005139AA"/>
    <w:rsid w:val="00513B9F"/>
    <w:rsid w:val="0051486E"/>
    <w:rsid w:val="00514D4C"/>
    <w:rsid w:val="00515B54"/>
    <w:rsid w:val="005169A5"/>
    <w:rsid w:val="005206A2"/>
    <w:rsid w:val="00521D14"/>
    <w:rsid w:val="00522543"/>
    <w:rsid w:val="0052365F"/>
    <w:rsid w:val="00524427"/>
    <w:rsid w:val="00525067"/>
    <w:rsid w:val="00527135"/>
    <w:rsid w:val="005330EF"/>
    <w:rsid w:val="005335D4"/>
    <w:rsid w:val="00534CB1"/>
    <w:rsid w:val="00535F33"/>
    <w:rsid w:val="0053740C"/>
    <w:rsid w:val="005400EA"/>
    <w:rsid w:val="00540473"/>
    <w:rsid w:val="00542A7A"/>
    <w:rsid w:val="00543AF7"/>
    <w:rsid w:val="00544524"/>
    <w:rsid w:val="005447DA"/>
    <w:rsid w:val="005451ED"/>
    <w:rsid w:val="0054577C"/>
    <w:rsid w:val="00546A73"/>
    <w:rsid w:val="00546EBC"/>
    <w:rsid w:val="0054722C"/>
    <w:rsid w:val="00547DDA"/>
    <w:rsid w:val="00551326"/>
    <w:rsid w:val="00551D0B"/>
    <w:rsid w:val="00554E32"/>
    <w:rsid w:val="005562FE"/>
    <w:rsid w:val="005567E3"/>
    <w:rsid w:val="005570AD"/>
    <w:rsid w:val="0056093D"/>
    <w:rsid w:val="00563B99"/>
    <w:rsid w:val="0056724C"/>
    <w:rsid w:val="005718EB"/>
    <w:rsid w:val="00571FE7"/>
    <w:rsid w:val="00571FF4"/>
    <w:rsid w:val="005748AA"/>
    <w:rsid w:val="00574CDC"/>
    <w:rsid w:val="005764AE"/>
    <w:rsid w:val="005769B2"/>
    <w:rsid w:val="0058090E"/>
    <w:rsid w:val="00581A2B"/>
    <w:rsid w:val="00582477"/>
    <w:rsid w:val="00583768"/>
    <w:rsid w:val="00584D9E"/>
    <w:rsid w:val="00585275"/>
    <w:rsid w:val="005854D1"/>
    <w:rsid w:val="005860BF"/>
    <w:rsid w:val="005869C8"/>
    <w:rsid w:val="00590E8C"/>
    <w:rsid w:val="005919F3"/>
    <w:rsid w:val="00593619"/>
    <w:rsid w:val="00593EF7"/>
    <w:rsid w:val="00594543"/>
    <w:rsid w:val="00595826"/>
    <w:rsid w:val="0059644A"/>
    <w:rsid w:val="00596CF2"/>
    <w:rsid w:val="005A039F"/>
    <w:rsid w:val="005A08F0"/>
    <w:rsid w:val="005A181C"/>
    <w:rsid w:val="005A359F"/>
    <w:rsid w:val="005A485D"/>
    <w:rsid w:val="005A5C18"/>
    <w:rsid w:val="005A662A"/>
    <w:rsid w:val="005A664C"/>
    <w:rsid w:val="005A79B2"/>
    <w:rsid w:val="005B0EC3"/>
    <w:rsid w:val="005B1720"/>
    <w:rsid w:val="005B1744"/>
    <w:rsid w:val="005B2A31"/>
    <w:rsid w:val="005B2D47"/>
    <w:rsid w:val="005B2F26"/>
    <w:rsid w:val="005B3632"/>
    <w:rsid w:val="005B4349"/>
    <w:rsid w:val="005B4F5D"/>
    <w:rsid w:val="005B59F4"/>
    <w:rsid w:val="005B5E12"/>
    <w:rsid w:val="005C0A6B"/>
    <w:rsid w:val="005C0FAD"/>
    <w:rsid w:val="005C1EF5"/>
    <w:rsid w:val="005C3ABD"/>
    <w:rsid w:val="005C4CBE"/>
    <w:rsid w:val="005C6E9E"/>
    <w:rsid w:val="005D033D"/>
    <w:rsid w:val="005D0551"/>
    <w:rsid w:val="005D0680"/>
    <w:rsid w:val="005D1950"/>
    <w:rsid w:val="005D1C6B"/>
    <w:rsid w:val="005D3500"/>
    <w:rsid w:val="005D3619"/>
    <w:rsid w:val="005D424E"/>
    <w:rsid w:val="005D47E5"/>
    <w:rsid w:val="005D4965"/>
    <w:rsid w:val="005D4DFF"/>
    <w:rsid w:val="005D5103"/>
    <w:rsid w:val="005D648F"/>
    <w:rsid w:val="005E0460"/>
    <w:rsid w:val="005E0CB4"/>
    <w:rsid w:val="005E13DE"/>
    <w:rsid w:val="005E2C77"/>
    <w:rsid w:val="005E48A3"/>
    <w:rsid w:val="005E678D"/>
    <w:rsid w:val="005F0EB8"/>
    <w:rsid w:val="005F16F2"/>
    <w:rsid w:val="005F1B01"/>
    <w:rsid w:val="005F1C28"/>
    <w:rsid w:val="005F22C2"/>
    <w:rsid w:val="005F3B72"/>
    <w:rsid w:val="005F416C"/>
    <w:rsid w:val="005F41EA"/>
    <w:rsid w:val="005F5FD2"/>
    <w:rsid w:val="005F62D0"/>
    <w:rsid w:val="005F6F93"/>
    <w:rsid w:val="005F6FA9"/>
    <w:rsid w:val="006038B8"/>
    <w:rsid w:val="006052A6"/>
    <w:rsid w:val="006053CD"/>
    <w:rsid w:val="0060643C"/>
    <w:rsid w:val="0060683F"/>
    <w:rsid w:val="00607034"/>
    <w:rsid w:val="00607EB5"/>
    <w:rsid w:val="00610F06"/>
    <w:rsid w:val="00611111"/>
    <w:rsid w:val="00611E95"/>
    <w:rsid w:val="0061282F"/>
    <w:rsid w:val="00613555"/>
    <w:rsid w:val="00614285"/>
    <w:rsid w:val="006150A9"/>
    <w:rsid w:val="00616385"/>
    <w:rsid w:val="00617CD4"/>
    <w:rsid w:val="00620923"/>
    <w:rsid w:val="00621F22"/>
    <w:rsid w:val="00622823"/>
    <w:rsid w:val="00623C34"/>
    <w:rsid w:val="00624898"/>
    <w:rsid w:val="00625DA1"/>
    <w:rsid w:val="00626014"/>
    <w:rsid w:val="00626798"/>
    <w:rsid w:val="00627E48"/>
    <w:rsid w:val="00630CE2"/>
    <w:rsid w:val="00632971"/>
    <w:rsid w:val="00634E3E"/>
    <w:rsid w:val="00634E90"/>
    <w:rsid w:val="00636807"/>
    <w:rsid w:val="006372A6"/>
    <w:rsid w:val="00637E9C"/>
    <w:rsid w:val="00640A11"/>
    <w:rsid w:val="006435B1"/>
    <w:rsid w:val="00644E39"/>
    <w:rsid w:val="00645D05"/>
    <w:rsid w:val="006476AB"/>
    <w:rsid w:val="006478D9"/>
    <w:rsid w:val="006507A5"/>
    <w:rsid w:val="00651B3A"/>
    <w:rsid w:val="006523C0"/>
    <w:rsid w:val="00652857"/>
    <w:rsid w:val="00654005"/>
    <w:rsid w:val="006548A2"/>
    <w:rsid w:val="00654E1B"/>
    <w:rsid w:val="00655222"/>
    <w:rsid w:val="00655F55"/>
    <w:rsid w:val="0065648E"/>
    <w:rsid w:val="00657396"/>
    <w:rsid w:val="006576E3"/>
    <w:rsid w:val="00657D47"/>
    <w:rsid w:val="006703CD"/>
    <w:rsid w:val="0067083E"/>
    <w:rsid w:val="00670F44"/>
    <w:rsid w:val="00671221"/>
    <w:rsid w:val="006713C7"/>
    <w:rsid w:val="006715E9"/>
    <w:rsid w:val="00671802"/>
    <w:rsid w:val="00671B51"/>
    <w:rsid w:val="006720F9"/>
    <w:rsid w:val="006729B6"/>
    <w:rsid w:val="00672E71"/>
    <w:rsid w:val="00673191"/>
    <w:rsid w:val="00673831"/>
    <w:rsid w:val="00673C70"/>
    <w:rsid w:val="006742F2"/>
    <w:rsid w:val="0067492F"/>
    <w:rsid w:val="00680377"/>
    <w:rsid w:val="00681A58"/>
    <w:rsid w:val="00681F04"/>
    <w:rsid w:val="00682107"/>
    <w:rsid w:val="00683C4D"/>
    <w:rsid w:val="00684F4F"/>
    <w:rsid w:val="006856B5"/>
    <w:rsid w:val="00685C21"/>
    <w:rsid w:val="00686253"/>
    <w:rsid w:val="006862BE"/>
    <w:rsid w:val="006864AE"/>
    <w:rsid w:val="0068791F"/>
    <w:rsid w:val="00687BC7"/>
    <w:rsid w:val="00690439"/>
    <w:rsid w:val="00690A56"/>
    <w:rsid w:val="00692265"/>
    <w:rsid w:val="006924FB"/>
    <w:rsid w:val="00693394"/>
    <w:rsid w:val="006945AC"/>
    <w:rsid w:val="00694CD4"/>
    <w:rsid w:val="006951A2"/>
    <w:rsid w:val="00695705"/>
    <w:rsid w:val="00697F92"/>
    <w:rsid w:val="006A023A"/>
    <w:rsid w:val="006A166E"/>
    <w:rsid w:val="006A1B93"/>
    <w:rsid w:val="006A33E3"/>
    <w:rsid w:val="006A48A7"/>
    <w:rsid w:val="006A49DF"/>
    <w:rsid w:val="006A528D"/>
    <w:rsid w:val="006A5FA7"/>
    <w:rsid w:val="006A6151"/>
    <w:rsid w:val="006A768E"/>
    <w:rsid w:val="006A7D32"/>
    <w:rsid w:val="006B0148"/>
    <w:rsid w:val="006B1EEC"/>
    <w:rsid w:val="006B3E2B"/>
    <w:rsid w:val="006B4B16"/>
    <w:rsid w:val="006B5618"/>
    <w:rsid w:val="006B7EE1"/>
    <w:rsid w:val="006C04F4"/>
    <w:rsid w:val="006C06A3"/>
    <w:rsid w:val="006C1439"/>
    <w:rsid w:val="006C1DA6"/>
    <w:rsid w:val="006C2159"/>
    <w:rsid w:val="006C22E3"/>
    <w:rsid w:val="006C308F"/>
    <w:rsid w:val="006C3AD1"/>
    <w:rsid w:val="006C3E4E"/>
    <w:rsid w:val="006C4224"/>
    <w:rsid w:val="006C4A52"/>
    <w:rsid w:val="006C57E9"/>
    <w:rsid w:val="006C588A"/>
    <w:rsid w:val="006C5C78"/>
    <w:rsid w:val="006C61A2"/>
    <w:rsid w:val="006C6D06"/>
    <w:rsid w:val="006C7239"/>
    <w:rsid w:val="006D0840"/>
    <w:rsid w:val="006D2298"/>
    <w:rsid w:val="006D27C0"/>
    <w:rsid w:val="006D3BD3"/>
    <w:rsid w:val="006D4582"/>
    <w:rsid w:val="006D48CE"/>
    <w:rsid w:val="006D509E"/>
    <w:rsid w:val="006D6458"/>
    <w:rsid w:val="006E1408"/>
    <w:rsid w:val="006E18F6"/>
    <w:rsid w:val="006E3661"/>
    <w:rsid w:val="006E374B"/>
    <w:rsid w:val="006E58D2"/>
    <w:rsid w:val="006E5A18"/>
    <w:rsid w:val="006E66B0"/>
    <w:rsid w:val="006E6C38"/>
    <w:rsid w:val="006E7C1C"/>
    <w:rsid w:val="006F1074"/>
    <w:rsid w:val="006F113D"/>
    <w:rsid w:val="006F2D8C"/>
    <w:rsid w:val="006F32AA"/>
    <w:rsid w:val="006F3900"/>
    <w:rsid w:val="006F3AAC"/>
    <w:rsid w:val="006F5745"/>
    <w:rsid w:val="006F6156"/>
    <w:rsid w:val="006F6BEA"/>
    <w:rsid w:val="006F6EF3"/>
    <w:rsid w:val="006F6FD1"/>
    <w:rsid w:val="007012A2"/>
    <w:rsid w:val="00701BBA"/>
    <w:rsid w:val="007025E4"/>
    <w:rsid w:val="00702872"/>
    <w:rsid w:val="007038D8"/>
    <w:rsid w:val="00703A1B"/>
    <w:rsid w:val="00704A39"/>
    <w:rsid w:val="00705781"/>
    <w:rsid w:val="00706CEC"/>
    <w:rsid w:val="00710433"/>
    <w:rsid w:val="007104FA"/>
    <w:rsid w:val="00710CD1"/>
    <w:rsid w:val="00711267"/>
    <w:rsid w:val="0071155D"/>
    <w:rsid w:val="0071225B"/>
    <w:rsid w:val="00713D5D"/>
    <w:rsid w:val="00715D16"/>
    <w:rsid w:val="00715F97"/>
    <w:rsid w:val="00716853"/>
    <w:rsid w:val="0071783C"/>
    <w:rsid w:val="0071799A"/>
    <w:rsid w:val="00717C9A"/>
    <w:rsid w:val="00717D79"/>
    <w:rsid w:val="007227E5"/>
    <w:rsid w:val="00723279"/>
    <w:rsid w:val="007240A2"/>
    <w:rsid w:val="00726365"/>
    <w:rsid w:val="00730820"/>
    <w:rsid w:val="00730CAA"/>
    <w:rsid w:val="00731782"/>
    <w:rsid w:val="00731B4C"/>
    <w:rsid w:val="00733FEA"/>
    <w:rsid w:val="007353EE"/>
    <w:rsid w:val="00735A5B"/>
    <w:rsid w:val="007367AD"/>
    <w:rsid w:val="00740088"/>
    <w:rsid w:val="00741017"/>
    <w:rsid w:val="0074173A"/>
    <w:rsid w:val="007422A4"/>
    <w:rsid w:val="00743658"/>
    <w:rsid w:val="007454CE"/>
    <w:rsid w:val="00747AC5"/>
    <w:rsid w:val="00747CBD"/>
    <w:rsid w:val="00750A11"/>
    <w:rsid w:val="007515EE"/>
    <w:rsid w:val="0075246E"/>
    <w:rsid w:val="00752C72"/>
    <w:rsid w:val="00752F16"/>
    <w:rsid w:val="00754729"/>
    <w:rsid w:val="00755AAA"/>
    <w:rsid w:val="00756BFA"/>
    <w:rsid w:val="007603B9"/>
    <w:rsid w:val="007614DB"/>
    <w:rsid w:val="00761CBD"/>
    <w:rsid w:val="007624F7"/>
    <w:rsid w:val="007651A4"/>
    <w:rsid w:val="00766434"/>
    <w:rsid w:val="00766513"/>
    <w:rsid w:val="00767138"/>
    <w:rsid w:val="00770BE8"/>
    <w:rsid w:val="00773BD7"/>
    <w:rsid w:val="0077400C"/>
    <w:rsid w:val="00776194"/>
    <w:rsid w:val="00776270"/>
    <w:rsid w:val="0077793E"/>
    <w:rsid w:val="00783244"/>
    <w:rsid w:val="007842B9"/>
    <w:rsid w:val="0078441B"/>
    <w:rsid w:val="00785380"/>
    <w:rsid w:val="00785880"/>
    <w:rsid w:val="0078639F"/>
    <w:rsid w:val="0078641E"/>
    <w:rsid w:val="00786ED7"/>
    <w:rsid w:val="00787C47"/>
    <w:rsid w:val="00791D66"/>
    <w:rsid w:val="007929BB"/>
    <w:rsid w:val="00797DB2"/>
    <w:rsid w:val="007A100A"/>
    <w:rsid w:val="007A104B"/>
    <w:rsid w:val="007A228B"/>
    <w:rsid w:val="007A3BA7"/>
    <w:rsid w:val="007A6928"/>
    <w:rsid w:val="007B16C9"/>
    <w:rsid w:val="007B3585"/>
    <w:rsid w:val="007B3F12"/>
    <w:rsid w:val="007B773C"/>
    <w:rsid w:val="007B7993"/>
    <w:rsid w:val="007B7F13"/>
    <w:rsid w:val="007C14F4"/>
    <w:rsid w:val="007C366F"/>
    <w:rsid w:val="007C471D"/>
    <w:rsid w:val="007C6A31"/>
    <w:rsid w:val="007C6FF3"/>
    <w:rsid w:val="007C7F68"/>
    <w:rsid w:val="007D02A5"/>
    <w:rsid w:val="007D049A"/>
    <w:rsid w:val="007D2702"/>
    <w:rsid w:val="007D4CAD"/>
    <w:rsid w:val="007D52A2"/>
    <w:rsid w:val="007D644B"/>
    <w:rsid w:val="007D6997"/>
    <w:rsid w:val="007D6EA0"/>
    <w:rsid w:val="007E00E1"/>
    <w:rsid w:val="007E1249"/>
    <w:rsid w:val="007E1977"/>
    <w:rsid w:val="007E2081"/>
    <w:rsid w:val="007E28EE"/>
    <w:rsid w:val="007E324B"/>
    <w:rsid w:val="007F367E"/>
    <w:rsid w:val="007F68A2"/>
    <w:rsid w:val="00800D1C"/>
    <w:rsid w:val="0080120C"/>
    <w:rsid w:val="00801FAF"/>
    <w:rsid w:val="00802DB6"/>
    <w:rsid w:val="00804B7E"/>
    <w:rsid w:val="00807FC1"/>
    <w:rsid w:val="00810198"/>
    <w:rsid w:val="00812232"/>
    <w:rsid w:val="00813CF0"/>
    <w:rsid w:val="00813DEA"/>
    <w:rsid w:val="00815418"/>
    <w:rsid w:val="00816BD8"/>
    <w:rsid w:val="0082064B"/>
    <w:rsid w:val="00820A32"/>
    <w:rsid w:val="008215E6"/>
    <w:rsid w:val="0082171F"/>
    <w:rsid w:val="0082405B"/>
    <w:rsid w:val="008246C7"/>
    <w:rsid w:val="00826D8D"/>
    <w:rsid w:val="00827309"/>
    <w:rsid w:val="008307A6"/>
    <w:rsid w:val="0083122A"/>
    <w:rsid w:val="0083200E"/>
    <w:rsid w:val="0083330D"/>
    <w:rsid w:val="00834242"/>
    <w:rsid w:val="0083436A"/>
    <w:rsid w:val="00834E18"/>
    <w:rsid w:val="00835330"/>
    <w:rsid w:val="008374D4"/>
    <w:rsid w:val="00842925"/>
    <w:rsid w:val="00842958"/>
    <w:rsid w:val="00842B75"/>
    <w:rsid w:val="00844768"/>
    <w:rsid w:val="0084596B"/>
    <w:rsid w:val="00845DB6"/>
    <w:rsid w:val="008467E6"/>
    <w:rsid w:val="00846BC7"/>
    <w:rsid w:val="00847172"/>
    <w:rsid w:val="0085072D"/>
    <w:rsid w:val="00851E63"/>
    <w:rsid w:val="0085335C"/>
    <w:rsid w:val="00853E3C"/>
    <w:rsid w:val="0085441D"/>
    <w:rsid w:val="00854F50"/>
    <w:rsid w:val="00855020"/>
    <w:rsid w:val="0085646B"/>
    <w:rsid w:val="00856AE5"/>
    <w:rsid w:val="00857141"/>
    <w:rsid w:val="0085726E"/>
    <w:rsid w:val="008607BB"/>
    <w:rsid w:val="00861CB8"/>
    <w:rsid w:val="00864749"/>
    <w:rsid w:val="0086556D"/>
    <w:rsid w:val="0086566E"/>
    <w:rsid w:val="00865686"/>
    <w:rsid w:val="008679B1"/>
    <w:rsid w:val="00867D87"/>
    <w:rsid w:val="00871469"/>
    <w:rsid w:val="00871D14"/>
    <w:rsid w:val="00874D78"/>
    <w:rsid w:val="00876B5B"/>
    <w:rsid w:val="008804FA"/>
    <w:rsid w:val="0088087D"/>
    <w:rsid w:val="008817AB"/>
    <w:rsid w:val="00883F09"/>
    <w:rsid w:val="00883F12"/>
    <w:rsid w:val="00884CB7"/>
    <w:rsid w:val="00885198"/>
    <w:rsid w:val="00887206"/>
    <w:rsid w:val="00887249"/>
    <w:rsid w:val="00887FC0"/>
    <w:rsid w:val="008903AD"/>
    <w:rsid w:val="00890465"/>
    <w:rsid w:val="00890523"/>
    <w:rsid w:val="0089075D"/>
    <w:rsid w:val="0089116E"/>
    <w:rsid w:val="00892D12"/>
    <w:rsid w:val="00893251"/>
    <w:rsid w:val="00893C84"/>
    <w:rsid w:val="00895315"/>
    <w:rsid w:val="0089561E"/>
    <w:rsid w:val="00895F96"/>
    <w:rsid w:val="00897277"/>
    <w:rsid w:val="008973F7"/>
    <w:rsid w:val="008A0BA5"/>
    <w:rsid w:val="008A3450"/>
    <w:rsid w:val="008A6D7D"/>
    <w:rsid w:val="008A6F2A"/>
    <w:rsid w:val="008A7509"/>
    <w:rsid w:val="008A7B24"/>
    <w:rsid w:val="008B06AC"/>
    <w:rsid w:val="008B1FCB"/>
    <w:rsid w:val="008B228F"/>
    <w:rsid w:val="008B52BA"/>
    <w:rsid w:val="008B5737"/>
    <w:rsid w:val="008B5FB1"/>
    <w:rsid w:val="008B7574"/>
    <w:rsid w:val="008B7B71"/>
    <w:rsid w:val="008B7CF4"/>
    <w:rsid w:val="008C2261"/>
    <w:rsid w:val="008C4220"/>
    <w:rsid w:val="008C4E78"/>
    <w:rsid w:val="008C5121"/>
    <w:rsid w:val="008C5264"/>
    <w:rsid w:val="008C5611"/>
    <w:rsid w:val="008C7DB9"/>
    <w:rsid w:val="008D0045"/>
    <w:rsid w:val="008D2477"/>
    <w:rsid w:val="008D43C8"/>
    <w:rsid w:val="008D697A"/>
    <w:rsid w:val="008D7F05"/>
    <w:rsid w:val="008E11EA"/>
    <w:rsid w:val="008E14B5"/>
    <w:rsid w:val="008E206A"/>
    <w:rsid w:val="008E33DF"/>
    <w:rsid w:val="008E5A08"/>
    <w:rsid w:val="008E68F9"/>
    <w:rsid w:val="008E6B0D"/>
    <w:rsid w:val="008E7036"/>
    <w:rsid w:val="008E7D8A"/>
    <w:rsid w:val="008F03C6"/>
    <w:rsid w:val="008F04C2"/>
    <w:rsid w:val="008F0F5B"/>
    <w:rsid w:val="008F1BFF"/>
    <w:rsid w:val="008F1C35"/>
    <w:rsid w:val="008F2099"/>
    <w:rsid w:val="008F2DDB"/>
    <w:rsid w:val="008F3BD3"/>
    <w:rsid w:val="008F4E74"/>
    <w:rsid w:val="008F55E3"/>
    <w:rsid w:val="008F6D98"/>
    <w:rsid w:val="008F74B4"/>
    <w:rsid w:val="00900DFE"/>
    <w:rsid w:val="00905ACD"/>
    <w:rsid w:val="00906715"/>
    <w:rsid w:val="00906D16"/>
    <w:rsid w:val="0091041A"/>
    <w:rsid w:val="0091368D"/>
    <w:rsid w:val="00913D98"/>
    <w:rsid w:val="00914C40"/>
    <w:rsid w:val="009156CC"/>
    <w:rsid w:val="00916097"/>
    <w:rsid w:val="0091614D"/>
    <w:rsid w:val="009162C5"/>
    <w:rsid w:val="00916F6D"/>
    <w:rsid w:val="00917380"/>
    <w:rsid w:val="00917977"/>
    <w:rsid w:val="00924EF7"/>
    <w:rsid w:val="0093421D"/>
    <w:rsid w:val="00934E74"/>
    <w:rsid w:val="009360E1"/>
    <w:rsid w:val="00936632"/>
    <w:rsid w:val="009366E0"/>
    <w:rsid w:val="009404E8"/>
    <w:rsid w:val="00940613"/>
    <w:rsid w:val="00941037"/>
    <w:rsid w:val="009418A7"/>
    <w:rsid w:val="00942B20"/>
    <w:rsid w:val="00944BF8"/>
    <w:rsid w:val="009465E7"/>
    <w:rsid w:val="00946D36"/>
    <w:rsid w:val="00950A4C"/>
    <w:rsid w:val="009517E0"/>
    <w:rsid w:val="00952B95"/>
    <w:rsid w:val="00953833"/>
    <w:rsid w:val="00954CED"/>
    <w:rsid w:val="00955D3D"/>
    <w:rsid w:val="00956817"/>
    <w:rsid w:val="00957956"/>
    <w:rsid w:val="00957BDB"/>
    <w:rsid w:val="009634F3"/>
    <w:rsid w:val="009655BE"/>
    <w:rsid w:val="009666B0"/>
    <w:rsid w:val="00966BA1"/>
    <w:rsid w:val="00966E6D"/>
    <w:rsid w:val="00971717"/>
    <w:rsid w:val="00972445"/>
    <w:rsid w:val="00972F24"/>
    <w:rsid w:val="00973F5C"/>
    <w:rsid w:val="00974086"/>
    <w:rsid w:val="009742DF"/>
    <w:rsid w:val="009746C5"/>
    <w:rsid w:val="00974C74"/>
    <w:rsid w:val="0097554D"/>
    <w:rsid w:val="00976767"/>
    <w:rsid w:val="00982041"/>
    <w:rsid w:val="0098378F"/>
    <w:rsid w:val="00984DE1"/>
    <w:rsid w:val="00986016"/>
    <w:rsid w:val="00987256"/>
    <w:rsid w:val="00991B3F"/>
    <w:rsid w:val="00991BD6"/>
    <w:rsid w:val="00991EF8"/>
    <w:rsid w:val="00994627"/>
    <w:rsid w:val="0099463E"/>
    <w:rsid w:val="00995722"/>
    <w:rsid w:val="00995F4B"/>
    <w:rsid w:val="00996322"/>
    <w:rsid w:val="009A4129"/>
    <w:rsid w:val="009A4201"/>
    <w:rsid w:val="009B15F1"/>
    <w:rsid w:val="009B1A8B"/>
    <w:rsid w:val="009B2C15"/>
    <w:rsid w:val="009B45E9"/>
    <w:rsid w:val="009B5154"/>
    <w:rsid w:val="009B5F63"/>
    <w:rsid w:val="009C134D"/>
    <w:rsid w:val="009C1AF4"/>
    <w:rsid w:val="009C2683"/>
    <w:rsid w:val="009C4BDB"/>
    <w:rsid w:val="009C5BB6"/>
    <w:rsid w:val="009C5CBC"/>
    <w:rsid w:val="009C6A56"/>
    <w:rsid w:val="009C6EC3"/>
    <w:rsid w:val="009C746F"/>
    <w:rsid w:val="009C7649"/>
    <w:rsid w:val="009D06A9"/>
    <w:rsid w:val="009D07F0"/>
    <w:rsid w:val="009D0A77"/>
    <w:rsid w:val="009D1AAB"/>
    <w:rsid w:val="009D21DD"/>
    <w:rsid w:val="009D6A23"/>
    <w:rsid w:val="009D6BDC"/>
    <w:rsid w:val="009D7887"/>
    <w:rsid w:val="009E1594"/>
    <w:rsid w:val="009E1CFF"/>
    <w:rsid w:val="009E1D01"/>
    <w:rsid w:val="009E4614"/>
    <w:rsid w:val="009E5C1D"/>
    <w:rsid w:val="009E5DB5"/>
    <w:rsid w:val="009E619F"/>
    <w:rsid w:val="009E65F8"/>
    <w:rsid w:val="009E6C14"/>
    <w:rsid w:val="009E7420"/>
    <w:rsid w:val="009F1F1A"/>
    <w:rsid w:val="009F3413"/>
    <w:rsid w:val="009F6351"/>
    <w:rsid w:val="009F6C48"/>
    <w:rsid w:val="00A000B2"/>
    <w:rsid w:val="00A0057C"/>
    <w:rsid w:val="00A011AC"/>
    <w:rsid w:val="00A01375"/>
    <w:rsid w:val="00A03007"/>
    <w:rsid w:val="00A03940"/>
    <w:rsid w:val="00A0550A"/>
    <w:rsid w:val="00A05DC8"/>
    <w:rsid w:val="00A05F4F"/>
    <w:rsid w:val="00A06E81"/>
    <w:rsid w:val="00A104A6"/>
    <w:rsid w:val="00A10AB8"/>
    <w:rsid w:val="00A13AB8"/>
    <w:rsid w:val="00A14225"/>
    <w:rsid w:val="00A1434F"/>
    <w:rsid w:val="00A14862"/>
    <w:rsid w:val="00A14AB6"/>
    <w:rsid w:val="00A1597F"/>
    <w:rsid w:val="00A1622D"/>
    <w:rsid w:val="00A168DD"/>
    <w:rsid w:val="00A1752F"/>
    <w:rsid w:val="00A1791D"/>
    <w:rsid w:val="00A21DBF"/>
    <w:rsid w:val="00A22D98"/>
    <w:rsid w:val="00A22F42"/>
    <w:rsid w:val="00A24B86"/>
    <w:rsid w:val="00A25A0C"/>
    <w:rsid w:val="00A27269"/>
    <w:rsid w:val="00A27304"/>
    <w:rsid w:val="00A3083C"/>
    <w:rsid w:val="00A31066"/>
    <w:rsid w:val="00A3154E"/>
    <w:rsid w:val="00A32925"/>
    <w:rsid w:val="00A3315E"/>
    <w:rsid w:val="00A35AA6"/>
    <w:rsid w:val="00A3633E"/>
    <w:rsid w:val="00A37557"/>
    <w:rsid w:val="00A37DA6"/>
    <w:rsid w:val="00A40636"/>
    <w:rsid w:val="00A4223A"/>
    <w:rsid w:val="00A42D12"/>
    <w:rsid w:val="00A42D50"/>
    <w:rsid w:val="00A43AB8"/>
    <w:rsid w:val="00A441D5"/>
    <w:rsid w:val="00A44B53"/>
    <w:rsid w:val="00A457E0"/>
    <w:rsid w:val="00A45A6F"/>
    <w:rsid w:val="00A46282"/>
    <w:rsid w:val="00A4677F"/>
    <w:rsid w:val="00A50150"/>
    <w:rsid w:val="00A530AE"/>
    <w:rsid w:val="00A54474"/>
    <w:rsid w:val="00A54A7A"/>
    <w:rsid w:val="00A55330"/>
    <w:rsid w:val="00A55C3B"/>
    <w:rsid w:val="00A55E20"/>
    <w:rsid w:val="00A56A64"/>
    <w:rsid w:val="00A57241"/>
    <w:rsid w:val="00A5750A"/>
    <w:rsid w:val="00A576DC"/>
    <w:rsid w:val="00A60726"/>
    <w:rsid w:val="00A64F33"/>
    <w:rsid w:val="00A6559D"/>
    <w:rsid w:val="00A6642D"/>
    <w:rsid w:val="00A66E93"/>
    <w:rsid w:val="00A66FC0"/>
    <w:rsid w:val="00A67BA9"/>
    <w:rsid w:val="00A70AF8"/>
    <w:rsid w:val="00A70BC4"/>
    <w:rsid w:val="00A717CB"/>
    <w:rsid w:val="00A71EA1"/>
    <w:rsid w:val="00A74B94"/>
    <w:rsid w:val="00A74CAA"/>
    <w:rsid w:val="00A755F4"/>
    <w:rsid w:val="00A75D2B"/>
    <w:rsid w:val="00A77742"/>
    <w:rsid w:val="00A77979"/>
    <w:rsid w:val="00A813F3"/>
    <w:rsid w:val="00A81418"/>
    <w:rsid w:val="00A82C50"/>
    <w:rsid w:val="00A84611"/>
    <w:rsid w:val="00A8747C"/>
    <w:rsid w:val="00A9003B"/>
    <w:rsid w:val="00A9059F"/>
    <w:rsid w:val="00A91AD9"/>
    <w:rsid w:val="00A9261C"/>
    <w:rsid w:val="00A926DF"/>
    <w:rsid w:val="00A931C1"/>
    <w:rsid w:val="00A959B1"/>
    <w:rsid w:val="00A95D31"/>
    <w:rsid w:val="00A97548"/>
    <w:rsid w:val="00A97856"/>
    <w:rsid w:val="00A97CEB"/>
    <w:rsid w:val="00AA052C"/>
    <w:rsid w:val="00AA2A75"/>
    <w:rsid w:val="00AA2AAA"/>
    <w:rsid w:val="00AA43FF"/>
    <w:rsid w:val="00AA4DB7"/>
    <w:rsid w:val="00AB083A"/>
    <w:rsid w:val="00AB0A1B"/>
    <w:rsid w:val="00AB0FCE"/>
    <w:rsid w:val="00AB1EC7"/>
    <w:rsid w:val="00AB3431"/>
    <w:rsid w:val="00AB3618"/>
    <w:rsid w:val="00AB3DF8"/>
    <w:rsid w:val="00AB481F"/>
    <w:rsid w:val="00AB4920"/>
    <w:rsid w:val="00AB55CE"/>
    <w:rsid w:val="00AB5E0F"/>
    <w:rsid w:val="00AB64F0"/>
    <w:rsid w:val="00AB6707"/>
    <w:rsid w:val="00AB6C8A"/>
    <w:rsid w:val="00AB7E9E"/>
    <w:rsid w:val="00AC06D3"/>
    <w:rsid w:val="00AC0AB7"/>
    <w:rsid w:val="00AC1CC6"/>
    <w:rsid w:val="00AC269C"/>
    <w:rsid w:val="00AC31F5"/>
    <w:rsid w:val="00AC3BD4"/>
    <w:rsid w:val="00AC4229"/>
    <w:rsid w:val="00AC4680"/>
    <w:rsid w:val="00AC6E40"/>
    <w:rsid w:val="00AD0574"/>
    <w:rsid w:val="00AD067A"/>
    <w:rsid w:val="00AD0711"/>
    <w:rsid w:val="00AD1556"/>
    <w:rsid w:val="00AD198F"/>
    <w:rsid w:val="00AD1F5F"/>
    <w:rsid w:val="00AD2A04"/>
    <w:rsid w:val="00AD34C3"/>
    <w:rsid w:val="00AD3A0D"/>
    <w:rsid w:val="00AD55E7"/>
    <w:rsid w:val="00AD5865"/>
    <w:rsid w:val="00AD587D"/>
    <w:rsid w:val="00AD59F7"/>
    <w:rsid w:val="00AE00F8"/>
    <w:rsid w:val="00AE17E2"/>
    <w:rsid w:val="00AE2078"/>
    <w:rsid w:val="00AE249A"/>
    <w:rsid w:val="00AE274A"/>
    <w:rsid w:val="00AE2948"/>
    <w:rsid w:val="00AE53E5"/>
    <w:rsid w:val="00AE56D2"/>
    <w:rsid w:val="00AE7B75"/>
    <w:rsid w:val="00AF43B3"/>
    <w:rsid w:val="00AF5174"/>
    <w:rsid w:val="00AF5188"/>
    <w:rsid w:val="00AF6620"/>
    <w:rsid w:val="00AF69ED"/>
    <w:rsid w:val="00AF6D13"/>
    <w:rsid w:val="00B0019F"/>
    <w:rsid w:val="00B00FC4"/>
    <w:rsid w:val="00B03235"/>
    <w:rsid w:val="00B0551E"/>
    <w:rsid w:val="00B06088"/>
    <w:rsid w:val="00B066E4"/>
    <w:rsid w:val="00B07368"/>
    <w:rsid w:val="00B0736A"/>
    <w:rsid w:val="00B11166"/>
    <w:rsid w:val="00B112C3"/>
    <w:rsid w:val="00B116AE"/>
    <w:rsid w:val="00B11C7B"/>
    <w:rsid w:val="00B13F48"/>
    <w:rsid w:val="00B14BE9"/>
    <w:rsid w:val="00B15060"/>
    <w:rsid w:val="00B16751"/>
    <w:rsid w:val="00B17529"/>
    <w:rsid w:val="00B21A42"/>
    <w:rsid w:val="00B231BD"/>
    <w:rsid w:val="00B23670"/>
    <w:rsid w:val="00B25629"/>
    <w:rsid w:val="00B27EED"/>
    <w:rsid w:val="00B31BB1"/>
    <w:rsid w:val="00B34EF4"/>
    <w:rsid w:val="00B353FA"/>
    <w:rsid w:val="00B35A4A"/>
    <w:rsid w:val="00B3717A"/>
    <w:rsid w:val="00B37E60"/>
    <w:rsid w:val="00B40E84"/>
    <w:rsid w:val="00B42F44"/>
    <w:rsid w:val="00B430E6"/>
    <w:rsid w:val="00B43BF2"/>
    <w:rsid w:val="00B45487"/>
    <w:rsid w:val="00B45A70"/>
    <w:rsid w:val="00B463F5"/>
    <w:rsid w:val="00B46764"/>
    <w:rsid w:val="00B512FE"/>
    <w:rsid w:val="00B513A0"/>
    <w:rsid w:val="00B51DAE"/>
    <w:rsid w:val="00B52D0A"/>
    <w:rsid w:val="00B55205"/>
    <w:rsid w:val="00B5558F"/>
    <w:rsid w:val="00B6055F"/>
    <w:rsid w:val="00B6074A"/>
    <w:rsid w:val="00B615D5"/>
    <w:rsid w:val="00B62011"/>
    <w:rsid w:val="00B633D9"/>
    <w:rsid w:val="00B6350B"/>
    <w:rsid w:val="00B63EF5"/>
    <w:rsid w:val="00B64181"/>
    <w:rsid w:val="00B642B4"/>
    <w:rsid w:val="00B64D4C"/>
    <w:rsid w:val="00B65230"/>
    <w:rsid w:val="00B655FF"/>
    <w:rsid w:val="00B65675"/>
    <w:rsid w:val="00B66E5A"/>
    <w:rsid w:val="00B67187"/>
    <w:rsid w:val="00B7161A"/>
    <w:rsid w:val="00B72454"/>
    <w:rsid w:val="00B72797"/>
    <w:rsid w:val="00B73607"/>
    <w:rsid w:val="00B74EA1"/>
    <w:rsid w:val="00B7566E"/>
    <w:rsid w:val="00B75A8C"/>
    <w:rsid w:val="00B75F21"/>
    <w:rsid w:val="00B760CF"/>
    <w:rsid w:val="00B767A0"/>
    <w:rsid w:val="00B76E9B"/>
    <w:rsid w:val="00B770A4"/>
    <w:rsid w:val="00B809B1"/>
    <w:rsid w:val="00B813CA"/>
    <w:rsid w:val="00B814C9"/>
    <w:rsid w:val="00B81FD9"/>
    <w:rsid w:val="00B82024"/>
    <w:rsid w:val="00B82762"/>
    <w:rsid w:val="00B8293D"/>
    <w:rsid w:val="00B84502"/>
    <w:rsid w:val="00B84C66"/>
    <w:rsid w:val="00B874F6"/>
    <w:rsid w:val="00B87CEB"/>
    <w:rsid w:val="00B90F5C"/>
    <w:rsid w:val="00B92364"/>
    <w:rsid w:val="00B9289B"/>
    <w:rsid w:val="00B92C20"/>
    <w:rsid w:val="00B94149"/>
    <w:rsid w:val="00B943A4"/>
    <w:rsid w:val="00B951B6"/>
    <w:rsid w:val="00B96273"/>
    <w:rsid w:val="00B96402"/>
    <w:rsid w:val="00B96952"/>
    <w:rsid w:val="00B96D3C"/>
    <w:rsid w:val="00B97359"/>
    <w:rsid w:val="00BA0E57"/>
    <w:rsid w:val="00BA104C"/>
    <w:rsid w:val="00BA1404"/>
    <w:rsid w:val="00BA3FDF"/>
    <w:rsid w:val="00BA5CB5"/>
    <w:rsid w:val="00BA647D"/>
    <w:rsid w:val="00BA784E"/>
    <w:rsid w:val="00BB15E7"/>
    <w:rsid w:val="00BB1DCB"/>
    <w:rsid w:val="00BB26E7"/>
    <w:rsid w:val="00BB587A"/>
    <w:rsid w:val="00BB7739"/>
    <w:rsid w:val="00BC0CE5"/>
    <w:rsid w:val="00BC10AA"/>
    <w:rsid w:val="00BC1536"/>
    <w:rsid w:val="00BC24EE"/>
    <w:rsid w:val="00BC3CEF"/>
    <w:rsid w:val="00BC4321"/>
    <w:rsid w:val="00BD157F"/>
    <w:rsid w:val="00BD1F79"/>
    <w:rsid w:val="00BD2BB3"/>
    <w:rsid w:val="00BD40EE"/>
    <w:rsid w:val="00BD42A7"/>
    <w:rsid w:val="00BD54B0"/>
    <w:rsid w:val="00BE067D"/>
    <w:rsid w:val="00BE0ABB"/>
    <w:rsid w:val="00BE2A7B"/>
    <w:rsid w:val="00BE3198"/>
    <w:rsid w:val="00BE3992"/>
    <w:rsid w:val="00BE3E71"/>
    <w:rsid w:val="00BE4073"/>
    <w:rsid w:val="00BE4256"/>
    <w:rsid w:val="00BE46B1"/>
    <w:rsid w:val="00BE4C67"/>
    <w:rsid w:val="00BE53B7"/>
    <w:rsid w:val="00BE6E6A"/>
    <w:rsid w:val="00BE75CF"/>
    <w:rsid w:val="00BF13CE"/>
    <w:rsid w:val="00BF3211"/>
    <w:rsid w:val="00BF4968"/>
    <w:rsid w:val="00BF4D75"/>
    <w:rsid w:val="00BF6BFE"/>
    <w:rsid w:val="00C0097F"/>
    <w:rsid w:val="00C03803"/>
    <w:rsid w:val="00C05374"/>
    <w:rsid w:val="00C05B2E"/>
    <w:rsid w:val="00C06307"/>
    <w:rsid w:val="00C1270F"/>
    <w:rsid w:val="00C12982"/>
    <w:rsid w:val="00C13122"/>
    <w:rsid w:val="00C13293"/>
    <w:rsid w:val="00C15108"/>
    <w:rsid w:val="00C164F1"/>
    <w:rsid w:val="00C16578"/>
    <w:rsid w:val="00C17195"/>
    <w:rsid w:val="00C17F1E"/>
    <w:rsid w:val="00C2012A"/>
    <w:rsid w:val="00C22653"/>
    <w:rsid w:val="00C24DBA"/>
    <w:rsid w:val="00C27D07"/>
    <w:rsid w:val="00C31EC1"/>
    <w:rsid w:val="00C32CC3"/>
    <w:rsid w:val="00C33CF7"/>
    <w:rsid w:val="00C355FF"/>
    <w:rsid w:val="00C359BA"/>
    <w:rsid w:val="00C3670B"/>
    <w:rsid w:val="00C37906"/>
    <w:rsid w:val="00C400C9"/>
    <w:rsid w:val="00C4019B"/>
    <w:rsid w:val="00C40879"/>
    <w:rsid w:val="00C41D1A"/>
    <w:rsid w:val="00C42788"/>
    <w:rsid w:val="00C43573"/>
    <w:rsid w:val="00C4659C"/>
    <w:rsid w:val="00C47C9B"/>
    <w:rsid w:val="00C504CB"/>
    <w:rsid w:val="00C50A17"/>
    <w:rsid w:val="00C523F3"/>
    <w:rsid w:val="00C53353"/>
    <w:rsid w:val="00C5368F"/>
    <w:rsid w:val="00C5422C"/>
    <w:rsid w:val="00C546ED"/>
    <w:rsid w:val="00C55098"/>
    <w:rsid w:val="00C56713"/>
    <w:rsid w:val="00C6174C"/>
    <w:rsid w:val="00C62316"/>
    <w:rsid w:val="00C65429"/>
    <w:rsid w:val="00C65CAF"/>
    <w:rsid w:val="00C66470"/>
    <w:rsid w:val="00C674AC"/>
    <w:rsid w:val="00C67A26"/>
    <w:rsid w:val="00C702B2"/>
    <w:rsid w:val="00C70E8E"/>
    <w:rsid w:val="00C719FF"/>
    <w:rsid w:val="00C731D1"/>
    <w:rsid w:val="00C731E2"/>
    <w:rsid w:val="00C74575"/>
    <w:rsid w:val="00C74682"/>
    <w:rsid w:val="00C74BFC"/>
    <w:rsid w:val="00C750AF"/>
    <w:rsid w:val="00C75677"/>
    <w:rsid w:val="00C7581F"/>
    <w:rsid w:val="00C7634A"/>
    <w:rsid w:val="00C76D58"/>
    <w:rsid w:val="00C807AC"/>
    <w:rsid w:val="00C874B7"/>
    <w:rsid w:val="00C9042F"/>
    <w:rsid w:val="00C919FD"/>
    <w:rsid w:val="00C93E9D"/>
    <w:rsid w:val="00C946AE"/>
    <w:rsid w:val="00C9602B"/>
    <w:rsid w:val="00C967EE"/>
    <w:rsid w:val="00C968C0"/>
    <w:rsid w:val="00C96EEF"/>
    <w:rsid w:val="00C97C04"/>
    <w:rsid w:val="00CA03B9"/>
    <w:rsid w:val="00CA0E9F"/>
    <w:rsid w:val="00CA10E7"/>
    <w:rsid w:val="00CA1CA7"/>
    <w:rsid w:val="00CA23E6"/>
    <w:rsid w:val="00CA2A07"/>
    <w:rsid w:val="00CA2D2D"/>
    <w:rsid w:val="00CA31B9"/>
    <w:rsid w:val="00CA334A"/>
    <w:rsid w:val="00CA35A5"/>
    <w:rsid w:val="00CA5182"/>
    <w:rsid w:val="00CA5529"/>
    <w:rsid w:val="00CA571D"/>
    <w:rsid w:val="00CA6232"/>
    <w:rsid w:val="00CA6A68"/>
    <w:rsid w:val="00CB1FE8"/>
    <w:rsid w:val="00CB2389"/>
    <w:rsid w:val="00CB5769"/>
    <w:rsid w:val="00CB6F4D"/>
    <w:rsid w:val="00CB7E2D"/>
    <w:rsid w:val="00CC0FC8"/>
    <w:rsid w:val="00CC1392"/>
    <w:rsid w:val="00CC1E7D"/>
    <w:rsid w:val="00CC2249"/>
    <w:rsid w:val="00CC3268"/>
    <w:rsid w:val="00CC727F"/>
    <w:rsid w:val="00CC76A9"/>
    <w:rsid w:val="00CD07D5"/>
    <w:rsid w:val="00CD0DD5"/>
    <w:rsid w:val="00CD1469"/>
    <w:rsid w:val="00CD1BE6"/>
    <w:rsid w:val="00CD227A"/>
    <w:rsid w:val="00CD2F0A"/>
    <w:rsid w:val="00CD42A3"/>
    <w:rsid w:val="00CD6AEE"/>
    <w:rsid w:val="00CD6C6F"/>
    <w:rsid w:val="00CE1210"/>
    <w:rsid w:val="00CE1E00"/>
    <w:rsid w:val="00CE25A2"/>
    <w:rsid w:val="00CE3397"/>
    <w:rsid w:val="00CE3B97"/>
    <w:rsid w:val="00CE7099"/>
    <w:rsid w:val="00CF0402"/>
    <w:rsid w:val="00CF06C6"/>
    <w:rsid w:val="00CF08E8"/>
    <w:rsid w:val="00CF4CB8"/>
    <w:rsid w:val="00CF5504"/>
    <w:rsid w:val="00CF69DA"/>
    <w:rsid w:val="00CF74DC"/>
    <w:rsid w:val="00D00671"/>
    <w:rsid w:val="00D05FE6"/>
    <w:rsid w:val="00D0608C"/>
    <w:rsid w:val="00D06378"/>
    <w:rsid w:val="00D0762B"/>
    <w:rsid w:val="00D07BA6"/>
    <w:rsid w:val="00D11A95"/>
    <w:rsid w:val="00D122D8"/>
    <w:rsid w:val="00D1234B"/>
    <w:rsid w:val="00D12928"/>
    <w:rsid w:val="00D13373"/>
    <w:rsid w:val="00D138C4"/>
    <w:rsid w:val="00D139EC"/>
    <w:rsid w:val="00D14826"/>
    <w:rsid w:val="00D16AA7"/>
    <w:rsid w:val="00D16B5F"/>
    <w:rsid w:val="00D21294"/>
    <w:rsid w:val="00D21BDF"/>
    <w:rsid w:val="00D228D0"/>
    <w:rsid w:val="00D229A2"/>
    <w:rsid w:val="00D22AA5"/>
    <w:rsid w:val="00D26989"/>
    <w:rsid w:val="00D270C7"/>
    <w:rsid w:val="00D272FA"/>
    <w:rsid w:val="00D27D08"/>
    <w:rsid w:val="00D30480"/>
    <w:rsid w:val="00D305F1"/>
    <w:rsid w:val="00D30D23"/>
    <w:rsid w:val="00D31295"/>
    <w:rsid w:val="00D313B3"/>
    <w:rsid w:val="00D31D01"/>
    <w:rsid w:val="00D3202B"/>
    <w:rsid w:val="00D32246"/>
    <w:rsid w:val="00D32857"/>
    <w:rsid w:val="00D32DC7"/>
    <w:rsid w:val="00D353DD"/>
    <w:rsid w:val="00D37A6C"/>
    <w:rsid w:val="00D37FCB"/>
    <w:rsid w:val="00D403B9"/>
    <w:rsid w:val="00D405BB"/>
    <w:rsid w:val="00D41966"/>
    <w:rsid w:val="00D4294E"/>
    <w:rsid w:val="00D42CA9"/>
    <w:rsid w:val="00D44FE5"/>
    <w:rsid w:val="00D45109"/>
    <w:rsid w:val="00D45D17"/>
    <w:rsid w:val="00D45F0A"/>
    <w:rsid w:val="00D503B9"/>
    <w:rsid w:val="00D50CC7"/>
    <w:rsid w:val="00D53455"/>
    <w:rsid w:val="00D53821"/>
    <w:rsid w:val="00D53DA9"/>
    <w:rsid w:val="00D544E4"/>
    <w:rsid w:val="00D54D3B"/>
    <w:rsid w:val="00D56B2E"/>
    <w:rsid w:val="00D56C09"/>
    <w:rsid w:val="00D57A84"/>
    <w:rsid w:val="00D6086E"/>
    <w:rsid w:val="00D608E8"/>
    <w:rsid w:val="00D60CF1"/>
    <w:rsid w:val="00D61494"/>
    <w:rsid w:val="00D61838"/>
    <w:rsid w:val="00D61E5D"/>
    <w:rsid w:val="00D6229A"/>
    <w:rsid w:val="00D6449D"/>
    <w:rsid w:val="00D64DE2"/>
    <w:rsid w:val="00D6577B"/>
    <w:rsid w:val="00D65795"/>
    <w:rsid w:val="00D66569"/>
    <w:rsid w:val="00D66A51"/>
    <w:rsid w:val="00D675AA"/>
    <w:rsid w:val="00D678ED"/>
    <w:rsid w:val="00D67A6F"/>
    <w:rsid w:val="00D70C81"/>
    <w:rsid w:val="00D71087"/>
    <w:rsid w:val="00D762FB"/>
    <w:rsid w:val="00D773D1"/>
    <w:rsid w:val="00D7742F"/>
    <w:rsid w:val="00D80428"/>
    <w:rsid w:val="00D80CFB"/>
    <w:rsid w:val="00D81932"/>
    <w:rsid w:val="00D83025"/>
    <w:rsid w:val="00D83F6A"/>
    <w:rsid w:val="00D84A87"/>
    <w:rsid w:val="00D85820"/>
    <w:rsid w:val="00D85B5B"/>
    <w:rsid w:val="00D8622C"/>
    <w:rsid w:val="00D86990"/>
    <w:rsid w:val="00D87B10"/>
    <w:rsid w:val="00D90B49"/>
    <w:rsid w:val="00D9101F"/>
    <w:rsid w:val="00DA017D"/>
    <w:rsid w:val="00DA0E65"/>
    <w:rsid w:val="00DA21F0"/>
    <w:rsid w:val="00DA3274"/>
    <w:rsid w:val="00DA41CA"/>
    <w:rsid w:val="00DA456C"/>
    <w:rsid w:val="00DA4B76"/>
    <w:rsid w:val="00DA4CFE"/>
    <w:rsid w:val="00DA5083"/>
    <w:rsid w:val="00DA5B79"/>
    <w:rsid w:val="00DA5E38"/>
    <w:rsid w:val="00DA6723"/>
    <w:rsid w:val="00DB102E"/>
    <w:rsid w:val="00DB1738"/>
    <w:rsid w:val="00DB1DF3"/>
    <w:rsid w:val="00DB3EBC"/>
    <w:rsid w:val="00DB4499"/>
    <w:rsid w:val="00DB7456"/>
    <w:rsid w:val="00DB74C4"/>
    <w:rsid w:val="00DC2F39"/>
    <w:rsid w:val="00DC3468"/>
    <w:rsid w:val="00DC4552"/>
    <w:rsid w:val="00DC6DEF"/>
    <w:rsid w:val="00DC7D86"/>
    <w:rsid w:val="00DD0A10"/>
    <w:rsid w:val="00DD1400"/>
    <w:rsid w:val="00DD288C"/>
    <w:rsid w:val="00DD2E76"/>
    <w:rsid w:val="00DD31BE"/>
    <w:rsid w:val="00DD5770"/>
    <w:rsid w:val="00DD5BF9"/>
    <w:rsid w:val="00DD7FBC"/>
    <w:rsid w:val="00DE2AC5"/>
    <w:rsid w:val="00DE325C"/>
    <w:rsid w:val="00DE3CFB"/>
    <w:rsid w:val="00DE43BA"/>
    <w:rsid w:val="00DE459A"/>
    <w:rsid w:val="00DE4EA5"/>
    <w:rsid w:val="00DF20C3"/>
    <w:rsid w:val="00DF2CEF"/>
    <w:rsid w:val="00DF3039"/>
    <w:rsid w:val="00DF36A8"/>
    <w:rsid w:val="00DF41D0"/>
    <w:rsid w:val="00DF4A72"/>
    <w:rsid w:val="00DF57A9"/>
    <w:rsid w:val="00DF5E5A"/>
    <w:rsid w:val="00E000A9"/>
    <w:rsid w:val="00E00416"/>
    <w:rsid w:val="00E015F3"/>
    <w:rsid w:val="00E02549"/>
    <w:rsid w:val="00E03F81"/>
    <w:rsid w:val="00E044E8"/>
    <w:rsid w:val="00E0482E"/>
    <w:rsid w:val="00E10012"/>
    <w:rsid w:val="00E122F6"/>
    <w:rsid w:val="00E12634"/>
    <w:rsid w:val="00E128BA"/>
    <w:rsid w:val="00E13764"/>
    <w:rsid w:val="00E14A63"/>
    <w:rsid w:val="00E14FE6"/>
    <w:rsid w:val="00E15E9C"/>
    <w:rsid w:val="00E161C4"/>
    <w:rsid w:val="00E173CA"/>
    <w:rsid w:val="00E17736"/>
    <w:rsid w:val="00E20322"/>
    <w:rsid w:val="00E2125E"/>
    <w:rsid w:val="00E218BE"/>
    <w:rsid w:val="00E22FFB"/>
    <w:rsid w:val="00E23171"/>
    <w:rsid w:val="00E243F4"/>
    <w:rsid w:val="00E25F5B"/>
    <w:rsid w:val="00E30FD2"/>
    <w:rsid w:val="00E319EE"/>
    <w:rsid w:val="00E32CD3"/>
    <w:rsid w:val="00E3412A"/>
    <w:rsid w:val="00E346A1"/>
    <w:rsid w:val="00E35B31"/>
    <w:rsid w:val="00E366EE"/>
    <w:rsid w:val="00E408AB"/>
    <w:rsid w:val="00E40AE2"/>
    <w:rsid w:val="00E42F71"/>
    <w:rsid w:val="00E43406"/>
    <w:rsid w:val="00E44AB1"/>
    <w:rsid w:val="00E44FAE"/>
    <w:rsid w:val="00E4537A"/>
    <w:rsid w:val="00E4555F"/>
    <w:rsid w:val="00E47DF2"/>
    <w:rsid w:val="00E50026"/>
    <w:rsid w:val="00E517EC"/>
    <w:rsid w:val="00E51872"/>
    <w:rsid w:val="00E51879"/>
    <w:rsid w:val="00E52781"/>
    <w:rsid w:val="00E52BC9"/>
    <w:rsid w:val="00E55421"/>
    <w:rsid w:val="00E555B6"/>
    <w:rsid w:val="00E5585E"/>
    <w:rsid w:val="00E55B37"/>
    <w:rsid w:val="00E56823"/>
    <w:rsid w:val="00E572C1"/>
    <w:rsid w:val="00E605B7"/>
    <w:rsid w:val="00E60F4A"/>
    <w:rsid w:val="00E621A6"/>
    <w:rsid w:val="00E63C1A"/>
    <w:rsid w:val="00E64FA5"/>
    <w:rsid w:val="00E67830"/>
    <w:rsid w:val="00E70A80"/>
    <w:rsid w:val="00E72431"/>
    <w:rsid w:val="00E72A1E"/>
    <w:rsid w:val="00E73F18"/>
    <w:rsid w:val="00E748E3"/>
    <w:rsid w:val="00E74C1E"/>
    <w:rsid w:val="00E74ECD"/>
    <w:rsid w:val="00E75411"/>
    <w:rsid w:val="00E754FE"/>
    <w:rsid w:val="00E77E06"/>
    <w:rsid w:val="00E77F15"/>
    <w:rsid w:val="00E820FE"/>
    <w:rsid w:val="00E8210A"/>
    <w:rsid w:val="00E829CB"/>
    <w:rsid w:val="00E83936"/>
    <w:rsid w:val="00E849BB"/>
    <w:rsid w:val="00E8515C"/>
    <w:rsid w:val="00E85A6E"/>
    <w:rsid w:val="00E85C44"/>
    <w:rsid w:val="00E86051"/>
    <w:rsid w:val="00E932E6"/>
    <w:rsid w:val="00E940DE"/>
    <w:rsid w:val="00E9490F"/>
    <w:rsid w:val="00E9757C"/>
    <w:rsid w:val="00EA5577"/>
    <w:rsid w:val="00EA7857"/>
    <w:rsid w:val="00EA7BEF"/>
    <w:rsid w:val="00EA7FE1"/>
    <w:rsid w:val="00EB0711"/>
    <w:rsid w:val="00EB191D"/>
    <w:rsid w:val="00EB2A52"/>
    <w:rsid w:val="00EB2B87"/>
    <w:rsid w:val="00EB2CDD"/>
    <w:rsid w:val="00EB300D"/>
    <w:rsid w:val="00EB3F22"/>
    <w:rsid w:val="00EB4662"/>
    <w:rsid w:val="00EB5D83"/>
    <w:rsid w:val="00EB6500"/>
    <w:rsid w:val="00EB7C2C"/>
    <w:rsid w:val="00EC1DAB"/>
    <w:rsid w:val="00EC2304"/>
    <w:rsid w:val="00EC2818"/>
    <w:rsid w:val="00EC2994"/>
    <w:rsid w:val="00EC2B56"/>
    <w:rsid w:val="00EC3DCE"/>
    <w:rsid w:val="00EC63C4"/>
    <w:rsid w:val="00EC7D11"/>
    <w:rsid w:val="00ED0DCA"/>
    <w:rsid w:val="00ED11EC"/>
    <w:rsid w:val="00ED1519"/>
    <w:rsid w:val="00ED28FF"/>
    <w:rsid w:val="00ED2A2B"/>
    <w:rsid w:val="00ED32EB"/>
    <w:rsid w:val="00ED3A41"/>
    <w:rsid w:val="00ED41A2"/>
    <w:rsid w:val="00ED41F5"/>
    <w:rsid w:val="00ED56EC"/>
    <w:rsid w:val="00EE0175"/>
    <w:rsid w:val="00EE118B"/>
    <w:rsid w:val="00EE3AFC"/>
    <w:rsid w:val="00EE3D48"/>
    <w:rsid w:val="00EE57F3"/>
    <w:rsid w:val="00EE79AA"/>
    <w:rsid w:val="00EF1F22"/>
    <w:rsid w:val="00EF2994"/>
    <w:rsid w:val="00EF3E43"/>
    <w:rsid w:val="00EF4E6D"/>
    <w:rsid w:val="00EF4FCD"/>
    <w:rsid w:val="00EF620A"/>
    <w:rsid w:val="00EF6C16"/>
    <w:rsid w:val="00EF7294"/>
    <w:rsid w:val="00EF7AAA"/>
    <w:rsid w:val="00F0086D"/>
    <w:rsid w:val="00F009A9"/>
    <w:rsid w:val="00F01DB5"/>
    <w:rsid w:val="00F0249E"/>
    <w:rsid w:val="00F02A60"/>
    <w:rsid w:val="00F05968"/>
    <w:rsid w:val="00F05F12"/>
    <w:rsid w:val="00F06230"/>
    <w:rsid w:val="00F06A35"/>
    <w:rsid w:val="00F077D7"/>
    <w:rsid w:val="00F10708"/>
    <w:rsid w:val="00F11C11"/>
    <w:rsid w:val="00F131DC"/>
    <w:rsid w:val="00F16E02"/>
    <w:rsid w:val="00F1793A"/>
    <w:rsid w:val="00F23042"/>
    <w:rsid w:val="00F23C0C"/>
    <w:rsid w:val="00F24105"/>
    <w:rsid w:val="00F2423B"/>
    <w:rsid w:val="00F25001"/>
    <w:rsid w:val="00F25CA7"/>
    <w:rsid w:val="00F266B1"/>
    <w:rsid w:val="00F276BC"/>
    <w:rsid w:val="00F31EAD"/>
    <w:rsid w:val="00F328C2"/>
    <w:rsid w:val="00F334A5"/>
    <w:rsid w:val="00F34E9A"/>
    <w:rsid w:val="00F36289"/>
    <w:rsid w:val="00F40A56"/>
    <w:rsid w:val="00F44518"/>
    <w:rsid w:val="00F44D70"/>
    <w:rsid w:val="00F45C53"/>
    <w:rsid w:val="00F4606E"/>
    <w:rsid w:val="00F46DFA"/>
    <w:rsid w:val="00F51CD7"/>
    <w:rsid w:val="00F530A5"/>
    <w:rsid w:val="00F5371E"/>
    <w:rsid w:val="00F53AFE"/>
    <w:rsid w:val="00F53FE0"/>
    <w:rsid w:val="00F5532B"/>
    <w:rsid w:val="00F554AB"/>
    <w:rsid w:val="00F554B9"/>
    <w:rsid w:val="00F558FF"/>
    <w:rsid w:val="00F56A36"/>
    <w:rsid w:val="00F56A54"/>
    <w:rsid w:val="00F57A18"/>
    <w:rsid w:val="00F61AAF"/>
    <w:rsid w:val="00F6258A"/>
    <w:rsid w:val="00F63BFD"/>
    <w:rsid w:val="00F65D4F"/>
    <w:rsid w:val="00F67179"/>
    <w:rsid w:val="00F71432"/>
    <w:rsid w:val="00F71FD4"/>
    <w:rsid w:val="00F740CD"/>
    <w:rsid w:val="00F743D8"/>
    <w:rsid w:val="00F74B8D"/>
    <w:rsid w:val="00F7546A"/>
    <w:rsid w:val="00F75BC3"/>
    <w:rsid w:val="00F7629F"/>
    <w:rsid w:val="00F77E0D"/>
    <w:rsid w:val="00F77EBB"/>
    <w:rsid w:val="00F857C3"/>
    <w:rsid w:val="00F85C80"/>
    <w:rsid w:val="00F87960"/>
    <w:rsid w:val="00F929DC"/>
    <w:rsid w:val="00F9307F"/>
    <w:rsid w:val="00F93516"/>
    <w:rsid w:val="00F949AB"/>
    <w:rsid w:val="00F94E26"/>
    <w:rsid w:val="00F97C95"/>
    <w:rsid w:val="00F97F3E"/>
    <w:rsid w:val="00F97F42"/>
    <w:rsid w:val="00FA039C"/>
    <w:rsid w:val="00FA04E2"/>
    <w:rsid w:val="00FA0AAF"/>
    <w:rsid w:val="00FA190B"/>
    <w:rsid w:val="00FA2495"/>
    <w:rsid w:val="00FA2FE3"/>
    <w:rsid w:val="00FA52B2"/>
    <w:rsid w:val="00FA6812"/>
    <w:rsid w:val="00FA6B8F"/>
    <w:rsid w:val="00FA6DF3"/>
    <w:rsid w:val="00FA7B0C"/>
    <w:rsid w:val="00FA7C2C"/>
    <w:rsid w:val="00FB07FB"/>
    <w:rsid w:val="00FB1A87"/>
    <w:rsid w:val="00FB1DCF"/>
    <w:rsid w:val="00FB2497"/>
    <w:rsid w:val="00FB3C3C"/>
    <w:rsid w:val="00FB3C7C"/>
    <w:rsid w:val="00FB5A04"/>
    <w:rsid w:val="00FB6A83"/>
    <w:rsid w:val="00FB78CB"/>
    <w:rsid w:val="00FB7C38"/>
    <w:rsid w:val="00FC0411"/>
    <w:rsid w:val="00FC0B79"/>
    <w:rsid w:val="00FC0B7D"/>
    <w:rsid w:val="00FC0C69"/>
    <w:rsid w:val="00FC1B4C"/>
    <w:rsid w:val="00FC2072"/>
    <w:rsid w:val="00FC4552"/>
    <w:rsid w:val="00FC68A2"/>
    <w:rsid w:val="00FC72E6"/>
    <w:rsid w:val="00FC7C9F"/>
    <w:rsid w:val="00FD02F8"/>
    <w:rsid w:val="00FD196F"/>
    <w:rsid w:val="00FD258B"/>
    <w:rsid w:val="00FD334A"/>
    <w:rsid w:val="00FD5A95"/>
    <w:rsid w:val="00FD5FCA"/>
    <w:rsid w:val="00FE0261"/>
    <w:rsid w:val="00FE09A2"/>
    <w:rsid w:val="00FE2D2D"/>
    <w:rsid w:val="00FE3850"/>
    <w:rsid w:val="00FE399B"/>
    <w:rsid w:val="00FE3BF6"/>
    <w:rsid w:val="00FE411E"/>
    <w:rsid w:val="00FE5A93"/>
    <w:rsid w:val="00FE5ADB"/>
    <w:rsid w:val="00FE7FBF"/>
    <w:rsid w:val="00FF066D"/>
    <w:rsid w:val="00FF0C5C"/>
    <w:rsid w:val="00FF15D2"/>
    <w:rsid w:val="00FF1C7E"/>
    <w:rsid w:val="00FF1D6E"/>
    <w:rsid w:val="00FF4D32"/>
    <w:rsid w:val="00FF5282"/>
    <w:rsid w:val="00FF5756"/>
    <w:rsid w:val="00FF5A1E"/>
    <w:rsid w:val="00FF5A57"/>
    <w:rsid w:val="00FF5FAA"/>
    <w:rsid w:val="00FF6DE0"/>
    <w:rsid w:val="00FF7A28"/>
    <w:rsid w:val="1E041265"/>
    <w:rsid w:val="3765731D"/>
    <w:rsid w:val="440705A0"/>
    <w:rsid w:val="5C56324B"/>
    <w:rsid w:val="65073D59"/>
    <w:rsid w:val="72B70A04"/>
    <w:rsid w:val="74AF4F99"/>
    <w:rsid w:val="FFBFB3F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ind w:firstLine="200" w:firstLineChars="200"/>
      <w:jc w:val="both"/>
    </w:pPr>
    <w:rPr>
      <w:rFonts w:ascii="Times New Roman" w:hAnsi="Times New Roman" w:eastAsia="仿宋_GB2312" w:cstheme="minorBidi"/>
      <w:kern w:val="2"/>
      <w:sz w:val="28"/>
      <w:szCs w:val="22"/>
      <w:lang w:val="en-US" w:eastAsia="zh-CN" w:bidi="ar-SA"/>
    </w:rPr>
  </w:style>
  <w:style w:type="paragraph" w:styleId="4">
    <w:name w:val="heading 1"/>
    <w:basedOn w:val="1"/>
    <w:next w:val="1"/>
    <w:link w:val="25"/>
    <w:qFormat/>
    <w:uiPriority w:val="9"/>
    <w:pPr>
      <w:spacing w:before="120" w:after="60"/>
      <w:ind w:firstLine="643"/>
      <w:outlineLvl w:val="0"/>
    </w:pPr>
    <w:rPr>
      <w:rFonts w:eastAsia="黑体"/>
      <w:b/>
      <w:bCs/>
      <w:kern w:val="44"/>
      <w:sz w:val="32"/>
      <w:szCs w:val="44"/>
    </w:rPr>
  </w:style>
  <w:style w:type="paragraph" w:styleId="5">
    <w:name w:val="heading 2"/>
    <w:basedOn w:val="1"/>
    <w:next w:val="1"/>
    <w:link w:val="26"/>
    <w:unhideWhenUsed/>
    <w:qFormat/>
    <w:uiPriority w:val="9"/>
    <w:pPr>
      <w:spacing w:before="120" w:after="60"/>
      <w:ind w:firstLine="562"/>
      <w:outlineLvl w:val="1"/>
    </w:pPr>
    <w:rPr>
      <w:rFonts w:asciiTheme="majorHAnsi" w:hAnsiTheme="majorHAnsi" w:cstheme="majorBidi"/>
      <w:b/>
      <w:bCs/>
      <w:szCs w:val="32"/>
    </w:rPr>
  </w:style>
  <w:style w:type="paragraph" w:styleId="6">
    <w:name w:val="heading 3"/>
    <w:basedOn w:val="1"/>
    <w:next w:val="1"/>
    <w:link w:val="27"/>
    <w:unhideWhenUsed/>
    <w:qFormat/>
    <w:uiPriority w:val="9"/>
    <w:pPr>
      <w:spacing w:before="120" w:after="60"/>
      <w:ind w:firstLine="562"/>
      <w:outlineLvl w:val="2"/>
    </w:pPr>
    <w:rPr>
      <w:bCs/>
      <w:szCs w:val="32"/>
    </w:rPr>
  </w:style>
  <w:style w:type="paragraph" w:styleId="7">
    <w:name w:val="heading 4"/>
    <w:basedOn w:val="1"/>
    <w:next w:val="1"/>
    <w:link w:val="38"/>
    <w:unhideWhenUsed/>
    <w:qFormat/>
    <w:uiPriority w:val="9"/>
    <w:pPr>
      <w:numPr>
        <w:ilvl w:val="3"/>
        <w:numId w:val="1"/>
      </w:numPr>
      <w:spacing w:before="120" w:after="60"/>
      <w:ind w:left="0" w:firstLine="200"/>
      <w:outlineLvl w:val="3"/>
    </w:pPr>
    <w:rPr>
      <w:rFonts w:cstheme="majorBidi"/>
      <w:bCs/>
      <w:szCs w:val="28"/>
    </w:rPr>
  </w:style>
  <w:style w:type="character" w:default="1" w:styleId="16">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rFonts w:hAnsi="_x000B__x000C_"/>
      <w:szCs w:val="18"/>
    </w:rPr>
  </w:style>
  <w:style w:type="paragraph" w:styleId="8">
    <w:name w:val="annotation subject"/>
    <w:basedOn w:val="9"/>
    <w:next w:val="9"/>
    <w:link w:val="36"/>
    <w:unhideWhenUsed/>
    <w:qFormat/>
    <w:uiPriority w:val="99"/>
    <w:rPr>
      <w:b/>
      <w:bCs/>
    </w:rPr>
  </w:style>
  <w:style w:type="paragraph" w:styleId="9">
    <w:name w:val="annotation text"/>
    <w:basedOn w:val="1"/>
    <w:link w:val="35"/>
    <w:unhideWhenUsed/>
    <w:qFormat/>
    <w:uiPriority w:val="99"/>
    <w:pPr>
      <w:jc w:val="left"/>
    </w:pPr>
  </w:style>
  <w:style w:type="paragraph" w:styleId="10">
    <w:name w:val="Balloon Text"/>
    <w:basedOn w:val="1"/>
    <w:link w:val="41"/>
    <w:unhideWhenUsed/>
    <w:qFormat/>
    <w:uiPriority w:val="99"/>
    <w:pPr>
      <w:spacing w:line="240" w:lineRule="auto"/>
    </w:pPr>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right" w:leader="dot" w:pos="8296"/>
      </w:tabs>
      <w:ind w:firstLine="0" w:firstLineChars="0"/>
      <w:jc w:val="right"/>
    </w:pPr>
    <w:rPr>
      <w:rFonts w:ascii="仿宋_GB2312"/>
      <w:b/>
      <w:bCs/>
    </w:rPr>
  </w:style>
  <w:style w:type="paragraph" w:styleId="14">
    <w:name w:val="footnote text"/>
    <w:basedOn w:val="1"/>
    <w:link w:val="44"/>
    <w:unhideWhenUsed/>
    <w:qFormat/>
    <w:uiPriority w:val="99"/>
    <w:pPr>
      <w:snapToGrid w:val="0"/>
      <w:jc w:val="left"/>
    </w:pPr>
    <w:rPr>
      <w:sz w:val="18"/>
      <w:szCs w:val="18"/>
    </w:rPr>
  </w:style>
  <w:style w:type="paragraph" w:styleId="15">
    <w:name w:val="toc 2"/>
    <w:basedOn w:val="1"/>
    <w:next w:val="1"/>
    <w:unhideWhenUsed/>
    <w:qFormat/>
    <w:uiPriority w:val="39"/>
    <w:pPr>
      <w:tabs>
        <w:tab w:val="right" w:leader="dot" w:pos="8296"/>
      </w:tabs>
      <w:ind w:firstLine="560"/>
      <w:jc w:val="right"/>
    </w:pPr>
  </w:style>
  <w:style w:type="character" w:styleId="17">
    <w:name w:val="Strong"/>
    <w:basedOn w:val="16"/>
    <w:qFormat/>
    <w:uiPriority w:val="22"/>
    <w:rPr>
      <w:b/>
      <w:bCs/>
    </w:rPr>
  </w:style>
  <w:style w:type="character" w:styleId="18">
    <w:name w:val="Hyperlink"/>
    <w:basedOn w:val="16"/>
    <w:unhideWhenUsed/>
    <w:qFormat/>
    <w:uiPriority w:val="99"/>
    <w:rPr>
      <w:color w:val="0563C1" w:themeColor="hyperlink"/>
      <w:u w:val="single"/>
      <w14:textFill>
        <w14:solidFill>
          <w14:schemeClr w14:val="hlink"/>
        </w14:solidFill>
      </w14:textFill>
    </w:rPr>
  </w:style>
  <w:style w:type="character" w:styleId="19">
    <w:name w:val="annotation reference"/>
    <w:basedOn w:val="16"/>
    <w:unhideWhenUsed/>
    <w:qFormat/>
    <w:uiPriority w:val="99"/>
    <w:rPr>
      <w:sz w:val="21"/>
      <w:szCs w:val="21"/>
    </w:rPr>
  </w:style>
  <w:style w:type="character" w:styleId="20">
    <w:name w:val="footnote reference"/>
    <w:basedOn w:val="16"/>
    <w:unhideWhenUsed/>
    <w:qFormat/>
    <w:uiPriority w:val="99"/>
    <w:rPr>
      <w:vertAlign w:val="superscript"/>
    </w:rPr>
  </w:style>
  <w:style w:type="table" w:styleId="22">
    <w:name w:val="Table Grid"/>
    <w:basedOn w:val="21"/>
    <w:qFormat/>
    <w:uiPriority w:val="39"/>
    <w:pPr>
      <w:spacing w:line="300" w:lineRule="exact"/>
      <w:jc w:val="center"/>
    </w:pPr>
    <w:rPr>
      <w:rFonts w:ascii="Times New Roman" w:hAnsi="Times New Roman" w:eastAsia="仿宋_GB2312"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rPr>
      <w:tblHeader/>
    </w:trPr>
    <w:tcPr>
      <w:vAlign w:val="center"/>
    </w:tcPr>
  </w:style>
  <w:style w:type="character" w:customStyle="1" w:styleId="23">
    <w:name w:val="页眉 字符"/>
    <w:basedOn w:val="16"/>
    <w:link w:val="12"/>
    <w:qFormat/>
    <w:uiPriority w:val="99"/>
    <w:rPr>
      <w:sz w:val="18"/>
      <w:szCs w:val="18"/>
    </w:rPr>
  </w:style>
  <w:style w:type="character" w:customStyle="1" w:styleId="24">
    <w:name w:val="页脚 字符"/>
    <w:basedOn w:val="16"/>
    <w:link w:val="11"/>
    <w:qFormat/>
    <w:uiPriority w:val="99"/>
    <w:rPr>
      <w:sz w:val="18"/>
      <w:szCs w:val="18"/>
    </w:rPr>
  </w:style>
  <w:style w:type="character" w:customStyle="1" w:styleId="25">
    <w:name w:val="标题 1 字符"/>
    <w:basedOn w:val="16"/>
    <w:link w:val="4"/>
    <w:qFormat/>
    <w:uiPriority w:val="9"/>
    <w:rPr>
      <w:rFonts w:ascii="Times New Roman" w:hAnsi="Times New Roman" w:eastAsia="黑体"/>
      <w:b/>
      <w:bCs/>
      <w:kern w:val="44"/>
      <w:sz w:val="32"/>
      <w:szCs w:val="44"/>
    </w:rPr>
  </w:style>
  <w:style w:type="character" w:customStyle="1" w:styleId="26">
    <w:name w:val="标题 2 字符"/>
    <w:basedOn w:val="16"/>
    <w:link w:val="5"/>
    <w:qFormat/>
    <w:uiPriority w:val="9"/>
    <w:rPr>
      <w:rFonts w:eastAsia="仿宋_GB2312" w:asciiTheme="majorHAnsi" w:hAnsiTheme="majorHAnsi" w:cstheme="majorBidi"/>
      <w:b/>
      <w:bCs/>
      <w:sz w:val="28"/>
      <w:szCs w:val="32"/>
    </w:rPr>
  </w:style>
  <w:style w:type="character" w:customStyle="1" w:styleId="27">
    <w:name w:val="标题 3 字符"/>
    <w:basedOn w:val="16"/>
    <w:link w:val="6"/>
    <w:qFormat/>
    <w:uiPriority w:val="9"/>
    <w:rPr>
      <w:rFonts w:ascii="Times New Roman" w:hAnsi="Times New Roman" w:eastAsia="仿宋_GB2312"/>
      <w:bCs/>
      <w:sz w:val="28"/>
      <w:szCs w:val="32"/>
    </w:rPr>
  </w:style>
  <w:style w:type="paragraph" w:customStyle="1" w:styleId="2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闻政正文"/>
    <w:basedOn w:val="1"/>
    <w:link w:val="30"/>
    <w:qFormat/>
    <w:uiPriority w:val="0"/>
    <w:rPr>
      <w:rFonts w:cs="Times New Roman"/>
      <w:kern w:val="0"/>
      <w:szCs w:val="28"/>
      <w:lang w:val="zh-CN"/>
    </w:rPr>
  </w:style>
  <w:style w:type="character" w:customStyle="1" w:styleId="30">
    <w:name w:val="闻政正文 Char"/>
    <w:link w:val="29"/>
    <w:qFormat/>
    <w:uiPriority w:val="0"/>
    <w:rPr>
      <w:rFonts w:ascii="Times New Roman" w:hAnsi="Times New Roman" w:eastAsia="仿宋_GB2312" w:cs="Times New Roman"/>
      <w:kern w:val="0"/>
      <w:sz w:val="28"/>
      <w:szCs w:val="28"/>
      <w:lang w:val="zh-CN" w:eastAsia="zh-CN"/>
    </w:rPr>
  </w:style>
  <w:style w:type="paragraph" w:customStyle="1" w:styleId="31">
    <w:name w:val="闻政图表名"/>
    <w:basedOn w:val="1"/>
    <w:link w:val="32"/>
    <w:qFormat/>
    <w:uiPriority w:val="4"/>
    <w:pPr>
      <w:spacing w:before="60" w:after="60" w:line="240" w:lineRule="auto"/>
      <w:ind w:firstLine="0" w:firstLineChars="0"/>
      <w:jc w:val="center"/>
    </w:pPr>
    <w:rPr>
      <w:rFonts w:cs="Times New Roman"/>
      <w:b/>
      <w:kern w:val="0"/>
      <w:sz w:val="24"/>
      <w:szCs w:val="28"/>
    </w:rPr>
  </w:style>
  <w:style w:type="character" w:customStyle="1" w:styleId="32">
    <w:name w:val="闻政图表名 字符"/>
    <w:link w:val="31"/>
    <w:qFormat/>
    <w:uiPriority w:val="4"/>
    <w:rPr>
      <w:rFonts w:ascii="Times New Roman" w:hAnsi="Times New Roman" w:eastAsia="仿宋_GB2312" w:cs="Times New Roman"/>
      <w:b/>
      <w:kern w:val="0"/>
      <w:sz w:val="24"/>
      <w:szCs w:val="28"/>
    </w:rPr>
  </w:style>
  <w:style w:type="paragraph" w:customStyle="1" w:styleId="33">
    <w:name w:val="闻政表文字"/>
    <w:basedOn w:val="29"/>
    <w:link w:val="34"/>
    <w:qFormat/>
    <w:uiPriority w:val="5"/>
    <w:pPr>
      <w:widowControl/>
      <w:spacing w:line="320" w:lineRule="exact"/>
      <w:ind w:firstLine="0" w:firstLineChars="0"/>
      <w:jc w:val="center"/>
    </w:pPr>
    <w:rPr>
      <w:rFonts w:cs="宋体"/>
      <w:bCs/>
      <w:color w:val="000000"/>
      <w:sz w:val="22"/>
    </w:rPr>
  </w:style>
  <w:style w:type="character" w:customStyle="1" w:styleId="34">
    <w:name w:val="闻政表文字 字符"/>
    <w:basedOn w:val="30"/>
    <w:link w:val="33"/>
    <w:qFormat/>
    <w:uiPriority w:val="5"/>
    <w:rPr>
      <w:rFonts w:ascii="Times New Roman" w:hAnsi="Times New Roman" w:eastAsia="仿宋_GB2312" w:cs="宋体"/>
      <w:bCs/>
      <w:color w:val="000000"/>
      <w:kern w:val="0"/>
      <w:sz w:val="22"/>
      <w:szCs w:val="28"/>
      <w:lang w:val="zh-CN" w:eastAsia="zh-CN"/>
    </w:rPr>
  </w:style>
  <w:style w:type="character" w:customStyle="1" w:styleId="35">
    <w:name w:val="批注文字 字符"/>
    <w:basedOn w:val="16"/>
    <w:link w:val="9"/>
    <w:semiHidden/>
    <w:qFormat/>
    <w:uiPriority w:val="99"/>
    <w:rPr>
      <w:rFonts w:ascii="Times New Roman" w:hAnsi="Times New Roman" w:eastAsia="仿宋_GB2312"/>
      <w:sz w:val="28"/>
    </w:rPr>
  </w:style>
  <w:style w:type="character" w:customStyle="1" w:styleId="36">
    <w:name w:val="批注主题 字符"/>
    <w:basedOn w:val="35"/>
    <w:link w:val="8"/>
    <w:semiHidden/>
    <w:qFormat/>
    <w:uiPriority w:val="99"/>
    <w:rPr>
      <w:rFonts w:ascii="Times New Roman" w:hAnsi="Times New Roman" w:eastAsia="仿宋_GB2312"/>
      <w:b/>
      <w:bCs/>
      <w:sz w:val="28"/>
    </w:rPr>
  </w:style>
  <w:style w:type="paragraph" w:customStyle="1" w:styleId="37">
    <w:name w:val="List Paragraph"/>
    <w:basedOn w:val="1"/>
    <w:qFormat/>
    <w:uiPriority w:val="34"/>
    <w:pPr>
      <w:ind w:firstLine="420"/>
    </w:pPr>
  </w:style>
  <w:style w:type="character" w:customStyle="1" w:styleId="38">
    <w:name w:val="标题 4 字符"/>
    <w:basedOn w:val="16"/>
    <w:link w:val="7"/>
    <w:qFormat/>
    <w:uiPriority w:val="9"/>
    <w:rPr>
      <w:rFonts w:ascii="Times New Roman" w:hAnsi="Times New Roman" w:eastAsia="仿宋_GB2312" w:cstheme="majorBidi"/>
      <w:bCs/>
      <w:sz w:val="28"/>
      <w:szCs w:val="28"/>
    </w:rPr>
  </w:style>
  <w:style w:type="character" w:customStyle="1" w:styleId="39">
    <w:name w:val="font01"/>
    <w:qFormat/>
    <w:uiPriority w:val="0"/>
    <w:rPr>
      <w:rFonts w:ascii="仿宋_GB2312" w:eastAsia="仿宋_GB2312" w:cs="仿宋_GB2312"/>
      <w:color w:val="000000"/>
      <w:sz w:val="20"/>
      <w:szCs w:val="20"/>
      <w:u w:val="none"/>
    </w:rPr>
  </w:style>
  <w:style w:type="table" w:customStyle="1" w:styleId="40">
    <w:name w:val="网格型1"/>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1">
    <w:name w:val="批注框文本 字符"/>
    <w:basedOn w:val="16"/>
    <w:link w:val="10"/>
    <w:semiHidden/>
    <w:qFormat/>
    <w:uiPriority w:val="99"/>
    <w:rPr>
      <w:rFonts w:ascii="Times New Roman" w:hAnsi="Times New Roman" w:eastAsia="仿宋_GB2312"/>
      <w:sz w:val="18"/>
      <w:szCs w:val="18"/>
    </w:rPr>
  </w:style>
  <w:style w:type="paragraph" w:customStyle="1" w:styleId="42">
    <w:name w:val="修订1"/>
    <w:hidden/>
    <w:semiHidden/>
    <w:qFormat/>
    <w:uiPriority w:val="99"/>
    <w:rPr>
      <w:rFonts w:ascii="Times New Roman" w:hAnsi="Times New Roman" w:eastAsia="仿宋_GB2312" w:cstheme="minorBidi"/>
      <w:kern w:val="2"/>
      <w:sz w:val="28"/>
      <w:szCs w:val="22"/>
      <w:lang w:val="en-US" w:eastAsia="zh-CN" w:bidi="ar-SA"/>
    </w:rPr>
  </w:style>
  <w:style w:type="table" w:customStyle="1" w:styleId="43">
    <w:name w:val="网格型2"/>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4">
    <w:name w:val="脚注文本 字符"/>
    <w:basedOn w:val="16"/>
    <w:link w:val="14"/>
    <w:semiHidden/>
    <w:qFormat/>
    <w:uiPriority w:val="99"/>
    <w:rPr>
      <w:rFonts w:ascii="Times New Roman" w:hAnsi="Times New Roman" w:eastAsia="仿宋_GB2312"/>
      <w:sz w:val="18"/>
      <w:szCs w:val="18"/>
    </w:rPr>
  </w:style>
  <w:style w:type="paragraph" w:customStyle="1" w:styleId="45">
    <w:name w:val="闻政附件标题"/>
    <w:basedOn w:val="1"/>
    <w:qFormat/>
    <w:uiPriority w:val="6"/>
    <w:pPr>
      <w:spacing w:before="120" w:after="60" w:line="240" w:lineRule="auto"/>
      <w:ind w:firstLine="0" w:firstLineChars="0"/>
      <w:outlineLvl w:val="0"/>
    </w:pPr>
    <w:rPr>
      <w:rFonts w:eastAsia="黑体" w:cs="Times New Roman"/>
      <w:b/>
      <w:kern w:val="0"/>
      <w:sz w:val="32"/>
      <w:szCs w:val="28"/>
      <w:lang w:val="zh-CN"/>
    </w:rPr>
  </w:style>
  <w:style w:type="paragraph" w:customStyle="1" w:styleId="46">
    <w:name w:val="闻政附件正文"/>
    <w:basedOn w:val="1"/>
    <w:qFormat/>
    <w:uiPriority w:val="6"/>
    <w:rPr>
      <w:rFonts w:cs="Times New Roman"/>
      <w:kern w:val="0"/>
      <w:sz w:val="24"/>
      <w:szCs w:val="28"/>
      <w:lang w:val="zh-CN"/>
    </w:rPr>
  </w:style>
  <w:style w:type="table" w:customStyle="1" w:styleId="47">
    <w:name w:val="网格型3"/>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png"/><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27685</Words>
  <Characters>31265</Characters>
  <Lines>253</Lines>
  <Paragraphs>71</Paragraphs>
  <ScaleCrop>false</ScaleCrop>
  <LinksUpToDate>false</LinksUpToDate>
  <CharactersWithSpaces>31606</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2022-08-11T19:12:00Z</dcterms:created>
  <dc:creator>程敏</dc:creator>
  <cp:lastModifiedBy>Administrator</cp:lastModifiedBy>
  <dcterms:modified xsi:type="dcterms:W3CDTF">2025-06-25T01:49:20Z</dcterms:modified>
  <cp:revision>3935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C91FE3F168EA49A6ADC610B0AC8B2345_13</vt:lpwstr>
  </property>
</Properties>
</file>