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textAlignment w:val="auto"/>
        <w:outlineLvl w:val="9"/>
        <w:rPr>
          <w:rFonts w:hint="eastAsia" w:ascii="宋体" w:hAnsi="宋体"/>
          <w:color w:val="FF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宋体" w:hAnsi="宋体" w:eastAsia="仿宋_GB2312" w:cs="仿宋_GB2312"/>
          <w:b w:val="0"/>
          <w:bCs w:val="0"/>
          <w:sz w:val="32"/>
          <w:szCs w:val="32"/>
          <w:lang w:eastAsia="zh-CN"/>
        </w:rPr>
      </w:pPr>
      <w:bookmarkStart w:id="0" w:name="_GoBack"/>
      <w:bookmarkEnd w:id="0"/>
      <w:r>
        <w:rPr>
          <w:rFonts w:hint="eastAsia" w:ascii="宋体" w:hAnsi="宋体" w:eastAsia="仿宋_GB2312" w:cs="仿宋_GB2312"/>
          <w:b w:val="0"/>
          <w:bCs w:val="0"/>
          <w:sz w:val="32"/>
          <w:szCs w:val="32"/>
          <w:lang w:eastAsia="zh-CN"/>
        </w:rPr>
        <w:t>附件：</w:t>
      </w:r>
    </w:p>
    <w:p>
      <w:pPr>
        <w:keepNext w:val="0"/>
        <w:keepLines w:val="0"/>
        <w:pageBreakBefore w:val="0"/>
        <w:widowControl w:val="0"/>
        <w:kinsoku/>
        <w:wordWrap/>
        <w:overflowPunct/>
        <w:topLinePunct w:val="0"/>
        <w:autoSpaceDE/>
        <w:autoSpaceDN/>
        <w:bidi w:val="0"/>
        <w:snapToGrid/>
        <w:spacing w:line="580" w:lineRule="exact"/>
        <w:ind w:right="0" w:rightChars="0"/>
        <w:jc w:val="both"/>
        <w:textAlignment w:val="auto"/>
        <w:outlineLvl w:val="9"/>
        <w:rPr>
          <w:rFonts w:hint="eastAsia" w:ascii="宋体" w:hAnsi="宋体"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rPr>
          <w:rFonts w:hint="eastAsia" w:ascii="宋体" w:hAnsi="宋体" w:eastAsia="方正小标宋简体" w:cs="方正小标宋简体"/>
          <w:b w:val="0"/>
          <w:bCs/>
          <w:color w:val="auto"/>
          <w:sz w:val="44"/>
          <w:szCs w:val="44"/>
        </w:rPr>
      </w:pPr>
      <w:r>
        <w:rPr>
          <w:rFonts w:hint="eastAsia" w:ascii="宋体" w:hAnsi="宋体" w:eastAsia="方正小标宋简体" w:cs="方正小标宋简体"/>
          <w:b w:val="0"/>
          <w:bCs/>
          <w:color w:val="auto"/>
          <w:sz w:val="44"/>
          <w:szCs w:val="44"/>
          <w:lang w:eastAsia="zh-CN"/>
        </w:rPr>
        <w:t>吉林</w:t>
      </w:r>
      <w:r>
        <w:rPr>
          <w:rFonts w:hint="eastAsia" w:ascii="宋体" w:hAnsi="宋体" w:eastAsia="方正小标宋简体" w:cs="方正小标宋简体"/>
          <w:b w:val="0"/>
          <w:bCs/>
          <w:color w:val="auto"/>
          <w:sz w:val="44"/>
          <w:szCs w:val="44"/>
        </w:rPr>
        <w:t>省财政厅</w:t>
      </w:r>
      <w:r>
        <w:rPr>
          <w:rFonts w:hint="eastAsia" w:ascii="宋体" w:hAnsi="宋体" w:eastAsia="方正小标宋简体" w:cs="方正小标宋简体"/>
          <w:b w:val="0"/>
          <w:bCs/>
          <w:color w:val="auto"/>
          <w:sz w:val="44"/>
          <w:szCs w:val="44"/>
          <w:lang w:eastAsia="zh-CN"/>
        </w:rPr>
        <w:t>农村</w:t>
      </w:r>
      <w:r>
        <w:rPr>
          <w:rFonts w:hint="eastAsia" w:ascii="宋体" w:hAnsi="宋体" w:eastAsia="方正小标宋简体" w:cs="方正小标宋简体"/>
          <w:b w:val="0"/>
          <w:bCs/>
          <w:color w:val="auto"/>
          <w:sz w:val="44"/>
          <w:szCs w:val="44"/>
        </w:rPr>
        <w:t>处20</w:t>
      </w:r>
      <w:r>
        <w:rPr>
          <w:rFonts w:hint="eastAsia" w:ascii="宋体" w:hAnsi="宋体" w:eastAsia="方正小标宋简体" w:cs="方正小标宋简体"/>
          <w:b w:val="0"/>
          <w:bCs/>
          <w:color w:val="auto"/>
          <w:sz w:val="44"/>
          <w:szCs w:val="44"/>
          <w:lang w:val="en-US" w:eastAsia="zh-CN"/>
        </w:rPr>
        <w:t>20</w:t>
      </w:r>
      <w:r>
        <w:rPr>
          <w:rFonts w:hint="eastAsia" w:ascii="宋体" w:hAnsi="宋体" w:eastAsia="方正小标宋简体" w:cs="方正小标宋简体"/>
          <w:b w:val="0"/>
          <w:bCs/>
          <w:color w:val="auto"/>
          <w:sz w:val="44"/>
          <w:szCs w:val="44"/>
        </w:rPr>
        <w:t>年工作要点</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260" w:firstLineChars="200"/>
        <w:textAlignment w:val="auto"/>
        <w:rPr>
          <w:rFonts w:ascii="宋体" w:hAnsi="宋体" w:eastAsia="仿宋_GB2312"/>
          <w:color w:val="000080"/>
          <w:sz w:val="13"/>
          <w:szCs w:val="13"/>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30"/>
        <w:jc w:val="both"/>
        <w:textAlignment w:val="auto"/>
        <w:outlineLvl w:val="9"/>
        <w:rPr>
          <w:rFonts w:hint="eastAsia" w:ascii="宋体" w:hAnsi="宋体" w:eastAsia="仿宋_GB2312"/>
          <w:b w:val="0"/>
          <w:bCs w:val="0"/>
          <w:color w:val="0000FF"/>
          <w:sz w:val="32"/>
          <w:szCs w:val="32"/>
          <w:lang w:val="en-US" w:eastAsia="zh-CN"/>
        </w:rPr>
      </w:pPr>
      <w:r>
        <w:rPr>
          <w:rFonts w:hint="eastAsia" w:ascii="宋体" w:hAnsi="宋体" w:eastAsia="仿宋_GB2312" w:cs="仿宋_GB2312"/>
          <w:b w:val="0"/>
          <w:bCs w:val="0"/>
          <w:sz w:val="32"/>
          <w:szCs w:val="32"/>
        </w:rPr>
        <w:t>20</w:t>
      </w:r>
      <w:r>
        <w:rPr>
          <w:rFonts w:hint="eastAsia" w:ascii="宋体" w:hAnsi="宋体" w:eastAsia="仿宋_GB2312" w:cs="仿宋_GB2312"/>
          <w:b w:val="0"/>
          <w:bCs w:val="0"/>
          <w:sz w:val="32"/>
          <w:szCs w:val="32"/>
          <w:lang w:val="en-US" w:eastAsia="zh-CN"/>
        </w:rPr>
        <w:t>20</w:t>
      </w:r>
      <w:r>
        <w:rPr>
          <w:rFonts w:hint="eastAsia" w:ascii="宋体" w:hAnsi="宋体" w:eastAsia="仿宋_GB2312" w:cs="仿宋_GB2312"/>
          <w:b w:val="0"/>
          <w:bCs w:val="0"/>
          <w:sz w:val="32"/>
          <w:szCs w:val="32"/>
        </w:rPr>
        <w:t>年，</w:t>
      </w:r>
      <w:r>
        <w:rPr>
          <w:rFonts w:hint="eastAsia" w:ascii="宋体" w:hAnsi="宋体" w:eastAsia="仿宋_GB2312" w:cs="仿宋_GB2312"/>
          <w:b w:val="0"/>
          <w:bCs w:val="0"/>
          <w:sz w:val="32"/>
          <w:szCs w:val="32"/>
          <w:lang w:eastAsia="zh-CN"/>
        </w:rPr>
        <w:t>省财政厅农村处以习近平新时代中国特色社会主义思想为指导，认真贯彻全省农村工作会议、财政工作会议精神，紧紧</w:t>
      </w:r>
      <w:r>
        <w:rPr>
          <w:rFonts w:hint="eastAsia" w:ascii="宋体" w:hAnsi="宋体" w:eastAsia="仿宋_GB2312"/>
          <w:b w:val="0"/>
          <w:bCs w:val="0"/>
          <w:sz w:val="32"/>
          <w:szCs w:val="32"/>
          <w:lang w:val="en-US" w:eastAsia="zh-CN"/>
        </w:rPr>
        <w:t>围绕实施乡村振兴战略总要求，坚持农业农村优先发展，完善政策措施，健全保障机制，突出工作重点，规范资金管理，强化政治担当，加快补齐全面小康“三农”领域短板，为农村社会事业发展提供内在动力和发展活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一、强化措施，提高农村综合改革质量效益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（一）扎实推进美丽乡村建设提档升级。</w:t>
      </w:r>
      <w:r>
        <w:rPr>
          <w:rFonts w:hint="eastAsia" w:ascii="宋体" w:hAnsi="宋体" w:eastAsia="仿宋_GB2312"/>
          <w:sz w:val="32"/>
          <w:szCs w:val="32"/>
          <w:lang w:eastAsia="zh-CN"/>
        </w:rPr>
        <w:t>在美丽乡村试点建设取得成功经验的基础上，从建设美、经营美、传承美“三美”同步入手，把握好乡村“美”的综合性、价值性、传承性特质，支持有条件的地区推进美丽乡村提档升级，打造一批</w:t>
      </w:r>
      <w:r>
        <w:rPr>
          <w:rFonts w:hint="eastAsia" w:ascii="宋体" w:hAnsi="宋体" w:eastAsia="仿宋_GB2312"/>
          <w:sz w:val="32"/>
          <w:szCs w:val="32"/>
          <w:lang w:val="en-US" w:eastAsia="zh-CN"/>
        </w:rPr>
        <w:t>各具特色、各具其美的富有吉林乡土气息、东北韵味的美丽乡村，为完成农业农村改革发展阶段性任务,推进乡村振兴打好坚实基础。</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eastAsia="楷体_GB2312" w:cs="楷体_GB2312"/>
          <w:sz w:val="32"/>
          <w:szCs w:val="32"/>
          <w:lang w:val="en-US" w:eastAsia="zh-CN"/>
        </w:rPr>
        <w:t>（二）有序开展农村公益事业财政奖补。</w:t>
      </w:r>
      <w:r>
        <w:rPr>
          <w:rFonts w:hint="eastAsia" w:ascii="仿宋_GB2312" w:hAnsi="仿宋_GB2312" w:eastAsia="仿宋_GB2312" w:cs="仿宋_GB2312"/>
          <w:sz w:val="32"/>
          <w:szCs w:val="32"/>
          <w:lang w:val="en-US" w:eastAsia="zh-CN"/>
        </w:rPr>
        <w:t>根据国家农村综合改革重点任务安排，发挥村级公益事业村民民主议事机制作用，加强农村公益事业财政奖补项目建设政府引导，逐步解决农民最急需的村内公益性项目。推动各地依据资金绩效管理办法，抓好资金项目组织实施，绩效管理等工作，切实加快项目实施进度，提升项目建设质量。</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eastAsia="楷体_GB2312" w:cs="楷体_GB2312"/>
          <w:sz w:val="32"/>
          <w:szCs w:val="32"/>
          <w:lang w:val="en-US" w:eastAsia="zh-CN"/>
        </w:rPr>
        <w:t>（三）积极扶持壮大村级集体经济。</w:t>
      </w:r>
      <w:r>
        <w:rPr>
          <w:rFonts w:hint="eastAsia" w:ascii="宋体" w:hAnsi="宋体" w:eastAsia="仿宋_GB2312" w:cs="仿宋_GB2312"/>
          <w:sz w:val="32"/>
          <w:szCs w:val="32"/>
          <w:lang w:val="en-US" w:eastAsia="zh-CN"/>
        </w:rPr>
        <w:t>认真落实国家关于扶持壮大村级集体经济发展的指导意见，根据国家下达的扶持村级集体经济指标任务和要求，研究细化财政支持政策，筹措安排配套资金，规范项目资金管理，支持行政村因地制宜探索资源有效利用、提供服务、物业管理、混合经营等多种集体经济实现形式，增强村级集体经济实力，提高村级集体自我发展和保障能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宋体" w:hAnsi="宋体" w:eastAsia="黑体"/>
          <w:sz w:val="32"/>
          <w:szCs w:val="32"/>
          <w:lang w:val="en-US" w:eastAsia="zh-CN"/>
        </w:rPr>
      </w:pPr>
      <w:r>
        <w:rPr>
          <w:rFonts w:hint="eastAsia" w:ascii="宋体" w:hAnsi="宋体" w:eastAsia="黑体"/>
          <w:sz w:val="32"/>
          <w:szCs w:val="32"/>
          <w:lang w:val="en-US" w:eastAsia="zh-CN"/>
        </w:rPr>
        <w:t>二、持续发力，支持</w:t>
      </w:r>
      <w:r>
        <w:rPr>
          <w:rFonts w:ascii="黑体" w:hAnsi="宋体" w:eastAsia="黑体" w:cs="黑体"/>
          <w:color w:val="010101"/>
          <w:sz w:val="32"/>
          <w:szCs w:val="32"/>
        </w:rPr>
        <w:t>打好农村人居环境整治攻坚战</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楷体_GB2312" w:cs="楷体_GB2312"/>
          <w:sz w:val="32"/>
          <w:szCs w:val="32"/>
          <w:lang w:val="en-US" w:eastAsia="zh-CN"/>
        </w:rPr>
        <w:t>（四）深入支持农村厕所革命“整村推进”</w:t>
      </w:r>
      <w:r>
        <w:rPr>
          <w:rFonts w:hint="eastAsia" w:ascii="宋体" w:hAnsi="宋体" w:eastAsia="仿宋_GB2312" w:cs="仿宋_GB2312"/>
          <w:sz w:val="32"/>
          <w:szCs w:val="32"/>
          <w:lang w:val="en-US" w:eastAsia="zh-CN"/>
        </w:rPr>
        <w:t>。按照国家和省委省政府关于开展农村“厕所革命”整村推进财政奖补工作要求，针对农村厕所改造绩效完成情况和年度目标任务，树立财政支持农村户用卫生厕所改造新理念，完善财政保障政策，科学安排奖补资金，切实发挥市县主体作用，支持农民自愿改厕、科学选择改厕模式，采取先建后补、以奖代补等方式分类推进农村厕所革命，解决农民群众最真切的民生痛点，促进农村民生事业稳步推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宋体" w:hAnsi="宋体" w:eastAsia="仿宋_GB2312"/>
          <w:sz w:val="32"/>
          <w:szCs w:val="32"/>
          <w:lang w:val="en-US" w:eastAsia="zh-CN"/>
        </w:rPr>
      </w:pPr>
      <w:r>
        <w:rPr>
          <w:rFonts w:hint="eastAsia" w:ascii="宋体" w:hAnsi="宋体" w:eastAsia="楷体_GB2312" w:cs="楷体_GB2312"/>
          <w:sz w:val="32"/>
          <w:szCs w:val="32"/>
          <w:lang w:val="en-US" w:eastAsia="zh-CN"/>
        </w:rPr>
        <w:t>（五）大力推进农村人居环境“万村整治”。</w:t>
      </w:r>
      <w:r>
        <w:rPr>
          <w:rFonts w:hint="eastAsia" w:ascii="宋体" w:hAnsi="宋体" w:eastAsia="仿宋_GB2312" w:cs="仿宋_GB2312"/>
          <w:sz w:val="32"/>
          <w:szCs w:val="32"/>
          <w:lang w:val="en-US" w:eastAsia="zh-CN"/>
        </w:rPr>
        <w:t>深入贯彻落实《吉林省农村人居环境整治三年行动方案》，积极筹措安排省级奖补资金，重点支持农村村内生活垃圾、污水治理、村庄清洁行动等农村人居环境整治任务。鼓励市县区分支持对象和工作重点，补齐影响农民群众生产生活的短板，夯实乡村振兴基础。同时以推动农村人居环境整治为切入点，助力构筑农村疫情防线，巩固疫情防控积极向好态势，为打赢疫情防控阻击战提供有力支撑。</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黑体"/>
          <w:sz w:val="32"/>
          <w:szCs w:val="32"/>
          <w:lang w:val="en-US" w:eastAsia="zh-CN"/>
        </w:rPr>
      </w:pPr>
      <w:r>
        <w:rPr>
          <w:rFonts w:hint="eastAsia" w:ascii="宋体" w:hAnsi="宋体" w:eastAsia="黑体"/>
          <w:sz w:val="32"/>
          <w:szCs w:val="32"/>
          <w:lang w:val="en-US" w:eastAsia="zh-CN"/>
        </w:rPr>
        <w:t>三、精细管理，推进乡镇财政规范化建设</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楷体_GB2312" w:cs="楷体_GB2312"/>
          <w:sz w:val="32"/>
          <w:szCs w:val="32"/>
          <w:lang w:val="en-US" w:eastAsia="zh-CN"/>
        </w:rPr>
        <w:t>（六）深入推进乡镇财政精细化管理。</w:t>
      </w:r>
      <w:r>
        <w:rPr>
          <w:rFonts w:hint="eastAsia" w:ascii="宋体" w:hAnsi="宋体" w:eastAsia="仿宋_GB2312" w:cs="仿宋_GB2312"/>
          <w:sz w:val="32"/>
          <w:szCs w:val="32"/>
          <w:lang w:val="en-US" w:eastAsia="zh-CN"/>
        </w:rPr>
        <w:t>指导市县深化标准化财政所建设工作，规范开展乡镇财政财务管理，注重将乡镇财政管理信息系统应用规范化、常态化。提高全省乡镇财政管理机构运用管理信息系统能力，推动乡镇财政机构线上开展财政业务管理、乡镇财政基础信息更新维护、乡镇财政资金监管、在线业务培训及乡镇财政基本信息编报等工作，不断提升乡镇财政管理水平，</w:t>
      </w:r>
      <w:r>
        <w:rPr>
          <w:rFonts w:hint="eastAsia" w:ascii="宋体" w:hAnsi="宋体" w:eastAsia="仿宋_GB2312" w:cs="宋体"/>
          <w:sz w:val="32"/>
          <w:szCs w:val="32"/>
          <w:lang w:val="en-US" w:eastAsia="zh-CN"/>
        </w:rPr>
        <w:t>打牢乡镇财政建设基础</w:t>
      </w:r>
      <w:r>
        <w:rPr>
          <w:rFonts w:hint="eastAsia" w:ascii="宋体" w:hAnsi="宋体" w:eastAsia="仿宋_GB2312" w:cs="仿宋_GB2312"/>
          <w:sz w:val="32"/>
          <w:szCs w:val="32"/>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（七）大力开展乡镇财政干部培训工作。</w:t>
      </w:r>
      <w:r>
        <w:rPr>
          <w:rFonts w:hint="eastAsia" w:ascii="宋体" w:hAnsi="宋体" w:eastAsia="仿宋_GB2312" w:cs="仿宋_GB2312"/>
          <w:sz w:val="32"/>
          <w:szCs w:val="32"/>
          <w:lang w:val="en-US" w:eastAsia="zh-CN"/>
        </w:rPr>
        <w:t>按照《吉林省2018-2020年乡镇财政干部培训方案》要求，省财政将紧跟新形势下中央和省对乡镇财政干部能力素质要求，采用网络培训方式，组织骨干师资力量，制作形式多样的高品质课程，扎实推进乡镇财政财务管理培训、财政支农培训、乡镇财政资金监管培训等工作。并指导县市统筹抓好乡镇财政干部培训，不断提升乡镇财政干部综合素质，提高基层财政干部公共服务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黑体"/>
          <w:sz w:val="32"/>
          <w:szCs w:val="32"/>
          <w:lang w:val="en-US" w:eastAsia="zh-CN"/>
        </w:rPr>
      </w:pPr>
      <w:r>
        <w:rPr>
          <w:rFonts w:hint="eastAsia" w:ascii="宋体" w:hAnsi="宋体" w:eastAsia="黑体"/>
          <w:sz w:val="32"/>
          <w:szCs w:val="32"/>
          <w:lang w:val="en-US" w:eastAsia="zh-CN"/>
        </w:rPr>
        <w:t>四、注重实效，着力推进党支部标准化规范化建设</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lang w:eastAsia="zh-CN"/>
        </w:rPr>
        <w:t>（八）强化理论武装</w:t>
      </w:r>
      <w:r>
        <w:rPr>
          <w:rFonts w:hint="eastAsia" w:ascii="宋体" w:hAnsi="宋体" w:eastAsia="楷体_GB2312" w:cs="楷体_GB2312"/>
          <w:sz w:val="32"/>
          <w:szCs w:val="32"/>
        </w:rPr>
        <w:t>。</w:t>
      </w:r>
      <w:r>
        <w:rPr>
          <w:rFonts w:hint="eastAsia" w:ascii="宋体" w:hAnsi="宋体" w:eastAsia="仿宋_GB2312" w:cs="仿宋_GB2312"/>
          <w:sz w:val="32"/>
          <w:szCs w:val="32"/>
          <w:lang w:eastAsia="zh-CN"/>
        </w:rPr>
        <w:t>坚持把思想建党放在突出位置。持续用习近平新时代中国特色社会主义思想武装头脑，指导工作，推动实践，跟进学习习近平最新讲话精神，不断增强“四个意识”，坚定“四个自信”，推进理论学习走深走实。以“三会一课”、主题党日等活动为载体，将</w:t>
      </w:r>
      <w:r>
        <w:rPr>
          <w:rFonts w:hint="eastAsia" w:ascii="宋体" w:hAnsi="宋体" w:eastAsia="仿宋_GB2312" w:cs="仿宋_GB2312"/>
          <w:kern w:val="2"/>
          <w:sz w:val="32"/>
          <w:szCs w:val="32"/>
          <w:lang w:val="en-US" w:eastAsia="zh-CN" w:bidi="ar-SA"/>
        </w:rPr>
        <w:t>“不忘初心、牢记使命”主题教育作</w:t>
      </w:r>
      <w:r>
        <w:rPr>
          <w:rFonts w:hint="eastAsia" w:ascii="仿宋_GB2312" w:hAnsi="仿宋_GB2312" w:eastAsia="仿宋_GB2312" w:cs="仿宋_GB2312"/>
          <w:sz w:val="32"/>
          <w:szCs w:val="32"/>
          <w:lang w:eastAsia="zh-CN"/>
        </w:rPr>
        <w:t>为加强和规范支部政治生活、加强党内监督的重要载体，常抓不懈，切实增强支部党员守初心、担使命的思想自觉和行动自觉。</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楷体_GB2312" w:cs="楷体_GB2312"/>
          <w:sz w:val="32"/>
          <w:szCs w:val="32"/>
          <w:lang w:eastAsia="zh-CN"/>
        </w:rPr>
        <w:t>（九）抓好廉政建设。</w:t>
      </w:r>
      <w:r>
        <w:rPr>
          <w:rFonts w:hint="eastAsia" w:ascii="宋体" w:hAnsi="宋体" w:eastAsia="仿宋_GB2312" w:cs="仿宋_GB2312"/>
          <w:sz w:val="32"/>
          <w:szCs w:val="32"/>
          <w:lang w:eastAsia="zh-CN"/>
        </w:rPr>
        <w:t>严守党的政治纪律和政治规矩，深入学习以党章为核心的党规党纪，落实党建主体责任，强化对权力运行的监督，深化拓展警示教育、以案促改等廉政教育方式，引导党员干部知敬畏，守底线，提高意识形态防控能力，增强抵御各种错误思潮侵袭的能力。修订完善农村处内部控制操作规程，推进内控体系建设迭代，有效防范化解业务风险和廉政风险。</w:t>
      </w:r>
    </w:p>
    <w:p>
      <w:pPr>
        <w:keepNext w:val="0"/>
        <w:keepLines w:val="0"/>
        <w:pageBreakBefore w:val="0"/>
        <w:widowControl w:val="0"/>
        <w:pBdr>
          <w:bottom w:val="single" w:color="FFFFFF" w:sz="4" w:space="31"/>
        </w:pBd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宋体" w:hAnsi="宋体" w:eastAsia="仿宋_GB2312" w:cs="宋体"/>
          <w:kern w:val="0"/>
          <w:sz w:val="32"/>
          <w:szCs w:val="32"/>
          <w:lang w:eastAsia="zh-CN"/>
        </w:rPr>
      </w:pPr>
      <w:r>
        <w:rPr>
          <w:rFonts w:hint="eastAsia" w:ascii="宋体" w:hAnsi="宋体" w:eastAsia="楷体_GB2312" w:cs="楷体_GB2312"/>
          <w:kern w:val="0"/>
          <w:sz w:val="32"/>
          <w:szCs w:val="32"/>
          <w:lang w:eastAsia="zh-CN"/>
        </w:rPr>
        <w:t>（十）持续改进作风。</w:t>
      </w:r>
      <w:r>
        <w:rPr>
          <w:rFonts w:hint="eastAsia" w:ascii="宋体" w:hAnsi="宋体" w:eastAsia="仿宋_GB2312" w:cs="仿宋_GB2312"/>
          <w:kern w:val="0"/>
          <w:sz w:val="32"/>
          <w:szCs w:val="32"/>
          <w:lang w:eastAsia="zh-CN"/>
        </w:rPr>
        <w:t>牢记作风建设永远在路上，深入贯彻落实中央八项规定及实施细则。大力弘扬担当实干精神，在做实做细服务中改进作风，推动各项工作始终坚持以农民群众对美好生活的向往为出发点和落脚点，以“三型”机关建设为抓手，不断在改进调查研究上聚力，在狠抓落实上发力，在服务基层上下功夫，时刻把为民服务的意识贯穿到实际工作中。</w:t>
      </w:r>
    </w:p>
    <w:p>
      <w:pPr>
        <w:keepNext w:val="0"/>
        <w:keepLines w:val="0"/>
        <w:pageBreakBefore w:val="0"/>
        <w:widowControl w:val="0"/>
        <w:kinsoku/>
        <w:wordWrap/>
        <w:overflowPunct/>
        <w:topLinePunct w:val="0"/>
        <w:autoSpaceDE/>
        <w:autoSpaceDN/>
        <w:bidi w:val="0"/>
        <w:snapToGrid/>
        <w:spacing w:line="560" w:lineRule="exact"/>
        <w:ind w:left="0" w:leftChars="0" w:right="0" w:rightChars="0"/>
        <w:jc w:val="both"/>
        <w:textAlignment w:val="auto"/>
        <w:outlineLvl w:val="9"/>
        <w:rPr>
          <w:rFonts w:ascii="宋体" w:hAnsi="宋体"/>
        </w:rPr>
      </w:pPr>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4"/>
                            </w:rPr>
                          </w:pPr>
                          <w:r>
                            <w:rPr>
                              <w:sz w:val="32"/>
                              <w:szCs w:val="32"/>
                            </w:rPr>
                            <w:fldChar w:fldCharType="begin"/>
                          </w:r>
                          <w:r>
                            <w:rPr>
                              <w:rStyle w:val="4"/>
                              <w:sz w:val="32"/>
                              <w:szCs w:val="32"/>
                            </w:rPr>
                            <w:instrText xml:space="preserve">PAGE  </w:instrText>
                          </w:r>
                          <w:r>
                            <w:rPr>
                              <w:sz w:val="32"/>
                              <w:szCs w:val="32"/>
                            </w:rPr>
                            <w:fldChar w:fldCharType="separate"/>
                          </w:r>
                          <w:r>
                            <w:rPr>
                              <w:rStyle w:val="4"/>
                              <w:sz w:val="32"/>
                              <w:szCs w:val="32"/>
                            </w:rPr>
                            <w:t>1</w:t>
                          </w:r>
                          <w:r>
                            <w:rPr>
                              <w:sz w:val="32"/>
                              <w:szCs w:val="32"/>
                            </w:rPr>
                            <w:fldChar w:fldCharType="end"/>
                          </w: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D+YZM0BAAB8AwAADgAAAAAAAAABACAAAAAeAQAAZHJzL2Uy&#10;b0RvYy54bWxQSwUGAAAAAAYABgBZAQAAXQUAAAAA&#10;">
              <v:fill on="f" focussize="0,0"/>
              <v:stroke on="f"/>
              <v:imagedata o:title=""/>
              <o:lock v:ext="edit" aspectratio="f"/>
              <v:textbox inset="0mm,0mm,0mm,0mm" style="mso-fit-shape-to-text:t;">
                <w:txbxContent>
                  <w:p>
                    <w:pPr>
                      <w:pStyle w:val="2"/>
                      <w:rPr>
                        <w:rStyle w:val="4"/>
                      </w:rPr>
                    </w:pPr>
                    <w:r>
                      <w:rPr>
                        <w:sz w:val="32"/>
                        <w:szCs w:val="32"/>
                      </w:rPr>
                      <w:fldChar w:fldCharType="begin"/>
                    </w:r>
                    <w:r>
                      <w:rPr>
                        <w:rStyle w:val="4"/>
                        <w:sz w:val="32"/>
                        <w:szCs w:val="32"/>
                      </w:rPr>
                      <w:instrText xml:space="preserve">PAGE  </w:instrText>
                    </w:r>
                    <w:r>
                      <w:rPr>
                        <w:sz w:val="32"/>
                        <w:szCs w:val="32"/>
                      </w:rPr>
                      <w:fldChar w:fldCharType="separate"/>
                    </w:r>
                    <w:r>
                      <w:rPr>
                        <w:rStyle w:val="4"/>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126"/>
    <w:rsid w:val="00074D83"/>
    <w:rsid w:val="00092DD0"/>
    <w:rsid w:val="000A401F"/>
    <w:rsid w:val="00107036"/>
    <w:rsid w:val="00133C10"/>
    <w:rsid w:val="00146ED5"/>
    <w:rsid w:val="0033171A"/>
    <w:rsid w:val="00352938"/>
    <w:rsid w:val="00366E23"/>
    <w:rsid w:val="00390310"/>
    <w:rsid w:val="00393C21"/>
    <w:rsid w:val="003B094E"/>
    <w:rsid w:val="003E10AB"/>
    <w:rsid w:val="003F6FBB"/>
    <w:rsid w:val="00425554"/>
    <w:rsid w:val="0044165B"/>
    <w:rsid w:val="00462A13"/>
    <w:rsid w:val="004653C8"/>
    <w:rsid w:val="0047300F"/>
    <w:rsid w:val="004B645A"/>
    <w:rsid w:val="00545CEF"/>
    <w:rsid w:val="00596C38"/>
    <w:rsid w:val="005B096A"/>
    <w:rsid w:val="006121C5"/>
    <w:rsid w:val="006448CD"/>
    <w:rsid w:val="006A6E79"/>
    <w:rsid w:val="006B7D6A"/>
    <w:rsid w:val="007243D0"/>
    <w:rsid w:val="00737606"/>
    <w:rsid w:val="007528E5"/>
    <w:rsid w:val="007D5AB8"/>
    <w:rsid w:val="00853896"/>
    <w:rsid w:val="008842DA"/>
    <w:rsid w:val="008866E9"/>
    <w:rsid w:val="00923217"/>
    <w:rsid w:val="00940C0C"/>
    <w:rsid w:val="009545E5"/>
    <w:rsid w:val="00980951"/>
    <w:rsid w:val="009A73F4"/>
    <w:rsid w:val="009F3B56"/>
    <w:rsid w:val="009F4F9E"/>
    <w:rsid w:val="00A338E5"/>
    <w:rsid w:val="00A44BED"/>
    <w:rsid w:val="00A628A8"/>
    <w:rsid w:val="00B2349B"/>
    <w:rsid w:val="00BD0549"/>
    <w:rsid w:val="00BE7AB4"/>
    <w:rsid w:val="00C31F7E"/>
    <w:rsid w:val="00CC4127"/>
    <w:rsid w:val="00CF25E1"/>
    <w:rsid w:val="00D00EAB"/>
    <w:rsid w:val="00D93FF3"/>
    <w:rsid w:val="00D94824"/>
    <w:rsid w:val="00D97E05"/>
    <w:rsid w:val="00DC3745"/>
    <w:rsid w:val="00DD5093"/>
    <w:rsid w:val="00DE3EEC"/>
    <w:rsid w:val="00DF2565"/>
    <w:rsid w:val="00E1547F"/>
    <w:rsid w:val="00E73512"/>
    <w:rsid w:val="00E94093"/>
    <w:rsid w:val="00EC33F2"/>
    <w:rsid w:val="00F3249F"/>
    <w:rsid w:val="01A27D7A"/>
    <w:rsid w:val="01D20D3D"/>
    <w:rsid w:val="03614AA3"/>
    <w:rsid w:val="04D9355B"/>
    <w:rsid w:val="04E1087B"/>
    <w:rsid w:val="057C0635"/>
    <w:rsid w:val="059D6700"/>
    <w:rsid w:val="08B845AD"/>
    <w:rsid w:val="08C9281F"/>
    <w:rsid w:val="08E578EA"/>
    <w:rsid w:val="090C0482"/>
    <w:rsid w:val="09265DB2"/>
    <w:rsid w:val="09DD2461"/>
    <w:rsid w:val="0D22009B"/>
    <w:rsid w:val="0D2507B8"/>
    <w:rsid w:val="0EF417DF"/>
    <w:rsid w:val="0FA66AE4"/>
    <w:rsid w:val="0FC444C1"/>
    <w:rsid w:val="0FE03FF0"/>
    <w:rsid w:val="10D579B3"/>
    <w:rsid w:val="12286BEC"/>
    <w:rsid w:val="12F10848"/>
    <w:rsid w:val="137C51F5"/>
    <w:rsid w:val="13FA5F5C"/>
    <w:rsid w:val="140233B4"/>
    <w:rsid w:val="143D5F53"/>
    <w:rsid w:val="14A330D4"/>
    <w:rsid w:val="151D0408"/>
    <w:rsid w:val="167B02BC"/>
    <w:rsid w:val="1B037A88"/>
    <w:rsid w:val="1B2661AB"/>
    <w:rsid w:val="1C0A4380"/>
    <w:rsid w:val="1D5A0ADB"/>
    <w:rsid w:val="1D841973"/>
    <w:rsid w:val="1E3F05BC"/>
    <w:rsid w:val="1EC04F07"/>
    <w:rsid w:val="1F4D3CAD"/>
    <w:rsid w:val="1F650001"/>
    <w:rsid w:val="1F744649"/>
    <w:rsid w:val="21D6380E"/>
    <w:rsid w:val="222D0220"/>
    <w:rsid w:val="234E438F"/>
    <w:rsid w:val="235B236D"/>
    <w:rsid w:val="241521CF"/>
    <w:rsid w:val="249B237B"/>
    <w:rsid w:val="24BA05AA"/>
    <w:rsid w:val="25BD2032"/>
    <w:rsid w:val="2615141D"/>
    <w:rsid w:val="26780334"/>
    <w:rsid w:val="26F764E8"/>
    <w:rsid w:val="292C5AC6"/>
    <w:rsid w:val="293B07E6"/>
    <w:rsid w:val="298E29EB"/>
    <w:rsid w:val="29A11F4F"/>
    <w:rsid w:val="2A2A05D6"/>
    <w:rsid w:val="2C124F74"/>
    <w:rsid w:val="2C86547A"/>
    <w:rsid w:val="2F1A0C00"/>
    <w:rsid w:val="2FF733F7"/>
    <w:rsid w:val="308E3B89"/>
    <w:rsid w:val="30E84567"/>
    <w:rsid w:val="30EB2AA2"/>
    <w:rsid w:val="327B1D8F"/>
    <w:rsid w:val="32CE75EE"/>
    <w:rsid w:val="32FB0571"/>
    <w:rsid w:val="33646B8A"/>
    <w:rsid w:val="33D53663"/>
    <w:rsid w:val="3400398C"/>
    <w:rsid w:val="347269E4"/>
    <w:rsid w:val="34F33645"/>
    <w:rsid w:val="357A5F49"/>
    <w:rsid w:val="37FA73CC"/>
    <w:rsid w:val="38036A0B"/>
    <w:rsid w:val="38D85563"/>
    <w:rsid w:val="3A5F066D"/>
    <w:rsid w:val="3A77364B"/>
    <w:rsid w:val="3BE670C2"/>
    <w:rsid w:val="3C9F6BA1"/>
    <w:rsid w:val="3D4532C0"/>
    <w:rsid w:val="3F1E5E3B"/>
    <w:rsid w:val="40BE7561"/>
    <w:rsid w:val="40DF6687"/>
    <w:rsid w:val="41032595"/>
    <w:rsid w:val="41AC078A"/>
    <w:rsid w:val="44261D3F"/>
    <w:rsid w:val="45893A6C"/>
    <w:rsid w:val="465E2A76"/>
    <w:rsid w:val="467111D5"/>
    <w:rsid w:val="467C651C"/>
    <w:rsid w:val="468345AC"/>
    <w:rsid w:val="468B794D"/>
    <w:rsid w:val="48D32575"/>
    <w:rsid w:val="4A471154"/>
    <w:rsid w:val="4B092A47"/>
    <w:rsid w:val="4B6420CB"/>
    <w:rsid w:val="4BD97252"/>
    <w:rsid w:val="4C1F6AE7"/>
    <w:rsid w:val="4C2F6993"/>
    <w:rsid w:val="4CA4541D"/>
    <w:rsid w:val="4D7E0342"/>
    <w:rsid w:val="4DEE5559"/>
    <w:rsid w:val="4E165533"/>
    <w:rsid w:val="4E4908B7"/>
    <w:rsid w:val="4E7636EF"/>
    <w:rsid w:val="4F0F478E"/>
    <w:rsid w:val="50B941B4"/>
    <w:rsid w:val="50D15C49"/>
    <w:rsid w:val="527757FC"/>
    <w:rsid w:val="53335C1B"/>
    <w:rsid w:val="5363241D"/>
    <w:rsid w:val="53E863F8"/>
    <w:rsid w:val="53FB4700"/>
    <w:rsid w:val="548A0714"/>
    <w:rsid w:val="55D31744"/>
    <w:rsid w:val="5612407D"/>
    <w:rsid w:val="56387786"/>
    <w:rsid w:val="56C72225"/>
    <w:rsid w:val="588E05D9"/>
    <w:rsid w:val="5B6303E2"/>
    <w:rsid w:val="5BC20959"/>
    <w:rsid w:val="5BDC5EAE"/>
    <w:rsid w:val="5C18013B"/>
    <w:rsid w:val="5C3220EB"/>
    <w:rsid w:val="5C5A1FE0"/>
    <w:rsid w:val="5D416F62"/>
    <w:rsid w:val="5ECD40CD"/>
    <w:rsid w:val="5F3803A0"/>
    <w:rsid w:val="5F72205B"/>
    <w:rsid w:val="607B0095"/>
    <w:rsid w:val="60D87134"/>
    <w:rsid w:val="60F51346"/>
    <w:rsid w:val="613156AC"/>
    <w:rsid w:val="61985D00"/>
    <w:rsid w:val="62145943"/>
    <w:rsid w:val="623461A5"/>
    <w:rsid w:val="628B2D49"/>
    <w:rsid w:val="62C55F9F"/>
    <w:rsid w:val="63085896"/>
    <w:rsid w:val="63105713"/>
    <w:rsid w:val="64835336"/>
    <w:rsid w:val="65934389"/>
    <w:rsid w:val="6678375F"/>
    <w:rsid w:val="66E21291"/>
    <w:rsid w:val="67281F66"/>
    <w:rsid w:val="67427E9B"/>
    <w:rsid w:val="67B64B61"/>
    <w:rsid w:val="687178CB"/>
    <w:rsid w:val="6ADB57D0"/>
    <w:rsid w:val="6B004765"/>
    <w:rsid w:val="6B0628B5"/>
    <w:rsid w:val="6B1C7234"/>
    <w:rsid w:val="6B210B26"/>
    <w:rsid w:val="6BAA5C8C"/>
    <w:rsid w:val="6E4446D2"/>
    <w:rsid w:val="6E8065A6"/>
    <w:rsid w:val="6F250622"/>
    <w:rsid w:val="6F3B55F0"/>
    <w:rsid w:val="6F6A3171"/>
    <w:rsid w:val="6F7A4889"/>
    <w:rsid w:val="70176FAC"/>
    <w:rsid w:val="702541E9"/>
    <w:rsid w:val="706A3AF3"/>
    <w:rsid w:val="71590F38"/>
    <w:rsid w:val="71D2724F"/>
    <w:rsid w:val="72923BA4"/>
    <w:rsid w:val="72E1025B"/>
    <w:rsid w:val="72F309FD"/>
    <w:rsid w:val="72F84576"/>
    <w:rsid w:val="7303064B"/>
    <w:rsid w:val="732F1AEF"/>
    <w:rsid w:val="73D4411C"/>
    <w:rsid w:val="74705C38"/>
    <w:rsid w:val="74D74571"/>
    <w:rsid w:val="75BA78DF"/>
    <w:rsid w:val="76E220AC"/>
    <w:rsid w:val="772405FC"/>
    <w:rsid w:val="77914042"/>
    <w:rsid w:val="7A0A727E"/>
    <w:rsid w:val="7A522ACD"/>
    <w:rsid w:val="7AE35D82"/>
    <w:rsid w:val="7B1310C4"/>
    <w:rsid w:val="7BC67D17"/>
    <w:rsid w:val="7C1716BF"/>
    <w:rsid w:val="7C9A45BD"/>
    <w:rsid w:val="7CE80CF2"/>
    <w:rsid w:val="7D1A35B9"/>
    <w:rsid w:val="7D7C3A1C"/>
    <w:rsid w:val="7DFE6232"/>
    <w:rsid w:val="7E201DC7"/>
    <w:rsid w:val="7E295902"/>
    <w:rsid w:val="7EA67541"/>
    <w:rsid w:val="7EAE1621"/>
    <w:rsid w:val="7EB8172B"/>
    <w:rsid w:val="7EF22404"/>
    <w:rsid w:val="7F036991"/>
    <w:rsid w:val="7F1473C7"/>
    <w:rsid w:val="7F2B7B2A"/>
    <w:rsid w:val="7F645740"/>
    <w:rsid w:val="7FAD61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5</Pages>
  <Words>260</Words>
  <Characters>1488</Characters>
  <Lines>12</Lines>
  <Paragraphs>3</Paragraphs>
  <TotalTime>5</TotalTime>
  <ScaleCrop>false</ScaleCrop>
  <LinksUpToDate>false</LinksUpToDate>
  <CharactersWithSpaces>1745</CharactersWithSpaces>
  <Application>WPS Office_10.8.2.7072_F1E327BC-269C-435d-A152-05C5408002CA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2016-03-30T07:03:00Z</dcterms:created>
  <dc:creator>User</dc:creator>
  <cp:lastModifiedBy>sho</cp:lastModifiedBy>
  <cp:lastPrinted>2020-04-07T07:34:00Z</cp:lastPrinted>
  <dcterms:modified xsi:type="dcterms:W3CDTF">2020-04-08T02:54:02Z</dcterms:modified>
  <dc:title>为做好全省乡镇财政管理工作，我们研究制定了《吉林省财政厅乡镇财政处2016年工作要点》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