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color w:val="auto"/>
          <w:sz w:val="84"/>
          <w:szCs w:val="84"/>
        </w:rPr>
      </w:pPr>
    </w:p>
    <w:p>
      <w:pPr>
        <w:jc w:val="center"/>
        <w:rPr>
          <w:rFonts w:ascii="微软雅黑" w:hAnsi="微软雅黑" w:eastAsia="微软雅黑"/>
          <w:b/>
          <w:color w:val="auto"/>
          <w:sz w:val="84"/>
          <w:szCs w:val="84"/>
        </w:rPr>
      </w:pPr>
    </w:p>
    <w:p>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竞争性选择文件</w:t>
      </w:r>
    </w:p>
    <w:p>
      <w:pPr>
        <w:rPr>
          <w:rFonts w:ascii="微软雅黑" w:hAnsi="微软雅黑" w:eastAsia="微软雅黑"/>
          <w:b/>
          <w:color w:val="auto"/>
          <w:sz w:val="84"/>
          <w:szCs w:val="84"/>
        </w:rPr>
      </w:pPr>
    </w:p>
    <w:p>
      <w:pPr>
        <w:spacing w:line="720" w:lineRule="auto"/>
        <w:rPr>
          <w:rFonts w:ascii="微软雅黑" w:hAnsi="微软雅黑" w:eastAsia="微软雅黑"/>
          <w:color w:val="auto"/>
          <w:sz w:val="32"/>
          <w:szCs w:val="32"/>
        </w:rPr>
      </w:pPr>
    </w:p>
    <w:p>
      <w:pPr>
        <w:spacing w:line="720" w:lineRule="auto"/>
        <w:rPr>
          <w:rFonts w:ascii="微软雅黑" w:hAnsi="微软雅黑" w:eastAsia="微软雅黑"/>
          <w:color w:val="auto"/>
          <w:sz w:val="32"/>
          <w:szCs w:val="32"/>
        </w:rPr>
      </w:pPr>
    </w:p>
    <w:p>
      <w:pPr>
        <w:spacing w:line="720" w:lineRule="auto"/>
        <w:ind w:left="0" w:leftChars="0" w:firstLine="1059" w:firstLineChars="331"/>
        <w:rPr>
          <w:rFonts w:hint="eastAsia" w:ascii="微软雅黑" w:hAnsi="微软雅黑" w:eastAsia="微软雅黑"/>
          <w:color w:val="auto"/>
          <w:sz w:val="32"/>
          <w:szCs w:val="32"/>
          <w:u w:val="single"/>
        </w:rPr>
      </w:pPr>
      <w:r>
        <w:rPr>
          <w:rFonts w:hint="eastAsia" w:ascii="微软雅黑" w:hAnsi="微软雅黑" w:eastAsia="微软雅黑"/>
          <w:color w:val="auto"/>
          <w:sz w:val="32"/>
          <w:szCs w:val="32"/>
        </w:rPr>
        <w:t>项目名称：</w:t>
      </w:r>
      <w:r>
        <w:rPr>
          <w:rFonts w:hint="eastAsia" w:ascii="微软雅黑" w:hAnsi="微软雅黑" w:eastAsia="微软雅黑"/>
          <w:color w:val="auto"/>
          <w:sz w:val="32"/>
          <w:szCs w:val="32"/>
          <w:u w:val="single"/>
          <w:lang w:val="en-US" w:eastAsia="zh-CN"/>
        </w:rPr>
        <w:t>2025年</w:t>
      </w:r>
      <w:r>
        <w:rPr>
          <w:rFonts w:hint="eastAsia" w:ascii="微软雅黑" w:hAnsi="微软雅黑" w:eastAsia="微软雅黑"/>
          <w:color w:val="auto"/>
          <w:sz w:val="32"/>
          <w:szCs w:val="32"/>
          <w:u w:val="single"/>
          <w:lang w:eastAsia="zh-CN"/>
        </w:rPr>
        <w:t>吉林省</w:t>
      </w:r>
      <w:r>
        <w:rPr>
          <w:rFonts w:hint="eastAsia" w:ascii="微软雅黑" w:hAnsi="微软雅黑" w:eastAsia="微软雅黑"/>
          <w:color w:val="auto"/>
          <w:sz w:val="32"/>
          <w:szCs w:val="32"/>
          <w:u w:val="single"/>
        </w:rPr>
        <w:t>本级代管资金</w:t>
      </w:r>
      <w:r>
        <w:rPr>
          <w:rFonts w:hint="eastAsia" w:ascii="微软雅黑" w:hAnsi="微软雅黑" w:eastAsia="微软雅黑"/>
          <w:color w:val="auto"/>
          <w:sz w:val="32"/>
          <w:szCs w:val="32"/>
          <w:u w:val="single"/>
          <w:lang w:eastAsia="zh-CN"/>
        </w:rPr>
        <w:t>财政</w:t>
      </w:r>
      <w:r>
        <w:rPr>
          <w:rFonts w:hint="eastAsia" w:ascii="微软雅黑" w:hAnsi="微软雅黑" w:eastAsia="微软雅黑"/>
          <w:color w:val="auto"/>
          <w:sz w:val="32"/>
          <w:szCs w:val="32"/>
          <w:u w:val="single"/>
        </w:rPr>
        <w:t>专户开户银行</w:t>
      </w:r>
    </w:p>
    <w:p>
      <w:pPr>
        <w:pStyle w:val="2"/>
        <w:ind w:left="0" w:leftChars="0" w:firstLine="1059" w:firstLineChars="331"/>
        <w:rPr>
          <w:rFonts w:hint="eastAsia" w:ascii="微软雅黑" w:hAnsi="微软雅黑" w:eastAsia="微软雅黑" w:cs="Times New Roman"/>
          <w:color w:val="auto"/>
          <w:kern w:val="2"/>
          <w:sz w:val="32"/>
          <w:szCs w:val="32"/>
          <w:lang w:val="en-US" w:eastAsia="zh-CN" w:bidi="zh-CN"/>
        </w:rPr>
      </w:pPr>
      <w:r>
        <w:rPr>
          <w:rFonts w:hint="eastAsia" w:ascii="微软雅黑" w:hAnsi="微软雅黑" w:eastAsia="微软雅黑" w:cs="Times New Roman"/>
          <w:color w:val="auto"/>
          <w:kern w:val="2"/>
          <w:sz w:val="32"/>
          <w:szCs w:val="32"/>
          <w:lang w:val="en-US" w:eastAsia="zh-CN" w:bidi="zh-CN"/>
        </w:rPr>
        <w:t>项目编号：JLSCZT-202501</w:t>
      </w:r>
    </w:p>
    <w:p>
      <w:pPr>
        <w:spacing w:line="720" w:lineRule="auto"/>
        <w:ind w:left="0" w:leftChars="0" w:firstLine="1059" w:firstLineChars="331"/>
        <w:rPr>
          <w:rFonts w:ascii="微软雅黑" w:hAnsi="微软雅黑" w:eastAsia="微软雅黑"/>
          <w:color w:val="auto"/>
          <w:sz w:val="32"/>
          <w:szCs w:val="32"/>
        </w:rPr>
      </w:pPr>
      <w:r>
        <w:rPr>
          <w:rFonts w:hint="eastAsia" w:ascii="微软雅黑" w:hAnsi="微软雅黑" w:eastAsia="微软雅黑"/>
          <w:color w:val="auto"/>
          <w:sz w:val="32"/>
          <w:szCs w:val="32"/>
        </w:rPr>
        <w:t>项目实施机构：</w:t>
      </w:r>
      <w:r>
        <w:rPr>
          <w:rFonts w:hint="eastAsia" w:ascii="微软雅黑" w:hAnsi="微软雅黑" w:eastAsia="微软雅黑"/>
          <w:color w:val="auto"/>
          <w:sz w:val="32"/>
          <w:szCs w:val="32"/>
          <w:u w:val="single"/>
          <w:lang w:eastAsia="zh-CN"/>
        </w:rPr>
        <w:t>吉林省财政厅</w:t>
      </w:r>
    </w:p>
    <w:p>
      <w:pPr>
        <w:spacing w:line="720" w:lineRule="auto"/>
        <w:ind w:left="0" w:leftChars="0" w:firstLine="1059" w:firstLineChars="331"/>
        <w:rPr>
          <w:rFonts w:ascii="微软雅黑" w:hAnsi="微软雅黑" w:eastAsia="微软雅黑"/>
          <w:color w:val="auto"/>
          <w:sz w:val="32"/>
          <w:szCs w:val="32"/>
        </w:rPr>
      </w:pPr>
      <w:r>
        <w:rPr>
          <w:rFonts w:hint="eastAsia" w:ascii="微软雅黑" w:hAnsi="微软雅黑" w:eastAsia="微软雅黑"/>
          <w:color w:val="auto"/>
          <w:sz w:val="32"/>
          <w:szCs w:val="32"/>
        </w:rPr>
        <w:t>项目代理机构：</w:t>
      </w:r>
      <w:r>
        <w:rPr>
          <w:rFonts w:hint="eastAsia" w:ascii="微软雅黑" w:hAnsi="微软雅黑" w:eastAsia="微软雅黑"/>
          <w:color w:val="auto"/>
          <w:sz w:val="32"/>
          <w:szCs w:val="32"/>
          <w:u w:val="single"/>
          <w:lang w:eastAsia="zh-CN"/>
        </w:rPr>
        <w:t>中金招标</w:t>
      </w:r>
      <w:r>
        <w:rPr>
          <w:rFonts w:hint="eastAsia" w:ascii="微软雅黑" w:hAnsi="微软雅黑" w:eastAsia="微软雅黑"/>
          <w:color w:val="auto"/>
          <w:sz w:val="32"/>
          <w:szCs w:val="32"/>
          <w:u w:val="single"/>
          <w:lang w:val="en-US" w:eastAsia="zh-CN"/>
        </w:rPr>
        <w:t>有限公司</w:t>
      </w:r>
    </w:p>
    <w:p>
      <w:pPr>
        <w:jc w:val="center"/>
        <w:rPr>
          <w:rFonts w:ascii="微软雅黑" w:hAnsi="微软雅黑" w:eastAsia="微软雅黑"/>
          <w:color w:val="auto"/>
          <w:sz w:val="44"/>
          <w:szCs w:val="44"/>
        </w:rPr>
      </w:pPr>
    </w:p>
    <w:p>
      <w:pPr>
        <w:jc w:val="center"/>
        <w:rPr>
          <w:rFonts w:hint="eastAsia" w:ascii="微软雅黑" w:hAnsi="微软雅黑" w:eastAsia="微软雅黑"/>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720" w:num="1"/>
          <w:titlePg/>
          <w:docGrid w:type="lines" w:linePitch="312" w:charSpace="0"/>
        </w:sectPr>
      </w:pPr>
      <w:r>
        <w:rPr>
          <w:rFonts w:hint="eastAsia" w:ascii="微软雅黑" w:hAnsi="微软雅黑" w:eastAsia="微软雅黑"/>
          <w:color w:val="auto"/>
          <w:sz w:val="36"/>
          <w:szCs w:val="36"/>
          <w:lang w:val="en-US" w:eastAsia="zh-CN"/>
        </w:rPr>
        <w:t>2025</w:t>
      </w:r>
      <w:r>
        <w:rPr>
          <w:rFonts w:hint="eastAsia" w:ascii="微软雅黑" w:hAnsi="微软雅黑" w:eastAsia="微软雅黑"/>
          <w:color w:val="auto"/>
          <w:sz w:val="36"/>
          <w:szCs w:val="36"/>
        </w:rPr>
        <w:t>年</w:t>
      </w:r>
      <w:r>
        <w:rPr>
          <w:rFonts w:hint="eastAsia" w:ascii="微软雅黑" w:hAnsi="微软雅黑" w:eastAsia="微软雅黑"/>
          <w:color w:val="auto"/>
          <w:sz w:val="36"/>
          <w:szCs w:val="36"/>
          <w:lang w:val="en-US" w:eastAsia="zh-CN"/>
        </w:rPr>
        <w:t>1</w:t>
      </w:r>
      <w:r>
        <w:rPr>
          <w:rFonts w:hint="eastAsia" w:ascii="微软雅黑" w:hAnsi="微软雅黑" w:eastAsia="微软雅黑"/>
          <w:color w:val="auto"/>
          <w:sz w:val="36"/>
          <w:szCs w:val="36"/>
        </w:rPr>
        <w:t>月</w:t>
      </w:r>
    </w:p>
    <w:p>
      <w:pPr>
        <w:jc w:val="center"/>
        <w:rPr>
          <w:color w:val="auto"/>
          <w:sz w:val="32"/>
          <w:szCs w:val="32"/>
        </w:rPr>
      </w:pPr>
      <w:r>
        <w:rPr>
          <w:rFonts w:hint="eastAsia"/>
          <w:color w:val="auto"/>
          <w:sz w:val="32"/>
          <w:szCs w:val="32"/>
          <w:lang w:val="zh-CN"/>
        </w:rPr>
        <w:t>目录</w:t>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caps w:val="0"/>
          <w:color w:val="auto"/>
        </w:rPr>
        <w:fldChar w:fldCharType="begin"/>
      </w:r>
      <w:r>
        <w:rPr>
          <w:rFonts w:hint="default"/>
          <w:caps w:val="0"/>
          <w:color w:val="auto"/>
        </w:rPr>
        <w:instrText xml:space="preserve"> TOC \o "1-1" \h \z \u </w:instrText>
      </w:r>
      <w:r>
        <w:rPr>
          <w:rFonts w:hint="default"/>
          <w:caps w:val="0"/>
          <w:color w:val="auto"/>
        </w:rPr>
        <w:fldChar w:fldCharType="separate"/>
      </w: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_Toc18003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第一章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竞争性选择公告</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 -2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1</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_Toc2533 </w:instrText>
      </w:r>
      <w:r>
        <w:rPr>
          <w:rFonts w:hint="default" w:ascii="Calibri" w:hAnsi="Calibri" w:eastAsia="微软雅黑" w:cs="Times New Roman"/>
          <w:caps w:val="0"/>
          <w:color w:val="auto"/>
          <w:kern w:val="2"/>
          <w:szCs w:val="21"/>
          <w:lang w:val="en-US" w:eastAsia="zh-CN" w:bidi="zh-CN"/>
        </w:rPr>
        <w:fldChar w:fldCharType="separate"/>
      </w:r>
      <w:r>
        <w:rPr>
          <w:rFonts w:hint="eastAsia" w:ascii="微软雅黑" w:hAnsi="微软雅黑" w:eastAsia="微软雅黑" w:cs="Times New Roman"/>
          <w:caps/>
          <w:color w:val="auto"/>
          <w:kern w:val="2"/>
          <w:szCs w:val="32"/>
          <w:lang w:val="en-US" w:eastAsia="zh-CN" w:bidi="zh-CN"/>
        </w:rPr>
        <w:t>第二章</w:t>
      </w:r>
      <w:r>
        <w:rPr>
          <w:rFonts w:hint="default" w:ascii="微软雅黑" w:hAnsi="微软雅黑" w:eastAsia="微软雅黑" w:cs="Times New Roman"/>
          <w:caps/>
          <w:color w:val="auto"/>
          <w:kern w:val="2"/>
          <w:szCs w:val="32"/>
          <w:lang w:val="en-US" w:eastAsia="zh-CN" w:bidi="zh-CN"/>
        </w:rPr>
        <w:t xml:space="preserve">  </w:t>
      </w:r>
      <w:r>
        <w:rPr>
          <w:rFonts w:hint="eastAsia" w:ascii="微软雅黑" w:hAnsi="微软雅黑" w:eastAsia="微软雅黑" w:cs="Times New Roman"/>
          <w:caps/>
          <w:color w:val="auto"/>
          <w:kern w:val="2"/>
          <w:szCs w:val="32"/>
          <w:lang w:val="en-US" w:eastAsia="zh-CN" w:bidi="zh-CN"/>
        </w:rPr>
        <w:t>响应人须知</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_Toc2533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3</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_Toc19811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第三章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响应人应当提供的资格证明文件</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_Toc19811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7</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_Toc14330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第四章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项目内容及要求</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_Toc14330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8</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_Toc31211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第五章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响应文件格式及要求</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_Toc31211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9</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_Toc3112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第六章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评选程序、评选方法及标准</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_Toc3112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13</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rFonts w:ascii="Calibri" w:hAnsi="Calibri" w:eastAsia="微软雅黑" w:cs="Times New Roman"/>
          <w:caps/>
          <w:color w:val="auto"/>
          <w:kern w:val="2"/>
          <w:szCs w:val="21"/>
          <w:lang w:val="en-US" w:eastAsia="zh-CN" w:bidi="zh-CN"/>
        </w:rPr>
      </w:pPr>
      <w:r>
        <w:rPr>
          <w:rFonts w:hint="default" w:ascii="Calibri" w:hAnsi="Calibri" w:eastAsia="微软雅黑" w:cs="Times New Roman"/>
          <w:caps w:val="0"/>
          <w:color w:val="auto"/>
          <w:kern w:val="2"/>
          <w:szCs w:val="21"/>
          <w:lang w:val="en-US" w:eastAsia="zh-CN" w:bidi="zh-CN"/>
        </w:rPr>
        <w:fldChar w:fldCharType="begin"/>
      </w:r>
      <w:r>
        <w:rPr>
          <w:rFonts w:hint="default" w:ascii="Calibri" w:hAnsi="Calibri" w:eastAsia="微软雅黑" w:cs="Times New Roman"/>
          <w:caps w:val="0"/>
          <w:color w:val="auto"/>
          <w:kern w:val="2"/>
          <w:szCs w:val="21"/>
          <w:lang w:val="en-US" w:eastAsia="zh-CN" w:bidi="zh-CN"/>
        </w:rPr>
        <w:instrText xml:space="preserve"> HYPERLINK \l _Toc30130 </w:instrText>
      </w:r>
      <w:r>
        <w:rPr>
          <w:rFonts w:hint="default" w:ascii="Calibri" w:hAnsi="Calibri" w:eastAsia="微软雅黑" w:cs="Times New Roman"/>
          <w:caps w:val="0"/>
          <w:color w:val="auto"/>
          <w:kern w:val="2"/>
          <w:szCs w:val="21"/>
          <w:lang w:val="en-US" w:eastAsia="zh-CN" w:bidi="zh-CN"/>
        </w:rPr>
        <w:fldChar w:fldCharType="separate"/>
      </w:r>
      <w:r>
        <w:rPr>
          <w:rFonts w:hint="eastAsia" w:ascii="Calibri" w:hAnsi="Calibri" w:eastAsia="微软雅黑" w:cs="Times New Roman"/>
          <w:caps/>
          <w:color w:val="auto"/>
          <w:kern w:val="2"/>
          <w:szCs w:val="21"/>
          <w:lang w:val="en-US" w:eastAsia="zh-CN" w:bidi="zh-CN"/>
        </w:rPr>
        <w:t>第七章</w:t>
      </w:r>
      <w:r>
        <w:rPr>
          <w:rFonts w:hint="default" w:ascii="Calibri" w:hAnsi="Calibri" w:eastAsia="微软雅黑" w:cs="Times New Roman"/>
          <w:caps/>
          <w:color w:val="auto"/>
          <w:kern w:val="2"/>
          <w:szCs w:val="21"/>
          <w:lang w:val="en-US" w:eastAsia="zh-CN" w:bidi="zh-CN"/>
        </w:rPr>
        <w:t xml:space="preserve">  </w:t>
      </w:r>
      <w:r>
        <w:rPr>
          <w:rFonts w:hint="eastAsia" w:ascii="Calibri" w:hAnsi="Calibri" w:eastAsia="微软雅黑" w:cs="Times New Roman"/>
          <w:caps/>
          <w:color w:val="auto"/>
          <w:kern w:val="2"/>
          <w:szCs w:val="21"/>
          <w:lang w:val="en-US" w:eastAsia="zh-CN" w:bidi="zh-CN"/>
        </w:rPr>
        <w:t>其他说明</w:t>
      </w:r>
      <w:r>
        <w:rPr>
          <w:rFonts w:ascii="Calibri" w:hAnsi="Calibri" w:eastAsia="微软雅黑" w:cs="Times New Roman"/>
          <w:caps/>
          <w:color w:val="auto"/>
          <w:kern w:val="2"/>
          <w:szCs w:val="21"/>
          <w:lang w:val="en-US" w:eastAsia="zh-CN" w:bidi="zh-CN"/>
        </w:rPr>
        <w:tab/>
      </w:r>
      <w:r>
        <w:rPr>
          <w:rFonts w:ascii="Calibri" w:hAnsi="Calibri" w:eastAsia="微软雅黑" w:cs="Times New Roman"/>
          <w:caps/>
          <w:color w:val="auto"/>
          <w:kern w:val="2"/>
          <w:szCs w:val="21"/>
          <w:lang w:val="en-US" w:eastAsia="zh-CN" w:bidi="zh-CN"/>
        </w:rPr>
        <w:fldChar w:fldCharType="begin"/>
      </w:r>
      <w:r>
        <w:rPr>
          <w:rFonts w:ascii="Calibri" w:hAnsi="Calibri" w:eastAsia="微软雅黑" w:cs="Times New Roman"/>
          <w:caps/>
          <w:color w:val="auto"/>
          <w:kern w:val="2"/>
          <w:szCs w:val="21"/>
          <w:lang w:val="en-US" w:eastAsia="zh-CN" w:bidi="zh-CN"/>
        </w:rPr>
        <w:instrText xml:space="preserve"> PAGEREF _Toc30130 </w:instrText>
      </w:r>
      <w:r>
        <w:rPr>
          <w:rFonts w:ascii="Calibri" w:hAnsi="Calibri" w:eastAsia="微软雅黑" w:cs="Times New Roman"/>
          <w:caps/>
          <w:color w:val="auto"/>
          <w:kern w:val="2"/>
          <w:szCs w:val="21"/>
          <w:lang w:val="en-US" w:eastAsia="zh-CN" w:bidi="zh-CN"/>
        </w:rPr>
        <w:fldChar w:fldCharType="separate"/>
      </w:r>
      <w:r>
        <w:rPr>
          <w:rFonts w:ascii="Calibri" w:hAnsi="Calibri" w:eastAsia="微软雅黑" w:cs="Times New Roman"/>
          <w:caps/>
          <w:color w:val="auto"/>
          <w:kern w:val="2"/>
          <w:szCs w:val="21"/>
          <w:lang w:val="en-US" w:eastAsia="zh-CN" w:bidi="zh-CN"/>
        </w:rPr>
        <w:t>16</w:t>
      </w:r>
      <w:r>
        <w:rPr>
          <w:rFonts w:ascii="Calibri" w:hAnsi="Calibri" w:eastAsia="微软雅黑" w:cs="Times New Roman"/>
          <w:caps/>
          <w:color w:val="auto"/>
          <w:kern w:val="2"/>
          <w:szCs w:val="21"/>
          <w:lang w:val="en-US" w:eastAsia="zh-CN" w:bidi="zh-CN"/>
        </w:rPr>
        <w:fldChar w:fldCharType="end"/>
      </w:r>
      <w:r>
        <w:rPr>
          <w:rFonts w:hint="default" w:ascii="Calibri" w:hAnsi="Calibri" w:eastAsia="微软雅黑" w:cs="Times New Roman"/>
          <w:caps w:val="0"/>
          <w:color w:val="auto"/>
          <w:kern w:val="2"/>
          <w:szCs w:val="21"/>
          <w:lang w:val="en-US" w:eastAsia="zh-CN" w:bidi="zh-CN"/>
        </w:rPr>
        <w:fldChar w:fldCharType="end"/>
      </w:r>
    </w:p>
    <w:p>
      <w:pPr>
        <w:pStyle w:val="7"/>
        <w:tabs>
          <w:tab w:val="right" w:leader="dot" w:pos="9746"/>
        </w:tabs>
        <w:rPr>
          <w:color w:val="auto"/>
        </w:rPr>
      </w:pPr>
      <w:r>
        <w:rPr>
          <w:rFonts w:hint="default" w:ascii="Calibri" w:hAnsi="Calibri" w:eastAsia="微软雅黑" w:cs="Times New Roman"/>
          <w:caps w:val="0"/>
          <w:color w:val="auto"/>
          <w:kern w:val="2"/>
          <w:szCs w:val="21"/>
          <w:lang w:val="en-US" w:eastAsia="zh-CN" w:bidi="zh-CN"/>
        </w:rPr>
        <w:fldChar w:fldCharType="end"/>
      </w:r>
    </w:p>
    <w:p>
      <w:pPr>
        <w:widowControl/>
        <w:jc w:val="center"/>
        <w:rPr>
          <w:rStyle w:val="11"/>
          <w:rFonts w:hint="eastAsia" w:eastAsia="微软雅黑"/>
          <w:color w:val="auto"/>
        </w:rPr>
        <w:sectPr>
          <w:footerReference r:id="rId8" w:type="first"/>
          <w:footerReference r:id="rId7" w:type="default"/>
          <w:pgSz w:w="11906" w:h="16838"/>
          <w:pgMar w:top="1440" w:right="1080" w:bottom="1440" w:left="1080" w:header="851" w:footer="992" w:gutter="0"/>
          <w:pgNumType w:fmt="decimal"/>
          <w:cols w:space="720" w:num="1"/>
          <w:titlePg/>
          <w:docGrid w:type="lines" w:linePitch="312" w:charSpace="0"/>
        </w:sectPr>
      </w:pPr>
      <w:bookmarkStart w:id="0" w:name="_Toc498592998"/>
      <w:bookmarkStart w:id="1" w:name="_Toc498593023"/>
      <w:bookmarkStart w:id="2" w:name="_Toc508709709"/>
    </w:p>
    <w:p>
      <w:pPr>
        <w:widowControl/>
        <w:jc w:val="center"/>
        <w:rPr>
          <w:rFonts w:ascii="微软雅黑" w:hAnsi="微软雅黑" w:eastAsia="微软雅黑"/>
          <w:color w:val="auto"/>
          <w:sz w:val="32"/>
          <w:szCs w:val="32"/>
        </w:rPr>
      </w:pPr>
      <w:bookmarkStart w:id="3" w:name="_Toc16967"/>
      <w:bookmarkStart w:id="4" w:name="_Toc18003"/>
      <w:r>
        <w:rPr>
          <w:rStyle w:val="11"/>
          <w:rFonts w:hint="eastAsia" w:eastAsia="微软雅黑"/>
          <w:color w:val="auto"/>
        </w:rPr>
        <w:t>第一章</w:t>
      </w:r>
      <w:bookmarkEnd w:id="0"/>
      <w:bookmarkEnd w:id="1"/>
      <w:bookmarkEnd w:id="2"/>
      <w:r>
        <w:rPr>
          <w:rStyle w:val="11"/>
          <w:rFonts w:hint="default" w:eastAsia="微软雅黑"/>
          <w:color w:val="auto"/>
        </w:rPr>
        <w:t xml:space="preserve">  </w:t>
      </w:r>
      <w:r>
        <w:rPr>
          <w:rStyle w:val="11"/>
          <w:rFonts w:hint="eastAsia" w:eastAsia="微软雅黑"/>
          <w:color w:val="auto"/>
        </w:rPr>
        <w:t>竞争性选择公告</w:t>
      </w:r>
      <w:bookmarkEnd w:id="3"/>
      <w:bookmarkEnd w:id="4"/>
    </w:p>
    <w:p>
      <w:pPr>
        <w:spacing w:line="400" w:lineRule="exact"/>
        <w:ind w:firstLine="420" w:firstLineChars="200"/>
        <w:rPr>
          <w:rFonts w:hint="eastAsia" w:ascii="微软雅黑" w:hAnsi="微软雅黑" w:eastAsia="微软雅黑"/>
          <w:color w:val="auto"/>
          <w:lang w:eastAsia="zh-CN"/>
        </w:rPr>
      </w:pPr>
      <w:r>
        <w:rPr>
          <w:rFonts w:hint="eastAsia" w:ascii="微软雅黑" w:hAnsi="微软雅黑" w:eastAsia="微软雅黑"/>
          <w:color w:val="auto"/>
          <w:lang w:eastAsia="zh-CN"/>
        </w:rPr>
        <w:t>根据《财政部关于印发&lt;财政专户管理办法&gt;的通知》（财库〔2013〕46号）及《财政部关于进一步规范财政部门和预算单位资金存放管理的指导意见》（财库﹝2017﹞76号）等有关规定，吉林省财政厅</w:t>
      </w:r>
      <w:r>
        <w:rPr>
          <w:rFonts w:hint="eastAsia" w:ascii="微软雅黑" w:hAnsi="微软雅黑" w:eastAsia="微软雅黑"/>
          <w:color w:val="auto"/>
        </w:rPr>
        <w:t>委托</w:t>
      </w:r>
      <w:r>
        <w:rPr>
          <w:rFonts w:hint="eastAsia" w:ascii="微软雅黑" w:hAnsi="微软雅黑" w:eastAsia="微软雅黑"/>
          <w:color w:val="auto"/>
          <w:lang w:eastAsia="zh-CN"/>
        </w:rPr>
        <w:t>中金招标有限责任公司</w:t>
      </w:r>
      <w:r>
        <w:rPr>
          <w:rFonts w:hint="eastAsia" w:ascii="微软雅黑" w:hAnsi="微软雅黑" w:eastAsia="微软雅黑"/>
          <w:color w:val="auto"/>
        </w:rPr>
        <w:t>采取竞争性方式选择</w:t>
      </w:r>
      <w:r>
        <w:rPr>
          <w:rFonts w:hint="eastAsia" w:ascii="微软雅黑" w:hAnsi="微软雅黑" w:eastAsia="微软雅黑"/>
          <w:color w:val="auto"/>
          <w:lang w:val="en-US" w:eastAsia="zh-CN"/>
        </w:rPr>
        <w:t>1家</w:t>
      </w:r>
      <w:r>
        <w:rPr>
          <w:rFonts w:hint="eastAsia" w:ascii="微软雅黑" w:hAnsi="微软雅黑" w:eastAsia="微软雅黑"/>
          <w:color w:val="auto"/>
          <w:lang w:eastAsia="zh-CN"/>
        </w:rPr>
        <w:t>吉林省</w:t>
      </w:r>
      <w:r>
        <w:rPr>
          <w:rFonts w:hint="eastAsia" w:ascii="微软雅黑" w:hAnsi="微软雅黑" w:eastAsia="微软雅黑"/>
          <w:color w:val="auto"/>
        </w:rPr>
        <w:t>本级</w:t>
      </w:r>
      <w:r>
        <w:rPr>
          <w:rFonts w:hint="eastAsia" w:ascii="微软雅黑" w:hAnsi="微软雅黑" w:eastAsia="微软雅黑"/>
          <w:color w:val="auto"/>
          <w:lang w:eastAsia="zh-CN"/>
        </w:rPr>
        <w:t>代管资金</w:t>
      </w:r>
      <w:r>
        <w:rPr>
          <w:rFonts w:hint="eastAsia" w:ascii="微软雅黑" w:hAnsi="微软雅黑" w:eastAsia="微软雅黑"/>
          <w:color w:val="auto"/>
        </w:rPr>
        <w:t>财政专户开户银行，欢迎符合条件的银行参与竞争。</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一、项目基本情况</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840" w:right="0" w:rightChars="0" w:hanging="420" w:firstLineChars="0"/>
        <w:jc w:val="both"/>
        <w:textAlignment w:val="auto"/>
        <w:outlineLvl w:val="9"/>
        <w:rPr>
          <w:rFonts w:ascii="微软雅黑" w:hAnsi="微软雅黑" w:eastAsia="微软雅黑"/>
          <w:color w:val="auto"/>
        </w:rPr>
      </w:pPr>
      <w:r>
        <w:rPr>
          <w:rFonts w:hint="eastAsia" w:ascii="微软雅黑" w:hAnsi="微软雅黑" w:eastAsia="微软雅黑"/>
          <w:color w:val="auto"/>
        </w:rPr>
        <w:t>项目名称：</w:t>
      </w:r>
      <w:r>
        <w:rPr>
          <w:rFonts w:hint="eastAsia" w:ascii="微软雅黑" w:hAnsi="微软雅黑" w:eastAsia="微软雅黑"/>
          <w:color w:val="auto"/>
          <w:lang w:eastAsia="zh-CN"/>
        </w:rPr>
        <w:t>2025年吉林省本级代管资金财政专户开户银行</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840" w:right="0" w:rightChars="0" w:hanging="420" w:firstLineChars="0"/>
        <w:jc w:val="both"/>
        <w:textAlignment w:val="auto"/>
        <w:outlineLvl w:val="9"/>
        <w:rPr>
          <w:rFonts w:ascii="微软雅黑" w:hAnsi="微软雅黑" w:eastAsia="微软雅黑"/>
          <w:color w:val="auto"/>
        </w:rPr>
      </w:pPr>
      <w:r>
        <w:rPr>
          <w:rFonts w:hint="eastAsia" w:ascii="微软雅黑" w:hAnsi="微软雅黑" w:eastAsia="微软雅黑"/>
          <w:color w:val="auto"/>
        </w:rPr>
        <w:t>项目编号：JLSCZT-202</w:t>
      </w:r>
      <w:r>
        <w:rPr>
          <w:rFonts w:hint="eastAsia" w:ascii="微软雅黑" w:hAnsi="微软雅黑" w:eastAsia="微软雅黑"/>
          <w:color w:val="auto"/>
          <w:lang w:val="en-US" w:eastAsia="zh-CN"/>
        </w:rPr>
        <w:t>5</w:t>
      </w:r>
      <w:r>
        <w:rPr>
          <w:rFonts w:hint="eastAsia" w:ascii="微软雅黑" w:hAnsi="微软雅黑" w:eastAsia="微软雅黑"/>
          <w:color w:val="auto"/>
        </w:rPr>
        <w:t>01</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840" w:right="0" w:rightChars="0" w:hanging="420" w:firstLineChars="0"/>
        <w:jc w:val="both"/>
        <w:textAlignment w:val="auto"/>
        <w:outlineLvl w:val="9"/>
        <w:rPr>
          <w:rFonts w:ascii="微软雅黑" w:hAnsi="微软雅黑" w:eastAsia="微软雅黑"/>
          <w:color w:val="auto"/>
        </w:rPr>
      </w:pPr>
      <w:r>
        <w:rPr>
          <w:rFonts w:hint="eastAsia" w:ascii="微软雅黑" w:hAnsi="微软雅黑" w:eastAsia="微软雅黑"/>
          <w:color w:val="auto"/>
        </w:rPr>
        <w:t>项目实施机构：</w:t>
      </w:r>
      <w:r>
        <w:rPr>
          <w:rFonts w:hint="eastAsia" w:ascii="微软雅黑" w:hAnsi="微软雅黑" w:eastAsia="微软雅黑"/>
          <w:color w:val="auto"/>
          <w:lang w:eastAsia="zh-CN"/>
        </w:rPr>
        <w:t>吉林省财政厅</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840" w:right="0" w:rightChars="0" w:hanging="420" w:firstLineChars="0"/>
        <w:jc w:val="both"/>
        <w:textAlignment w:val="auto"/>
        <w:outlineLvl w:val="9"/>
        <w:rPr>
          <w:rFonts w:hint="eastAsia" w:ascii="微软雅黑" w:hAnsi="微软雅黑" w:eastAsia="微软雅黑"/>
          <w:color w:val="auto"/>
        </w:rPr>
      </w:pPr>
      <w:r>
        <w:rPr>
          <w:rFonts w:hint="eastAsia" w:ascii="微软雅黑" w:hAnsi="微软雅黑" w:eastAsia="微软雅黑"/>
          <w:color w:val="auto"/>
          <w:lang w:val="en-US" w:eastAsia="zh-CN"/>
        </w:rPr>
        <w:t>项目代理机构：中金招标有限责任公司</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二、参与银行基本资格要求</w:t>
      </w:r>
    </w:p>
    <w:p>
      <w:pPr>
        <w:pStyle w:val="12"/>
        <w:numPr>
          <w:ilvl w:val="0"/>
          <w:numId w:val="0"/>
        </w:numPr>
        <w:spacing w:line="400" w:lineRule="exact"/>
        <w:ind w:left="0" w:leftChars="0" w:right="0" w:rightChars="0" w:firstLine="420" w:firstLineChars="200"/>
        <w:rPr>
          <w:rFonts w:hint="eastAsia" w:ascii="微软雅黑" w:hAnsi="微软雅黑" w:eastAsia="微软雅黑"/>
          <w:color w:val="auto"/>
          <w:lang w:val="en-US" w:eastAsia="zh-CN"/>
        </w:rPr>
      </w:pPr>
      <w:r>
        <w:rPr>
          <w:rFonts w:hint="eastAsia" w:ascii="微软雅黑" w:hAnsi="微软雅黑" w:eastAsia="微软雅黑"/>
          <w:color w:val="auto"/>
          <w:lang w:eastAsia="zh-CN"/>
        </w:rPr>
        <w:t>系吉林省财政厅办公所在地同城市辖区范围内取得营业执照并依法设立总行、分行的大型国有商业银行、股份制商业银行、城市商业银行。</w:t>
      </w:r>
      <w:r>
        <w:rPr>
          <w:rFonts w:hint="eastAsia" w:ascii="微软雅黑" w:hAnsi="微软雅黑" w:eastAsia="微软雅黑"/>
          <w:color w:val="auto"/>
          <w:lang w:val="en-US" w:eastAsia="zh-CN"/>
        </w:rPr>
        <w:t>监管指标符合监管标准。</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三、获取竞争性选择文件的方式</w:t>
      </w:r>
    </w:p>
    <w:p>
      <w:pPr>
        <w:pStyle w:val="12"/>
        <w:numPr>
          <w:ilvl w:val="0"/>
          <w:numId w:val="2"/>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获取竞争性选择文件的时间：</w:t>
      </w:r>
      <w:r>
        <w:rPr>
          <w:rFonts w:hint="default" w:ascii="微软雅黑" w:hAnsi="微软雅黑" w:eastAsia="微软雅黑"/>
          <w:color w:val="auto"/>
        </w:rPr>
        <w:t>2025年01月</w:t>
      </w:r>
      <w:r>
        <w:rPr>
          <w:rFonts w:hint="eastAsia" w:ascii="微软雅黑" w:hAnsi="微软雅黑" w:eastAsia="微软雅黑"/>
          <w:color w:val="auto"/>
          <w:lang w:val="en-US" w:eastAsia="zh-CN"/>
        </w:rPr>
        <w:t>20</w:t>
      </w:r>
      <w:r>
        <w:rPr>
          <w:rFonts w:hint="default" w:ascii="微软雅黑" w:hAnsi="微软雅黑" w:eastAsia="微软雅黑"/>
          <w:color w:val="auto"/>
        </w:rPr>
        <w:t>日至2025年01月2</w:t>
      </w:r>
      <w:r>
        <w:rPr>
          <w:rFonts w:hint="eastAsia" w:ascii="微软雅黑" w:hAnsi="微软雅黑" w:eastAsia="微软雅黑"/>
          <w:color w:val="auto"/>
          <w:lang w:val="en-US" w:eastAsia="zh-CN"/>
        </w:rPr>
        <w:t>4</w:t>
      </w:r>
      <w:r>
        <w:rPr>
          <w:rFonts w:hint="default" w:ascii="微软雅黑" w:hAnsi="微软雅黑" w:eastAsia="微软雅黑"/>
          <w:color w:val="auto"/>
        </w:rPr>
        <w:t>日，每天上午00:00:00至12:00:00，下午12:00:00至24:00:00（北京时间）</w:t>
      </w:r>
      <w:r>
        <w:rPr>
          <w:rFonts w:hint="eastAsia" w:ascii="微软雅黑" w:hAnsi="微软雅黑" w:eastAsia="微软雅黑"/>
          <w:color w:val="auto"/>
        </w:rPr>
        <w:t>。</w:t>
      </w:r>
    </w:p>
    <w:p>
      <w:pPr>
        <w:pStyle w:val="12"/>
        <w:numPr>
          <w:ilvl w:val="0"/>
          <w:numId w:val="2"/>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获取竞争性选择文件的地点：</w:t>
      </w:r>
      <w:r>
        <w:rPr>
          <w:rFonts w:hint="eastAsia" w:ascii="微软雅黑" w:hAnsi="微软雅黑" w:eastAsia="微软雅黑"/>
          <w:color w:val="auto"/>
          <w:lang w:eastAsia="zh-CN"/>
        </w:rPr>
        <w:t>吉林省财政厅</w:t>
      </w:r>
      <w:r>
        <w:rPr>
          <w:rFonts w:hint="eastAsia" w:ascii="微软雅黑" w:hAnsi="微软雅黑" w:eastAsia="微软雅黑"/>
          <w:color w:val="auto"/>
        </w:rPr>
        <w:t>门户网站（</w:t>
      </w:r>
      <w:r>
        <w:rPr>
          <w:rFonts w:hint="default" w:ascii="微软雅黑" w:hAnsi="微软雅黑" w:eastAsia="微软雅黑"/>
          <w:color w:val="auto"/>
        </w:rPr>
        <w:t>http://</w:t>
      </w:r>
      <w:r>
        <w:rPr>
          <w:rFonts w:hint="eastAsia" w:ascii="微软雅黑" w:hAnsi="微软雅黑" w:eastAsia="微软雅黑"/>
          <w:color w:val="auto"/>
          <w:lang w:val="en-US" w:eastAsia="zh-CN"/>
        </w:rPr>
        <w:t>czt</w:t>
      </w:r>
      <w:r>
        <w:rPr>
          <w:rFonts w:hint="default" w:ascii="微软雅黑" w:hAnsi="微软雅黑" w:eastAsia="微软雅黑"/>
          <w:color w:val="auto"/>
        </w:rPr>
        <w:t>.</w:t>
      </w:r>
      <w:r>
        <w:rPr>
          <w:rFonts w:hint="eastAsia" w:ascii="微软雅黑" w:hAnsi="微软雅黑" w:eastAsia="微软雅黑"/>
          <w:color w:val="auto"/>
          <w:lang w:val="en-US" w:eastAsia="zh-CN"/>
        </w:rPr>
        <w:t>jl</w:t>
      </w:r>
      <w:r>
        <w:rPr>
          <w:rFonts w:hint="default" w:ascii="微软雅黑" w:hAnsi="微软雅黑" w:eastAsia="微软雅黑"/>
          <w:color w:val="auto"/>
        </w:rPr>
        <w:t>.gov.cn</w:t>
      </w:r>
      <w:r>
        <w:rPr>
          <w:rFonts w:hint="eastAsia" w:ascii="微软雅黑" w:hAnsi="微软雅黑" w:eastAsia="微软雅黑"/>
          <w:color w:val="auto"/>
          <w:lang w:val="en-US" w:eastAsia="zh-CN"/>
        </w:rPr>
        <w:t>/</w:t>
      </w:r>
      <w:r>
        <w:rPr>
          <w:rFonts w:hint="eastAsia" w:ascii="微软雅黑" w:hAnsi="微软雅黑" w:eastAsia="微软雅黑"/>
          <w:color w:val="auto"/>
        </w:rPr>
        <w:t>）</w:t>
      </w:r>
      <w:r>
        <w:rPr>
          <w:rFonts w:hint="eastAsia" w:ascii="微软雅黑" w:hAnsi="微软雅黑" w:eastAsia="微软雅黑"/>
          <w:color w:val="auto"/>
          <w:lang w:eastAsia="zh-CN"/>
        </w:rPr>
        <w:t>通知公告栏及中国政府采购网（http://www.ccgp.gov.cn/）</w:t>
      </w:r>
      <w:r>
        <w:rPr>
          <w:rFonts w:hint="eastAsia" w:ascii="微软雅黑" w:hAnsi="微软雅黑" w:eastAsia="微软雅黑"/>
          <w:color w:val="auto"/>
        </w:rPr>
        <w:t>。</w:t>
      </w:r>
    </w:p>
    <w:p>
      <w:pPr>
        <w:pStyle w:val="12"/>
        <w:numPr>
          <w:ilvl w:val="0"/>
          <w:numId w:val="2"/>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获取竞争性选择文件的方式：从上述网站发布的竞争性选择公告页面免费下载。</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四、递交响应文件的时间和地点</w:t>
      </w:r>
    </w:p>
    <w:p>
      <w:pPr>
        <w:pStyle w:val="12"/>
        <w:numPr>
          <w:ilvl w:val="0"/>
          <w:numId w:val="3"/>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递交响应文件的时间：</w:t>
      </w:r>
      <w:r>
        <w:rPr>
          <w:rFonts w:hint="default" w:ascii="微软雅黑" w:hAnsi="微软雅黑" w:eastAsia="微软雅黑"/>
          <w:color w:val="auto"/>
        </w:rPr>
        <w:t>2025年01月2</w:t>
      </w:r>
      <w:r>
        <w:rPr>
          <w:rFonts w:hint="eastAsia" w:ascii="微软雅黑" w:hAnsi="微软雅黑" w:eastAsia="微软雅黑"/>
          <w:color w:val="auto"/>
          <w:lang w:val="en-US" w:eastAsia="zh-CN"/>
        </w:rPr>
        <w:t>6</w:t>
      </w:r>
      <w:r>
        <w:rPr>
          <w:rFonts w:hint="default" w:ascii="微软雅黑" w:hAnsi="微软雅黑" w:eastAsia="微软雅黑"/>
          <w:color w:val="auto"/>
        </w:rPr>
        <w:t>日09 时</w:t>
      </w:r>
      <w:r>
        <w:rPr>
          <w:rFonts w:hint="eastAsia" w:ascii="微软雅黑" w:hAnsi="微软雅黑" w:eastAsia="微软雅黑"/>
          <w:color w:val="auto"/>
          <w:lang w:val="en-US" w:eastAsia="zh-CN"/>
        </w:rPr>
        <w:t>0</w:t>
      </w:r>
      <w:r>
        <w:rPr>
          <w:rFonts w:hint="default" w:ascii="微软雅黑" w:hAnsi="微软雅黑" w:eastAsia="微软雅黑"/>
          <w:color w:val="auto"/>
        </w:rPr>
        <w:t>分至</w:t>
      </w:r>
      <w:r>
        <w:rPr>
          <w:rFonts w:hint="eastAsia" w:ascii="微软雅黑" w:hAnsi="微软雅黑" w:eastAsia="微软雅黑"/>
          <w:color w:val="auto"/>
          <w:lang w:val="en-US" w:eastAsia="zh-CN"/>
        </w:rPr>
        <w:t>9</w:t>
      </w:r>
      <w:r>
        <w:rPr>
          <w:rFonts w:hint="default" w:ascii="微软雅黑" w:hAnsi="微软雅黑" w:eastAsia="微软雅黑"/>
          <w:color w:val="auto"/>
        </w:rPr>
        <w:t>时</w:t>
      </w:r>
      <w:r>
        <w:rPr>
          <w:rFonts w:hint="eastAsia" w:ascii="微软雅黑" w:hAnsi="微软雅黑" w:eastAsia="微软雅黑"/>
          <w:color w:val="auto"/>
          <w:lang w:val="en-US" w:eastAsia="zh-CN"/>
        </w:rPr>
        <w:t>30</w:t>
      </w:r>
      <w:r>
        <w:rPr>
          <w:rFonts w:hint="default" w:ascii="微软雅黑" w:hAnsi="微软雅黑" w:eastAsia="微软雅黑"/>
          <w:color w:val="auto"/>
        </w:rPr>
        <w:t>分</w:t>
      </w:r>
      <w:r>
        <w:rPr>
          <w:rFonts w:hint="eastAsia" w:ascii="微软雅黑" w:hAnsi="微软雅黑" w:eastAsia="微软雅黑"/>
          <w:color w:val="auto"/>
        </w:rPr>
        <w:t>。</w:t>
      </w:r>
    </w:p>
    <w:p>
      <w:pPr>
        <w:pStyle w:val="12"/>
        <w:numPr>
          <w:ilvl w:val="0"/>
          <w:numId w:val="3"/>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递交响应文件的地点：</w:t>
      </w:r>
      <w:r>
        <w:rPr>
          <w:rFonts w:hint="eastAsia" w:ascii="微软雅黑" w:hAnsi="微软雅黑" w:eastAsia="微软雅黑"/>
          <w:color w:val="auto"/>
          <w:lang w:eastAsia="zh-CN"/>
        </w:rPr>
        <w:t>长春市净月区生态大街3682号伟峰东樾11号楼2303室（生态大街与天工路交汇）</w:t>
      </w:r>
      <w:r>
        <w:rPr>
          <w:rFonts w:hint="eastAsia" w:ascii="微软雅黑" w:hAnsi="微软雅黑" w:eastAsia="微软雅黑"/>
          <w:color w:val="auto"/>
        </w:rPr>
        <w:t>。</w:t>
      </w:r>
    </w:p>
    <w:p>
      <w:pPr>
        <w:pStyle w:val="12"/>
        <w:numPr>
          <w:ilvl w:val="0"/>
          <w:numId w:val="3"/>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项目代理机构将在上述时间和地点公开接收响应文件，邮寄送达或逾期送达或未按本竞争性选择文件要求密封的响应文件将被拒收。</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五、响应文件的递交截止时间、开启时间和地点</w:t>
      </w:r>
    </w:p>
    <w:p>
      <w:pPr>
        <w:pStyle w:val="12"/>
        <w:keepNext w:val="0"/>
        <w:keepLines w:val="0"/>
        <w:pageBreakBefore w:val="0"/>
        <w:widowControl w:val="0"/>
        <w:numPr>
          <w:numId w:val="0"/>
        </w:numPr>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宋体" w:hAnsi="宋体" w:eastAsia="仿宋_GB2312" w:cs="宋体"/>
          <w:kern w:val="2"/>
          <w:sz w:val="32"/>
          <w:szCs w:val="32"/>
          <w:lang w:val="en-US" w:eastAsia="zh-CN" w:bidi="ar-SA"/>
        </w:rPr>
      </w:pPr>
      <w:r>
        <w:rPr>
          <w:rFonts w:hint="eastAsia" w:ascii="微软雅黑" w:hAnsi="微软雅黑" w:eastAsia="微软雅黑"/>
          <w:color w:val="auto"/>
        </w:rPr>
        <w:t>（一）</w:t>
      </w:r>
      <w:r>
        <w:rPr>
          <w:rFonts w:hint="eastAsia" w:ascii="宋体" w:hAnsi="宋体" w:eastAsia="仿宋_GB2312" w:cs="宋体"/>
          <w:kern w:val="2"/>
          <w:sz w:val="32"/>
          <w:szCs w:val="32"/>
          <w:lang w:val="en-US" w:eastAsia="zh-CN" w:bidi="ar-SA"/>
        </w:rPr>
        <w:t>响应文件的递交截止时间：</w:t>
      </w:r>
      <w:r>
        <w:rPr>
          <w:rFonts w:hint="default" w:ascii="宋体" w:hAnsi="宋体" w:eastAsia="仿宋_GB2312" w:cs="宋体"/>
          <w:kern w:val="2"/>
          <w:sz w:val="32"/>
          <w:szCs w:val="32"/>
          <w:lang w:val="en-US" w:eastAsia="zh-CN" w:bidi="ar-SA"/>
        </w:rPr>
        <w:t>2025年01月2</w:t>
      </w:r>
      <w:r>
        <w:rPr>
          <w:rFonts w:hint="eastAsia" w:ascii="宋体" w:hAnsi="宋体" w:eastAsia="仿宋_GB2312" w:cs="宋体"/>
          <w:kern w:val="2"/>
          <w:sz w:val="32"/>
          <w:szCs w:val="32"/>
          <w:lang w:val="en-US" w:eastAsia="zh-CN" w:bidi="ar-SA"/>
        </w:rPr>
        <w:t>6</w:t>
      </w:r>
      <w:r>
        <w:rPr>
          <w:rFonts w:hint="default" w:ascii="宋体" w:hAnsi="宋体" w:eastAsia="仿宋_GB2312" w:cs="宋体"/>
          <w:kern w:val="2"/>
          <w:sz w:val="32"/>
          <w:szCs w:val="32"/>
          <w:lang w:val="en-US" w:eastAsia="zh-CN" w:bidi="ar-SA"/>
        </w:rPr>
        <w:t>日</w:t>
      </w:r>
      <w:r>
        <w:rPr>
          <w:rFonts w:hint="eastAsia" w:ascii="宋体" w:hAnsi="宋体" w:eastAsia="仿宋_GB2312" w:cs="宋体"/>
          <w:kern w:val="2"/>
          <w:sz w:val="32"/>
          <w:szCs w:val="32"/>
          <w:lang w:val="en-US" w:eastAsia="zh-CN" w:bidi="ar-SA"/>
        </w:rPr>
        <w:t>9</w:t>
      </w:r>
      <w:r>
        <w:rPr>
          <w:rFonts w:hint="default" w:ascii="宋体" w:hAnsi="宋体" w:eastAsia="仿宋_GB2312" w:cs="宋体"/>
          <w:kern w:val="2"/>
          <w:sz w:val="32"/>
          <w:szCs w:val="32"/>
          <w:lang w:val="en-US" w:eastAsia="zh-CN" w:bidi="ar-SA"/>
        </w:rPr>
        <w:t>时</w:t>
      </w:r>
      <w:r>
        <w:rPr>
          <w:rFonts w:hint="eastAsia" w:ascii="宋体" w:hAnsi="宋体" w:eastAsia="仿宋_GB2312" w:cs="宋体"/>
          <w:kern w:val="2"/>
          <w:sz w:val="32"/>
          <w:szCs w:val="32"/>
          <w:lang w:val="en-US" w:eastAsia="zh-CN" w:bidi="ar-SA"/>
        </w:rPr>
        <w:t>3</w:t>
      </w:r>
      <w:r>
        <w:rPr>
          <w:rFonts w:hint="default" w:ascii="宋体" w:hAnsi="宋体" w:eastAsia="仿宋_GB2312" w:cs="宋体"/>
          <w:kern w:val="2"/>
          <w:sz w:val="32"/>
          <w:szCs w:val="32"/>
          <w:lang w:val="en-US" w:eastAsia="zh-CN" w:bidi="ar-SA"/>
        </w:rPr>
        <w:t>0分</w:t>
      </w:r>
      <w:r>
        <w:rPr>
          <w:rFonts w:hint="eastAsia" w:ascii="宋体" w:hAnsi="宋体" w:eastAsia="仿宋_GB2312" w:cs="宋体"/>
          <w:kern w:val="2"/>
          <w:sz w:val="32"/>
          <w:szCs w:val="32"/>
          <w:lang w:val="en-US" w:eastAsia="zh-CN" w:bidi="ar-SA"/>
        </w:rPr>
        <w:t>。</w:t>
      </w:r>
    </w:p>
    <w:p>
      <w:pPr>
        <w:pStyle w:val="12"/>
        <w:keepNext w:val="0"/>
        <w:keepLines w:val="0"/>
        <w:pageBreakBefore w:val="0"/>
        <w:widowControl w:val="0"/>
        <w:numPr>
          <w:numId w:val="0"/>
        </w:numPr>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宋体" w:hAnsi="宋体" w:eastAsia="仿宋_GB2312" w:cs="宋体"/>
          <w:kern w:val="2"/>
          <w:sz w:val="32"/>
          <w:szCs w:val="32"/>
          <w:lang w:val="en-US" w:eastAsia="zh-CN" w:bidi="ar-SA"/>
        </w:rPr>
      </w:pPr>
      <w:r>
        <w:rPr>
          <w:rFonts w:hint="eastAsia" w:ascii="宋体" w:hAnsi="宋体" w:eastAsia="仿宋_GB2312" w:cs="宋体"/>
          <w:kern w:val="2"/>
          <w:sz w:val="32"/>
          <w:szCs w:val="32"/>
          <w:lang w:val="en-US" w:eastAsia="zh-CN" w:bidi="ar-SA"/>
        </w:rPr>
        <w:t>（二）响应文件的开启时间：</w:t>
      </w:r>
      <w:r>
        <w:rPr>
          <w:rFonts w:hint="default" w:ascii="宋体" w:hAnsi="宋体" w:eastAsia="仿宋_GB2312" w:cs="宋体"/>
          <w:kern w:val="2"/>
          <w:sz w:val="32"/>
          <w:szCs w:val="32"/>
          <w:lang w:val="en-US" w:eastAsia="zh-CN" w:bidi="ar-SA"/>
        </w:rPr>
        <w:t>2025年01月2</w:t>
      </w:r>
      <w:r>
        <w:rPr>
          <w:rFonts w:hint="eastAsia" w:ascii="宋体" w:hAnsi="宋体" w:eastAsia="仿宋_GB2312" w:cs="宋体"/>
          <w:kern w:val="2"/>
          <w:sz w:val="32"/>
          <w:szCs w:val="32"/>
          <w:lang w:val="en-US" w:eastAsia="zh-CN" w:bidi="ar-SA"/>
        </w:rPr>
        <w:t>6</w:t>
      </w:r>
      <w:r>
        <w:rPr>
          <w:rFonts w:hint="default" w:ascii="宋体" w:hAnsi="宋体" w:eastAsia="仿宋_GB2312" w:cs="宋体"/>
          <w:kern w:val="2"/>
          <w:sz w:val="32"/>
          <w:szCs w:val="32"/>
          <w:lang w:val="en-US" w:eastAsia="zh-CN" w:bidi="ar-SA"/>
        </w:rPr>
        <w:t>日</w:t>
      </w:r>
      <w:r>
        <w:rPr>
          <w:rFonts w:hint="eastAsia" w:ascii="宋体" w:hAnsi="宋体" w:eastAsia="仿宋_GB2312" w:cs="宋体"/>
          <w:kern w:val="2"/>
          <w:sz w:val="32"/>
          <w:szCs w:val="32"/>
          <w:lang w:val="en-US" w:eastAsia="zh-CN" w:bidi="ar-SA"/>
        </w:rPr>
        <w:t>9</w:t>
      </w:r>
      <w:r>
        <w:rPr>
          <w:rFonts w:hint="default" w:ascii="宋体" w:hAnsi="宋体" w:eastAsia="仿宋_GB2312" w:cs="宋体"/>
          <w:kern w:val="2"/>
          <w:sz w:val="32"/>
          <w:szCs w:val="32"/>
          <w:lang w:val="en-US" w:eastAsia="zh-CN" w:bidi="ar-SA"/>
        </w:rPr>
        <w:t>时</w:t>
      </w:r>
      <w:r>
        <w:rPr>
          <w:rFonts w:hint="eastAsia" w:ascii="宋体" w:hAnsi="宋体" w:eastAsia="仿宋_GB2312" w:cs="宋体"/>
          <w:kern w:val="2"/>
          <w:sz w:val="32"/>
          <w:szCs w:val="32"/>
          <w:lang w:val="en-US" w:eastAsia="zh-CN" w:bidi="ar-SA"/>
        </w:rPr>
        <w:t>3</w:t>
      </w:r>
      <w:r>
        <w:rPr>
          <w:rFonts w:hint="default" w:ascii="宋体" w:hAnsi="宋体" w:eastAsia="仿宋_GB2312" w:cs="宋体"/>
          <w:kern w:val="2"/>
          <w:sz w:val="32"/>
          <w:szCs w:val="32"/>
          <w:lang w:val="en-US" w:eastAsia="zh-CN" w:bidi="ar-SA"/>
        </w:rPr>
        <w:t>0分</w:t>
      </w:r>
      <w:r>
        <w:rPr>
          <w:rFonts w:hint="eastAsia" w:ascii="宋体" w:hAnsi="宋体" w:eastAsia="仿宋_GB2312" w:cs="宋体"/>
          <w:kern w:val="2"/>
          <w:sz w:val="32"/>
          <w:szCs w:val="32"/>
          <w:lang w:val="en-US" w:eastAsia="zh-CN" w:bidi="ar-SA"/>
        </w:rPr>
        <w:t>。</w:t>
      </w:r>
    </w:p>
    <w:p>
      <w:pPr>
        <w:pStyle w:val="12"/>
        <w:keepNext w:val="0"/>
        <w:keepLines w:val="0"/>
        <w:pageBreakBefore w:val="0"/>
        <w:widowControl w:val="0"/>
        <w:numPr>
          <w:numId w:val="0"/>
        </w:numPr>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宋体" w:hAnsi="宋体" w:eastAsia="仿宋_GB2312" w:cs="宋体"/>
          <w:kern w:val="2"/>
          <w:sz w:val="32"/>
          <w:szCs w:val="32"/>
          <w:lang w:val="en-US" w:eastAsia="zh-CN" w:bidi="ar-SA"/>
        </w:rPr>
      </w:pPr>
      <w:r>
        <w:rPr>
          <w:rFonts w:hint="eastAsia" w:ascii="宋体" w:hAnsi="宋体" w:eastAsia="仿宋_GB2312" w:cs="宋体"/>
          <w:kern w:val="2"/>
          <w:sz w:val="32"/>
          <w:szCs w:val="32"/>
          <w:lang w:val="en-US" w:eastAsia="zh-CN" w:bidi="ar-SA"/>
        </w:rPr>
        <w:t>（三）响应文件的开启地点：长春市净月区生态大街3682号伟峰东樾11号楼2303室（生态大街与天工路交汇）。</w:t>
      </w:r>
    </w:p>
    <w:p>
      <w:pPr>
        <w:pStyle w:val="12"/>
        <w:spacing w:line="400" w:lineRule="exact"/>
        <w:rPr>
          <w:rFonts w:hint="eastAsia" w:ascii="微软雅黑" w:hAnsi="微软雅黑" w:eastAsia="微软雅黑"/>
          <w:color w:val="auto"/>
        </w:rPr>
      </w:pPr>
      <w:r>
        <w:rPr>
          <w:rFonts w:hint="eastAsia" w:ascii="微软雅黑" w:hAnsi="微软雅黑" w:eastAsia="微软雅黑"/>
          <w:b/>
          <w:color w:val="auto"/>
        </w:rPr>
        <w:t>六、保证金金额：</w:t>
      </w:r>
      <w:r>
        <w:rPr>
          <w:rFonts w:hint="eastAsia" w:ascii="微软雅黑" w:hAnsi="微软雅黑" w:eastAsia="微软雅黑"/>
          <w:b/>
          <w:color w:val="auto"/>
          <w:lang w:eastAsia="zh-CN"/>
        </w:rPr>
        <w:t>无</w:t>
      </w:r>
      <w:r>
        <w:rPr>
          <w:rFonts w:hint="eastAsia" w:ascii="微软雅黑" w:hAnsi="微软雅黑" w:eastAsia="微软雅黑"/>
          <w:b/>
          <w:color w:val="auto"/>
        </w:rPr>
        <w:t>。</w:t>
      </w:r>
    </w:p>
    <w:p>
      <w:pPr>
        <w:pStyle w:val="12"/>
        <w:spacing w:line="400" w:lineRule="exact"/>
        <w:rPr>
          <w:rFonts w:ascii="微软雅黑" w:hAnsi="微软雅黑" w:eastAsia="微软雅黑"/>
          <w:b/>
          <w:color w:val="auto"/>
        </w:rPr>
      </w:pPr>
      <w:r>
        <w:rPr>
          <w:rFonts w:hint="eastAsia" w:ascii="微软雅黑" w:hAnsi="微软雅黑" w:eastAsia="微软雅黑"/>
          <w:b/>
          <w:color w:val="auto"/>
          <w:lang w:val="en-US" w:eastAsia="zh-CN"/>
        </w:rPr>
        <w:t>七、</w:t>
      </w:r>
      <w:r>
        <w:rPr>
          <w:rFonts w:hint="eastAsia" w:ascii="微软雅黑" w:hAnsi="微软雅黑" w:eastAsia="微软雅黑"/>
          <w:b/>
          <w:color w:val="auto"/>
        </w:rPr>
        <w:t>联系方式</w:t>
      </w:r>
    </w:p>
    <w:p>
      <w:pPr>
        <w:pStyle w:val="12"/>
        <w:numPr>
          <w:ilvl w:val="0"/>
          <w:numId w:val="0"/>
        </w:numPr>
        <w:spacing w:line="400" w:lineRule="exact"/>
        <w:ind w:left="420" w:leftChars="0" w:right="0" w:rightChars="0"/>
        <w:rPr>
          <w:rFonts w:hint="eastAsia" w:ascii="微软雅黑" w:hAnsi="微软雅黑" w:eastAsia="微软雅黑"/>
          <w:color w:val="auto"/>
        </w:rPr>
      </w:pPr>
      <w:r>
        <w:rPr>
          <w:rFonts w:hint="eastAsia" w:ascii="微软雅黑" w:hAnsi="微软雅黑" w:eastAsia="微软雅黑"/>
          <w:color w:val="auto"/>
          <w:lang w:eastAsia="zh-CN"/>
        </w:rPr>
        <w:t>（</w:t>
      </w:r>
      <w:r>
        <w:rPr>
          <w:rFonts w:hint="eastAsia" w:ascii="微软雅黑" w:hAnsi="微软雅黑" w:eastAsia="微软雅黑"/>
          <w:color w:val="auto"/>
          <w:lang w:val="en-US" w:eastAsia="zh-CN"/>
        </w:rPr>
        <w:t>一</w:t>
      </w:r>
      <w:r>
        <w:rPr>
          <w:rFonts w:hint="eastAsia" w:ascii="微软雅黑" w:hAnsi="微软雅黑" w:eastAsia="微软雅黑"/>
          <w:color w:val="auto"/>
          <w:lang w:eastAsia="zh-CN"/>
        </w:rPr>
        <w:t>）</w:t>
      </w:r>
      <w:bookmarkStart w:id="31" w:name="_GoBack"/>
      <w:r>
        <w:rPr>
          <w:rFonts w:hint="eastAsia" w:ascii="微软雅黑" w:hAnsi="微软雅黑" w:eastAsia="微软雅黑"/>
          <w:color w:val="auto"/>
        </w:rPr>
        <w:t>项目实施机构：</w:t>
      </w:r>
      <w:r>
        <w:rPr>
          <w:rFonts w:hint="eastAsia" w:ascii="微软雅黑" w:hAnsi="微软雅黑" w:eastAsia="微软雅黑"/>
          <w:color w:val="auto"/>
          <w:lang w:eastAsia="zh-CN"/>
        </w:rPr>
        <w:t>吉林省财政厅</w:t>
      </w:r>
      <w:r>
        <w:rPr>
          <w:rFonts w:hint="eastAsia" w:ascii="微软雅黑" w:hAnsi="微软雅黑" w:eastAsia="微软雅黑"/>
          <w:color w:val="auto"/>
        </w:rPr>
        <w:t>；</w:t>
      </w:r>
    </w:p>
    <w:p>
      <w:pPr>
        <w:pStyle w:val="12"/>
        <w:spacing w:line="400" w:lineRule="exact"/>
        <w:ind w:left="840" w:firstLine="0" w:firstLineChars="0"/>
        <w:rPr>
          <w:rFonts w:ascii="微软雅黑" w:hAnsi="微软雅黑" w:eastAsia="微软雅黑"/>
          <w:color w:val="auto"/>
        </w:rPr>
      </w:pPr>
      <w:r>
        <w:rPr>
          <w:rFonts w:hint="eastAsia" w:ascii="微软雅黑" w:hAnsi="微软雅黑" w:eastAsia="微软雅黑"/>
          <w:color w:val="auto"/>
        </w:rPr>
        <w:t>地</w:t>
      </w:r>
      <w:r>
        <w:rPr>
          <w:rFonts w:hint="default" w:ascii="微软雅黑" w:hAnsi="微软雅黑" w:eastAsia="微软雅黑"/>
          <w:color w:val="auto"/>
        </w:rPr>
        <w:t xml:space="preserve">  </w:t>
      </w:r>
      <w:r>
        <w:rPr>
          <w:rFonts w:hint="eastAsia" w:ascii="微软雅黑" w:hAnsi="微软雅黑" w:eastAsia="微软雅黑"/>
          <w:color w:val="auto"/>
        </w:rPr>
        <w:t>址：</w:t>
      </w:r>
      <w:r>
        <w:rPr>
          <w:rFonts w:hint="eastAsia" w:ascii="微软雅黑" w:hAnsi="微软雅黑" w:eastAsia="微软雅黑"/>
          <w:color w:val="auto"/>
          <w:lang w:eastAsia="zh-CN"/>
        </w:rPr>
        <w:t>吉林省长春市人民大街</w:t>
      </w:r>
      <w:r>
        <w:rPr>
          <w:rFonts w:hint="eastAsia" w:ascii="微软雅黑" w:hAnsi="微软雅黑" w:eastAsia="微软雅黑"/>
          <w:color w:val="auto"/>
          <w:lang w:val="en-US" w:eastAsia="zh-CN"/>
        </w:rPr>
        <w:t>3646</w:t>
      </w:r>
      <w:r>
        <w:rPr>
          <w:rFonts w:hint="eastAsia" w:ascii="微软雅黑" w:hAnsi="微软雅黑" w:eastAsia="微软雅黑"/>
          <w:color w:val="auto"/>
        </w:rPr>
        <w:t>号；</w:t>
      </w:r>
    </w:p>
    <w:p>
      <w:pPr>
        <w:spacing w:line="400" w:lineRule="exact"/>
        <w:ind w:left="420" w:firstLine="420" w:firstLineChars="200"/>
        <w:rPr>
          <w:rFonts w:ascii="微软雅黑" w:hAnsi="微软雅黑" w:eastAsia="微软雅黑"/>
          <w:b w:val="0"/>
          <w:bCs w:val="0"/>
          <w:color w:val="auto"/>
        </w:rPr>
      </w:pPr>
      <w:r>
        <w:rPr>
          <w:rFonts w:hint="eastAsia" w:ascii="微软雅黑" w:hAnsi="微软雅黑" w:eastAsia="微软雅黑"/>
          <w:b w:val="0"/>
          <w:bCs w:val="0"/>
          <w:color w:val="auto"/>
        </w:rPr>
        <w:t>联系人：</w:t>
      </w:r>
      <w:r>
        <w:rPr>
          <w:rFonts w:hint="eastAsia" w:ascii="微软雅黑" w:hAnsi="微软雅黑" w:eastAsia="微软雅黑"/>
          <w:b w:val="0"/>
          <w:bCs w:val="0"/>
          <w:color w:val="auto"/>
          <w:lang w:eastAsia="zh-CN"/>
        </w:rPr>
        <w:t>吕先生</w:t>
      </w:r>
      <w:r>
        <w:rPr>
          <w:rFonts w:hint="eastAsia" w:ascii="微软雅黑" w:hAnsi="微软雅黑" w:eastAsia="微软雅黑"/>
          <w:b w:val="0"/>
          <w:bCs w:val="0"/>
          <w:color w:val="auto"/>
          <w:lang w:val="en-US" w:eastAsia="zh-CN"/>
        </w:rPr>
        <w:t>;</w:t>
      </w:r>
    </w:p>
    <w:p>
      <w:pPr>
        <w:spacing w:line="400" w:lineRule="exact"/>
        <w:ind w:left="420" w:firstLine="420" w:firstLineChars="200"/>
        <w:rPr>
          <w:rFonts w:ascii="微软雅黑" w:hAnsi="微软雅黑" w:eastAsia="微软雅黑"/>
          <w:b w:val="0"/>
          <w:bCs w:val="0"/>
          <w:i w:val="0"/>
          <w:iCs w:val="0"/>
          <w:color w:val="auto"/>
        </w:rPr>
      </w:pPr>
      <w:r>
        <w:rPr>
          <w:rFonts w:hint="eastAsia" w:ascii="微软雅黑" w:hAnsi="微软雅黑" w:eastAsia="微软雅黑"/>
          <w:b w:val="0"/>
          <w:bCs w:val="0"/>
          <w:color w:val="auto"/>
        </w:rPr>
        <w:t>电</w:t>
      </w:r>
      <w:r>
        <w:rPr>
          <w:rFonts w:hint="eastAsia" w:ascii="微软雅黑" w:hAnsi="微软雅黑" w:eastAsia="微软雅黑"/>
          <w:b w:val="0"/>
          <w:bCs w:val="0"/>
          <w:color w:val="auto"/>
          <w:lang w:val="en-US" w:eastAsia="zh-CN"/>
        </w:rPr>
        <w:t xml:space="preserve">  </w:t>
      </w:r>
      <w:r>
        <w:rPr>
          <w:rFonts w:hint="eastAsia" w:ascii="微软雅黑" w:hAnsi="微软雅黑" w:eastAsia="微软雅黑"/>
          <w:b w:val="0"/>
          <w:bCs w:val="0"/>
          <w:color w:val="auto"/>
        </w:rPr>
        <w:t>话：</w:t>
      </w:r>
      <w:r>
        <w:rPr>
          <w:rFonts w:hint="default" w:ascii="微软雅黑" w:hAnsi="微软雅黑" w:eastAsia="微软雅黑"/>
          <w:b w:val="0"/>
          <w:bCs w:val="0"/>
          <w:i w:val="0"/>
          <w:iCs w:val="0"/>
          <w:color w:val="auto"/>
        </w:rPr>
        <w:t>0</w:t>
      </w:r>
      <w:r>
        <w:rPr>
          <w:rFonts w:hint="eastAsia" w:ascii="微软雅黑" w:hAnsi="微软雅黑" w:eastAsia="微软雅黑"/>
          <w:b w:val="0"/>
          <w:bCs w:val="0"/>
          <w:i w:val="0"/>
          <w:iCs w:val="0"/>
          <w:color w:val="auto"/>
          <w:lang w:val="en-US" w:eastAsia="zh-CN"/>
        </w:rPr>
        <w:t>431-88550863。</w:t>
      </w:r>
    </w:p>
    <w:p>
      <w:pPr>
        <w:pStyle w:val="12"/>
        <w:numPr>
          <w:ilvl w:val="0"/>
          <w:numId w:val="0"/>
        </w:numPr>
        <w:spacing w:line="400" w:lineRule="exact"/>
        <w:ind w:left="420" w:leftChars="0" w:right="0" w:rightChars="0"/>
        <w:rPr>
          <w:rFonts w:ascii="微软雅黑" w:hAnsi="微软雅黑" w:eastAsia="微软雅黑"/>
          <w:color w:val="auto"/>
        </w:rPr>
      </w:pPr>
      <w:r>
        <w:rPr>
          <w:rFonts w:hint="eastAsia" w:ascii="微软雅黑" w:hAnsi="微软雅黑" w:eastAsia="微软雅黑"/>
          <w:color w:val="auto"/>
          <w:lang w:eastAsia="zh-CN"/>
        </w:rPr>
        <w:t>（</w:t>
      </w:r>
      <w:r>
        <w:rPr>
          <w:rFonts w:hint="eastAsia" w:ascii="微软雅黑" w:hAnsi="微软雅黑" w:eastAsia="微软雅黑"/>
          <w:color w:val="auto"/>
          <w:lang w:val="en-US" w:eastAsia="zh-CN"/>
        </w:rPr>
        <w:t>二</w:t>
      </w:r>
      <w:r>
        <w:rPr>
          <w:rFonts w:hint="eastAsia" w:ascii="微软雅黑" w:hAnsi="微软雅黑" w:eastAsia="微软雅黑"/>
          <w:color w:val="auto"/>
          <w:lang w:eastAsia="zh-CN"/>
        </w:rPr>
        <w:t>）</w:t>
      </w:r>
      <w:r>
        <w:rPr>
          <w:rFonts w:hint="eastAsia" w:ascii="微软雅黑" w:hAnsi="微软雅黑" w:eastAsia="微软雅黑"/>
          <w:color w:val="auto"/>
        </w:rPr>
        <w:t>项目代理机构：</w:t>
      </w:r>
      <w:r>
        <w:rPr>
          <w:rFonts w:hint="eastAsia" w:ascii="微软雅黑" w:hAnsi="微软雅黑" w:eastAsia="微软雅黑"/>
          <w:color w:val="auto"/>
          <w:lang w:eastAsia="zh-CN"/>
        </w:rPr>
        <w:t>中金招标有限责任公司；</w:t>
      </w:r>
    </w:p>
    <w:p>
      <w:pPr>
        <w:pStyle w:val="12"/>
        <w:spacing w:line="400" w:lineRule="exact"/>
        <w:ind w:left="840" w:firstLine="0" w:firstLineChars="0"/>
        <w:rPr>
          <w:rFonts w:hint="default" w:ascii="微软雅黑" w:hAnsi="微软雅黑" w:eastAsia="微软雅黑"/>
          <w:color w:val="auto"/>
          <w:lang w:val="en-US"/>
        </w:rPr>
      </w:pPr>
      <w:r>
        <w:rPr>
          <w:rFonts w:hint="eastAsia" w:ascii="微软雅黑" w:hAnsi="微软雅黑" w:eastAsia="微软雅黑"/>
          <w:color w:val="auto"/>
        </w:rPr>
        <w:t>地</w:t>
      </w:r>
      <w:r>
        <w:rPr>
          <w:rFonts w:hint="default" w:ascii="微软雅黑" w:hAnsi="微软雅黑" w:eastAsia="微软雅黑"/>
          <w:color w:val="auto"/>
        </w:rPr>
        <w:t xml:space="preserve">  </w:t>
      </w:r>
      <w:r>
        <w:rPr>
          <w:rFonts w:hint="eastAsia" w:ascii="微软雅黑" w:hAnsi="微软雅黑" w:eastAsia="微软雅黑"/>
          <w:color w:val="auto"/>
        </w:rPr>
        <w:t>址：</w:t>
      </w:r>
      <w:r>
        <w:rPr>
          <w:rFonts w:hint="eastAsia" w:ascii="微软雅黑" w:hAnsi="微软雅黑" w:eastAsia="微软雅黑"/>
          <w:color w:val="auto"/>
          <w:lang w:eastAsia="zh-CN"/>
        </w:rPr>
        <w:t>长春市净月区生态大街3682号伟峰东樾11号楼2303室（生态大街与天工路交汇）</w:t>
      </w:r>
      <w:r>
        <w:rPr>
          <w:rFonts w:hint="eastAsia" w:ascii="微软雅黑" w:hAnsi="微软雅黑" w:eastAsia="微软雅黑"/>
          <w:color w:val="auto"/>
          <w:lang w:val="en-US" w:eastAsia="zh-CN"/>
        </w:rPr>
        <w:t>；</w:t>
      </w:r>
    </w:p>
    <w:p>
      <w:pPr>
        <w:pStyle w:val="12"/>
        <w:spacing w:line="400" w:lineRule="exact"/>
        <w:ind w:left="840" w:firstLine="0" w:firstLineChars="0"/>
        <w:rPr>
          <w:rFonts w:hint="eastAsia" w:ascii="微软雅黑" w:hAnsi="微软雅黑" w:eastAsia="微软雅黑"/>
          <w:color w:val="auto"/>
          <w:lang w:eastAsia="zh-CN"/>
        </w:rPr>
      </w:pPr>
      <w:r>
        <w:rPr>
          <w:rFonts w:hint="eastAsia" w:ascii="微软雅黑" w:hAnsi="微软雅黑" w:eastAsia="微软雅黑"/>
          <w:color w:val="auto"/>
        </w:rPr>
        <w:t>联系人：</w:t>
      </w:r>
      <w:r>
        <w:rPr>
          <w:rFonts w:hint="eastAsia" w:ascii="微软雅黑" w:hAnsi="微软雅黑" w:eastAsia="微软雅黑"/>
          <w:color w:val="auto"/>
          <w:lang w:val="en-US" w:eastAsia="zh-CN"/>
        </w:rPr>
        <w:t>焦媛媛</w:t>
      </w:r>
      <w:r>
        <w:rPr>
          <w:rFonts w:hint="eastAsia" w:ascii="微软雅黑" w:hAnsi="微软雅黑" w:eastAsia="微软雅黑"/>
          <w:color w:val="auto"/>
          <w:lang w:eastAsia="zh-CN"/>
        </w:rPr>
        <w:t>；</w:t>
      </w:r>
    </w:p>
    <w:p>
      <w:pPr>
        <w:pStyle w:val="12"/>
        <w:spacing w:line="400" w:lineRule="exact"/>
        <w:ind w:left="840" w:firstLine="0" w:firstLineChars="0"/>
        <w:rPr>
          <w:rFonts w:ascii="微软雅黑" w:hAnsi="微软雅黑" w:eastAsia="微软雅黑"/>
          <w:color w:val="auto"/>
        </w:rPr>
      </w:pPr>
      <w:r>
        <w:rPr>
          <w:rFonts w:hint="eastAsia" w:ascii="微软雅黑" w:hAnsi="微软雅黑" w:eastAsia="微软雅黑"/>
          <w:color w:val="auto"/>
        </w:rPr>
        <w:t>电</w:t>
      </w:r>
      <w:r>
        <w:rPr>
          <w:rFonts w:hint="default" w:ascii="微软雅黑" w:hAnsi="微软雅黑" w:eastAsia="微软雅黑"/>
          <w:color w:val="auto"/>
        </w:rPr>
        <w:t xml:space="preserve">  </w:t>
      </w:r>
      <w:r>
        <w:rPr>
          <w:rFonts w:hint="eastAsia" w:ascii="微软雅黑" w:hAnsi="微软雅黑" w:eastAsia="微软雅黑"/>
          <w:color w:val="auto"/>
        </w:rPr>
        <w:t>话：</w:t>
      </w:r>
      <w:r>
        <w:rPr>
          <w:rFonts w:hint="eastAsia" w:ascii="微软雅黑" w:hAnsi="微软雅黑" w:eastAsia="微软雅黑"/>
          <w:color w:val="auto"/>
          <w:lang w:val="en-US" w:eastAsia="zh-CN"/>
        </w:rPr>
        <w:t>0431-81150785</w:t>
      </w:r>
      <w:r>
        <w:rPr>
          <w:rFonts w:hint="eastAsia" w:ascii="微软雅黑" w:hAnsi="微软雅黑" w:eastAsia="微软雅黑"/>
          <w:color w:val="auto"/>
        </w:rPr>
        <w:t>。</w:t>
      </w:r>
    </w:p>
    <w:p>
      <w:pPr>
        <w:pStyle w:val="12"/>
        <w:spacing w:line="400" w:lineRule="exact"/>
        <w:rPr>
          <w:rFonts w:ascii="微软雅黑" w:hAnsi="微软雅黑" w:eastAsia="微软雅黑"/>
          <w:b/>
          <w:color w:val="auto"/>
        </w:rPr>
      </w:pPr>
      <w:r>
        <w:rPr>
          <w:rFonts w:hint="eastAsia" w:ascii="微软雅黑" w:hAnsi="微软雅黑" w:eastAsia="微软雅黑"/>
          <w:b/>
          <w:color w:val="auto"/>
        </w:rPr>
        <w:t>七、竞争性选择公告发布媒体</w:t>
      </w:r>
    </w:p>
    <w:p>
      <w:pPr>
        <w:pStyle w:val="12"/>
        <w:numPr>
          <w:ilvl w:val="0"/>
          <w:numId w:val="4"/>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rPr>
        <w:t>本项目竞争性选择公告将在</w:t>
      </w:r>
      <w:r>
        <w:rPr>
          <w:rFonts w:hint="eastAsia" w:ascii="微软雅黑" w:hAnsi="微软雅黑" w:eastAsia="微软雅黑"/>
          <w:color w:val="auto"/>
          <w:lang w:eastAsia="zh-CN"/>
        </w:rPr>
        <w:t>吉林省财政厅</w:t>
      </w:r>
      <w:r>
        <w:rPr>
          <w:rFonts w:hint="eastAsia" w:ascii="微软雅黑" w:hAnsi="微软雅黑" w:eastAsia="微软雅黑"/>
          <w:color w:val="auto"/>
        </w:rPr>
        <w:t>门户网站（</w:t>
      </w:r>
      <w:r>
        <w:rPr>
          <w:rFonts w:hint="default" w:ascii="微软雅黑" w:hAnsi="微软雅黑" w:eastAsia="微软雅黑"/>
          <w:color w:val="auto"/>
        </w:rPr>
        <w:t>http://</w:t>
      </w:r>
      <w:r>
        <w:rPr>
          <w:rFonts w:hint="eastAsia" w:ascii="微软雅黑" w:hAnsi="微软雅黑" w:eastAsia="微软雅黑"/>
          <w:color w:val="auto"/>
          <w:lang w:val="en-US" w:eastAsia="zh-CN"/>
        </w:rPr>
        <w:t>czt</w:t>
      </w:r>
      <w:r>
        <w:rPr>
          <w:rFonts w:hint="default" w:ascii="微软雅黑" w:hAnsi="微软雅黑" w:eastAsia="微软雅黑"/>
          <w:color w:val="auto"/>
        </w:rPr>
        <w:t>.</w:t>
      </w:r>
      <w:r>
        <w:rPr>
          <w:rFonts w:hint="eastAsia" w:ascii="微软雅黑" w:hAnsi="微软雅黑" w:eastAsia="微软雅黑"/>
          <w:color w:val="auto"/>
          <w:lang w:val="en-US" w:eastAsia="zh-CN"/>
        </w:rPr>
        <w:t>jl</w:t>
      </w:r>
      <w:r>
        <w:rPr>
          <w:rFonts w:hint="default" w:ascii="微软雅黑" w:hAnsi="微软雅黑" w:eastAsia="微软雅黑"/>
          <w:color w:val="auto"/>
        </w:rPr>
        <w:t>.gov.cn/</w:t>
      </w:r>
      <w:r>
        <w:rPr>
          <w:rFonts w:hint="eastAsia" w:ascii="微软雅黑" w:hAnsi="微软雅黑" w:eastAsia="微软雅黑"/>
          <w:color w:val="auto"/>
        </w:rPr>
        <w:t>）上发布。</w:t>
      </w:r>
    </w:p>
    <w:p>
      <w:pPr>
        <w:pStyle w:val="12"/>
        <w:numPr>
          <w:ilvl w:val="0"/>
          <w:numId w:val="4"/>
        </w:numPr>
        <w:spacing w:line="400" w:lineRule="exact"/>
        <w:ind w:left="840" w:hanging="420" w:firstLineChars="0"/>
        <w:rPr>
          <w:rFonts w:ascii="微软雅黑" w:hAnsi="微软雅黑" w:eastAsia="微软雅黑"/>
          <w:color w:val="auto"/>
        </w:rPr>
      </w:pPr>
      <w:r>
        <w:rPr>
          <w:rFonts w:hint="eastAsia" w:ascii="微软雅黑" w:hAnsi="微软雅黑" w:eastAsia="微软雅黑"/>
          <w:color w:val="auto"/>
          <w:lang w:eastAsia="zh-CN"/>
        </w:rPr>
        <w:t>中国政府采购网（http://www.ccgp.gov.cn/）</w:t>
      </w:r>
    </w:p>
    <w:bookmarkEnd w:id="31"/>
    <w:p>
      <w:pPr>
        <w:pStyle w:val="3"/>
        <w:spacing w:line="240" w:lineRule="auto"/>
        <w:rPr>
          <w:color w:val="auto"/>
          <w:sz w:val="44"/>
          <w:szCs w:val="44"/>
        </w:rPr>
      </w:pPr>
      <w:bookmarkStart w:id="5" w:name="_Toc508709710"/>
      <w:bookmarkStart w:id="6" w:name="_Toc498592999"/>
      <w:bookmarkStart w:id="7" w:name="_Toc498593024"/>
    </w:p>
    <w:p>
      <w:pPr>
        <w:pStyle w:val="3"/>
        <w:spacing w:line="240" w:lineRule="auto"/>
        <w:rPr>
          <w:color w:val="auto"/>
          <w:sz w:val="44"/>
          <w:szCs w:val="44"/>
        </w:rPr>
      </w:pPr>
    </w:p>
    <w:p>
      <w:pPr>
        <w:pStyle w:val="3"/>
        <w:spacing w:line="240" w:lineRule="auto"/>
        <w:rPr>
          <w:rFonts w:ascii="微软雅黑" w:hAnsi="微软雅黑"/>
          <w:color w:val="auto"/>
          <w:sz w:val="32"/>
          <w:szCs w:val="32"/>
        </w:rPr>
      </w:pPr>
      <w:r>
        <w:rPr>
          <w:rFonts w:hint="default"/>
          <w:color w:val="auto"/>
          <w:sz w:val="44"/>
          <w:szCs w:val="44"/>
        </w:rPr>
        <w:br w:type="page"/>
      </w:r>
      <w:bookmarkEnd w:id="5"/>
      <w:bookmarkEnd w:id="6"/>
      <w:bookmarkEnd w:id="7"/>
      <w:bookmarkStart w:id="8" w:name="_Toc28918"/>
      <w:bookmarkStart w:id="9" w:name="_Toc2533"/>
      <w:bookmarkStart w:id="10" w:name="_Toc498593001"/>
      <w:bookmarkStart w:id="11" w:name="_Toc498593026"/>
      <w:r>
        <w:rPr>
          <w:rFonts w:hint="eastAsia" w:ascii="微软雅黑" w:hAnsi="微软雅黑"/>
          <w:color w:val="auto"/>
          <w:sz w:val="32"/>
          <w:szCs w:val="32"/>
        </w:rPr>
        <w:t>第二章</w:t>
      </w:r>
      <w:r>
        <w:rPr>
          <w:rFonts w:hint="default" w:ascii="微软雅黑" w:hAnsi="微软雅黑"/>
          <w:color w:val="auto"/>
          <w:sz w:val="32"/>
          <w:szCs w:val="32"/>
        </w:rPr>
        <w:t xml:space="preserve">  </w:t>
      </w:r>
      <w:r>
        <w:rPr>
          <w:rFonts w:hint="eastAsia" w:ascii="微软雅黑" w:hAnsi="微软雅黑"/>
          <w:color w:val="auto"/>
          <w:sz w:val="32"/>
          <w:szCs w:val="32"/>
        </w:rPr>
        <w:t>响应人须知</w:t>
      </w:r>
      <w:bookmarkEnd w:id="8"/>
      <w:bookmarkEnd w:id="9"/>
    </w:p>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响应人须知前附表</w:t>
      </w:r>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微软雅黑" w:hAnsi="微软雅黑" w:eastAsia="微软雅黑"/>
                <w:color w:val="auto"/>
              </w:rPr>
            </w:pPr>
            <w:r>
              <w:rPr>
                <w:rFonts w:hint="eastAsia" w:ascii="微软雅黑" w:hAnsi="微软雅黑" w:eastAsia="微软雅黑"/>
                <w:color w:val="auto"/>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微软雅黑" w:hAnsi="微软雅黑" w:eastAsia="微软雅黑"/>
                <w:color w:val="auto"/>
              </w:rPr>
            </w:pPr>
            <w:r>
              <w:rPr>
                <w:rFonts w:hint="eastAsia" w:ascii="微软雅黑" w:hAnsi="微软雅黑" w:eastAsia="微软雅黑"/>
                <w:color w:val="auto"/>
              </w:rPr>
              <w:t>须知事项</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jc w:val="left"/>
              <w:rPr>
                <w:rFonts w:ascii="微软雅黑" w:hAnsi="微软雅黑" w:eastAsia="微软雅黑"/>
                <w:color w:val="auto"/>
              </w:rPr>
            </w:pPr>
            <w:r>
              <w:rPr>
                <w:rFonts w:hint="eastAsia" w:ascii="微软雅黑" w:hAnsi="微软雅黑" w:eastAsia="微软雅黑"/>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响应文件应包括的内容</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★资格证明文件（见第三章）；</w:t>
            </w:r>
          </w:p>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★响应函；</w:t>
            </w:r>
          </w:p>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w:t>
            </w:r>
            <w:r>
              <w:rPr>
                <w:rFonts w:hint="eastAsia" w:ascii="微软雅黑" w:hAnsi="微软雅黑" w:eastAsia="微软雅黑"/>
                <w:color w:val="auto"/>
                <w:lang w:eastAsia="zh-CN"/>
              </w:rPr>
              <w:t>竞争性</w:t>
            </w:r>
            <w:r>
              <w:rPr>
                <w:rFonts w:hint="eastAsia" w:ascii="微软雅黑" w:hAnsi="微软雅黑" w:eastAsia="微软雅黑"/>
                <w:color w:val="auto"/>
              </w:rPr>
              <w:t>项目要求响应表；</w:t>
            </w:r>
          </w:p>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★金融机构相关指标情况表；</w:t>
            </w:r>
          </w:p>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金融服务方案</w:t>
            </w:r>
          </w:p>
          <w:p>
            <w:pPr>
              <w:pStyle w:val="12"/>
              <w:widowControl/>
              <w:numPr>
                <w:ilvl w:val="0"/>
                <w:numId w:val="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与评选有关及响应人认为需要提供的其他资料。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★响应有效期</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8"/>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自响应文件递交截止之日起</w:t>
            </w:r>
            <w:r>
              <w:rPr>
                <w:rFonts w:hint="default" w:ascii="微软雅黑" w:hAnsi="微软雅黑" w:eastAsia="微软雅黑"/>
                <w:color w:val="auto"/>
              </w:rPr>
              <w:t>90</w:t>
            </w:r>
            <w:r>
              <w:rPr>
                <w:rFonts w:hint="eastAsia" w:ascii="微软雅黑" w:hAnsi="微软雅黑" w:eastAsia="微软雅黑"/>
                <w:color w:val="auto"/>
              </w:rPr>
              <w:t>日。</w:t>
            </w:r>
          </w:p>
          <w:p>
            <w:pPr>
              <w:pStyle w:val="12"/>
              <w:widowControl/>
              <w:numPr>
                <w:ilvl w:val="0"/>
                <w:numId w:val="8"/>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响应文件的响应函中承诺的响应有效期少于上述规定期限的，响应无效。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★响应文件的数量</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9"/>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响应文件一式</w:t>
            </w:r>
            <w:r>
              <w:rPr>
                <w:rFonts w:hint="eastAsia" w:ascii="微软雅黑" w:hAnsi="微软雅黑" w:eastAsia="微软雅黑"/>
                <w:color w:val="auto"/>
                <w:lang w:eastAsia="zh-CN"/>
              </w:rPr>
              <w:t>七</w:t>
            </w:r>
            <w:r>
              <w:rPr>
                <w:rFonts w:hint="eastAsia" w:ascii="微软雅黑" w:hAnsi="微软雅黑" w:eastAsia="微软雅黑"/>
                <w:color w:val="auto"/>
              </w:rPr>
              <w:t>份：纸质版正本</w:t>
            </w:r>
            <w:r>
              <w:rPr>
                <w:rFonts w:hint="default" w:ascii="微软雅黑" w:hAnsi="微软雅黑" w:eastAsia="微软雅黑"/>
                <w:color w:val="auto"/>
              </w:rPr>
              <w:t>1</w:t>
            </w:r>
            <w:r>
              <w:rPr>
                <w:rFonts w:hint="eastAsia" w:ascii="微软雅黑" w:hAnsi="微软雅黑" w:eastAsia="微软雅黑"/>
                <w:color w:val="auto"/>
              </w:rPr>
              <w:t>份、副本</w:t>
            </w:r>
            <w:r>
              <w:rPr>
                <w:rFonts w:hint="default" w:ascii="微软雅黑" w:hAnsi="微软雅黑" w:eastAsia="微软雅黑"/>
                <w:color w:val="auto"/>
              </w:rPr>
              <w:t>6</w:t>
            </w:r>
            <w:r>
              <w:rPr>
                <w:rFonts w:hint="eastAsia" w:ascii="微软雅黑" w:hAnsi="微软雅黑" w:eastAsia="微软雅黑"/>
                <w:color w:val="auto"/>
              </w:rPr>
              <w:t>份，电子版</w:t>
            </w:r>
            <w:r>
              <w:rPr>
                <w:rFonts w:hint="default" w:ascii="微软雅黑" w:hAnsi="微软雅黑" w:eastAsia="微软雅黑"/>
                <w:color w:val="auto"/>
              </w:rPr>
              <w:t>1</w:t>
            </w:r>
            <w:r>
              <w:rPr>
                <w:rFonts w:hint="eastAsia" w:ascii="微软雅黑" w:hAnsi="微软雅黑" w:eastAsia="微软雅黑"/>
                <w:color w:val="auto"/>
              </w:rPr>
              <w:t>份。</w:t>
            </w:r>
          </w:p>
          <w:p>
            <w:pPr>
              <w:pStyle w:val="12"/>
              <w:widowControl/>
              <w:numPr>
                <w:ilvl w:val="0"/>
                <w:numId w:val="9"/>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响应文件纸质版一律采用</w:t>
            </w:r>
            <w:r>
              <w:rPr>
                <w:rFonts w:hint="default" w:ascii="微软雅黑" w:hAnsi="微软雅黑" w:eastAsia="微软雅黑"/>
                <w:color w:val="auto"/>
              </w:rPr>
              <w:t>A4</w:t>
            </w:r>
            <w:r>
              <w:rPr>
                <w:rFonts w:hint="eastAsia" w:ascii="微软雅黑" w:hAnsi="微软雅黑" w:eastAsia="微软雅黑"/>
                <w:color w:val="auto"/>
              </w:rPr>
              <w:t>幅面纸（图、表及证件可以除外）印制；电子版一律采用</w:t>
            </w:r>
            <w:r>
              <w:rPr>
                <w:rFonts w:hint="default" w:ascii="微软雅黑" w:hAnsi="微软雅黑" w:eastAsia="微软雅黑"/>
                <w:color w:val="auto"/>
              </w:rPr>
              <w:t>PDF</w:t>
            </w:r>
            <w:r>
              <w:rPr>
                <w:rFonts w:hint="eastAsia" w:ascii="微软雅黑" w:hAnsi="微软雅黑" w:eastAsia="微软雅黑"/>
                <w:color w:val="auto"/>
              </w:rPr>
              <w:t>格式文件并使用一个</w:t>
            </w:r>
            <w:r>
              <w:rPr>
                <w:rFonts w:hint="default" w:ascii="微软雅黑" w:hAnsi="微软雅黑" w:eastAsia="微软雅黑"/>
                <w:color w:val="auto"/>
              </w:rPr>
              <w:t>U</w:t>
            </w:r>
            <w:r>
              <w:rPr>
                <w:rFonts w:hint="eastAsia" w:ascii="微软雅黑" w:hAnsi="微软雅黑" w:eastAsia="微软雅黑"/>
                <w:color w:val="auto"/>
              </w:rPr>
              <w:t>盘或光盘制作。副本可用正本的完整影印件，电子版为正本的完整彩色扫描件。</w:t>
            </w:r>
          </w:p>
          <w:p>
            <w:pPr>
              <w:pStyle w:val="12"/>
              <w:widowControl/>
              <w:numPr>
                <w:ilvl w:val="0"/>
                <w:numId w:val="9"/>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纸质版正本和副本的封面上应清楚地标记“正本”或“副本”的字样。当副本和正本、电子版和正本不一致时，均以正本为准，但副本和正本内容不一致造成的评选差错由响应人自行承担。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★响应文件的签字和盖章</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numPr>
                <w:ilvl w:val="0"/>
                <w:numId w:val="10"/>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所有要求“加盖响应人公章”的地方都应加盖响应人单位（法定名称）章（鲜章），不得使用专用印章（如经济合同章、响应专用章等）或下属单位印章代替。</w:t>
            </w:r>
          </w:p>
          <w:p>
            <w:pPr>
              <w:pStyle w:val="12"/>
              <w:numPr>
                <w:ilvl w:val="0"/>
                <w:numId w:val="10"/>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所有要求“响应人代表签字”的地方都应用不褪色的墨水或签字笔由本人亲笔手写签字（包括姓和名），或加盖私人印章。如法定代表人亲自响应而不委托代理人响应，由法定代表人签字；如法定代表人授权委托代理人响应，由委托代理人签字。</w:t>
            </w:r>
          </w:p>
          <w:p>
            <w:pPr>
              <w:pStyle w:val="12"/>
              <w:numPr>
                <w:ilvl w:val="0"/>
                <w:numId w:val="10"/>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响应文件应尽量避免涂改、行间插字或删除。如果出现上述情况，改动之处应加盖响应人公章或由响应人代表签字确认。</w:t>
            </w:r>
          </w:p>
          <w:p>
            <w:pPr>
              <w:pStyle w:val="12"/>
              <w:numPr>
                <w:ilvl w:val="0"/>
                <w:numId w:val="10"/>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未按上述要求签字和盖章的，响应无效。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★响应文件的装订</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numPr>
                <w:ilvl w:val="0"/>
                <w:numId w:val="11"/>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响应文件纸质版应采用粘贴方式左侧装订，不得采用活页夹等可随时拆换的方式装订，不得有零散页，否则响应无效。</w:t>
            </w:r>
          </w:p>
          <w:p>
            <w:pPr>
              <w:pStyle w:val="12"/>
              <w:numPr>
                <w:ilvl w:val="0"/>
                <w:numId w:val="11"/>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若同一册的内容较多，可装订成若干分册，并在封面标明次序及册数。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6"/>
              </w:numPr>
              <w:spacing w:line="400" w:lineRule="exact"/>
              <w:ind w:left="420" w:hanging="420" w:firstLineChars="0"/>
              <w:rPr>
                <w:rFonts w:ascii="微软雅黑" w:hAnsi="微软雅黑" w:eastAsia="微软雅黑"/>
                <w:color w:val="auto"/>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响应文件的密封和标记</w:t>
            </w:r>
          </w:p>
        </w:tc>
        <w:tc>
          <w:tcPr>
            <w:tcW w:w="7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numPr>
                <w:ilvl w:val="0"/>
                <w:numId w:val="12"/>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响应文件纸质版和电子版可以单独密封包装，也可以密封在一个包装袋内。</w:t>
            </w:r>
          </w:p>
          <w:p>
            <w:pPr>
              <w:pStyle w:val="12"/>
              <w:numPr>
                <w:ilvl w:val="0"/>
                <w:numId w:val="12"/>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包装袋的最外层应清楚地标明响应人全称。</w:t>
            </w:r>
          </w:p>
          <w:p>
            <w:pPr>
              <w:pStyle w:val="12"/>
              <w:numPr>
                <w:ilvl w:val="0"/>
                <w:numId w:val="12"/>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所有外层包装袋的封口处应粘贴牢固。</w:t>
            </w:r>
          </w:p>
          <w:p>
            <w:pPr>
              <w:pStyle w:val="12"/>
              <w:numPr>
                <w:ilvl w:val="0"/>
                <w:numId w:val="12"/>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未密封的响应文件，项目代理机构将拒收或者在时间允许的范围内，要求修改完善后接收。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400" w:lineRule="exact"/>
              <w:rPr>
                <w:rFonts w:ascii="微软雅黑" w:hAnsi="微软雅黑" w:eastAsia="微软雅黑"/>
                <w:color w:val="auto"/>
              </w:rPr>
            </w:pPr>
            <w:r>
              <w:rPr>
                <w:rFonts w:hint="eastAsia" w:ascii="微软雅黑" w:hAnsi="微软雅黑" w:eastAsia="微软雅黑"/>
                <w:color w:val="auto"/>
              </w:rPr>
              <w:t>特别</w:t>
            </w:r>
          </w:p>
          <w:p>
            <w:pPr>
              <w:widowControl/>
              <w:spacing w:line="400" w:lineRule="exact"/>
              <w:rPr>
                <w:rFonts w:ascii="微软雅黑" w:hAnsi="微软雅黑" w:eastAsia="微软雅黑"/>
                <w:color w:val="auto"/>
              </w:rPr>
            </w:pPr>
            <w:r>
              <w:rPr>
                <w:rFonts w:hint="eastAsia" w:ascii="微软雅黑" w:hAnsi="微软雅黑" w:eastAsia="微软雅黑"/>
                <w:color w:val="auto"/>
              </w:rPr>
              <w:t>说明</w:t>
            </w:r>
          </w:p>
        </w:tc>
        <w:tc>
          <w:tcPr>
            <w:tcW w:w="88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widowControl/>
              <w:numPr>
                <w:ilvl w:val="0"/>
                <w:numId w:val="13"/>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本表中以“★”标示的内容为实质性要求，属于必须遵守的条件，如不满足将作无效响应文件处理；未以“★”标示的内容且无法律法规明确规定的，不得作为无效响应文件处理。</w:t>
            </w:r>
          </w:p>
          <w:p>
            <w:pPr>
              <w:pStyle w:val="12"/>
              <w:widowControl/>
              <w:numPr>
                <w:ilvl w:val="0"/>
                <w:numId w:val="13"/>
              </w:numPr>
              <w:spacing w:line="400" w:lineRule="exact"/>
              <w:ind w:left="420" w:hanging="420" w:firstLineChars="0"/>
              <w:rPr>
                <w:rFonts w:ascii="微软雅黑" w:hAnsi="微软雅黑" w:eastAsia="微软雅黑"/>
                <w:color w:val="auto"/>
              </w:rPr>
            </w:pPr>
            <w:r>
              <w:rPr>
                <w:rFonts w:hint="eastAsia" w:ascii="微软雅黑" w:hAnsi="微软雅黑" w:eastAsia="微软雅黑"/>
                <w:color w:val="auto"/>
              </w:rPr>
              <w:t>本表内容若与</w:t>
            </w:r>
            <w:r>
              <w:rPr>
                <w:rFonts w:hint="eastAsia" w:ascii="微软雅黑" w:hAnsi="微软雅黑" w:eastAsia="微软雅黑"/>
                <w:color w:val="auto"/>
                <w:lang w:eastAsia="zh-CN"/>
              </w:rPr>
              <w:t>响应</w:t>
            </w:r>
            <w:r>
              <w:rPr>
                <w:rFonts w:hint="eastAsia" w:ascii="微软雅黑" w:hAnsi="微软雅黑" w:eastAsia="微软雅黑"/>
                <w:color w:val="auto"/>
              </w:rPr>
              <w:t>文件其他部分不一致，以本表为准。</w:t>
            </w:r>
          </w:p>
        </w:tc>
      </w:tr>
    </w:tbl>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总则</w:t>
      </w:r>
      <w:bookmarkEnd w:id="10"/>
      <w:bookmarkEnd w:id="11"/>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适用范围</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本竞争性选择文件仅适用于本次</w:t>
      </w:r>
      <w:r>
        <w:rPr>
          <w:rFonts w:hint="eastAsia" w:ascii="微软雅黑" w:hAnsi="微软雅黑" w:eastAsia="微软雅黑"/>
          <w:color w:val="auto"/>
          <w:lang w:eastAsia="zh-CN"/>
        </w:rPr>
        <w:t>评</w:t>
      </w:r>
      <w:r>
        <w:rPr>
          <w:rFonts w:hint="eastAsia" w:ascii="微软雅黑" w:hAnsi="微软雅黑" w:eastAsia="微软雅黑"/>
          <w:color w:val="auto"/>
        </w:rPr>
        <w:t>选活动。</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本竞争性选择文件的最终解释权归项目实施机构所有。</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有关定义</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项目实施机构：见第一章。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项目代理机构：见第一章。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响应人：是指响应竞争、参加竞争的银行。</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日期、天数、时间：未有特别说明时，均为公历日（天）及北京时间。</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本竞争性选择文件所称的“以上”、“以下”、“内”、“以内”，包括本数；所称的“不足”，不包括本数。</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参加响应的费用</w:t>
      </w:r>
    </w:p>
    <w:p>
      <w:pPr>
        <w:pStyle w:val="12"/>
        <w:numPr>
          <w:ilvl w:val="1"/>
          <w:numId w:val="14"/>
        </w:numPr>
        <w:spacing w:line="400" w:lineRule="exact"/>
        <w:ind w:left="425" w:hanging="425" w:firstLineChars="0"/>
        <w:rPr>
          <w:rFonts w:hint="eastAsia" w:ascii="宋体" w:hAnsi="宋体" w:cs="宋体"/>
          <w:color w:val="auto"/>
          <w:highlight w:val="none"/>
        </w:rPr>
      </w:pPr>
      <w:r>
        <w:rPr>
          <w:rFonts w:hint="eastAsia" w:ascii="微软雅黑" w:hAnsi="微软雅黑" w:eastAsia="微软雅黑"/>
          <w:color w:val="auto"/>
          <w:lang w:val="en-US" w:eastAsia="zh-CN"/>
        </w:rPr>
        <w:t xml:space="preserve"> </w:t>
      </w:r>
      <w:r>
        <w:rPr>
          <w:rFonts w:hint="eastAsia" w:ascii="微软雅黑" w:hAnsi="微软雅黑" w:eastAsia="微软雅黑"/>
          <w:color w:val="auto"/>
        </w:rPr>
        <w:t>响应人应自行承担所有与参加竞争有关的费用。不论最终的结果如何，项目实施机构和项目代理机构在任何情况下均无义务和责任承担这些费用。</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项目代理机构不收取本项目竞争性选择文件工本费</w:t>
      </w:r>
      <w:r>
        <w:rPr>
          <w:rFonts w:hint="eastAsia" w:ascii="微软雅黑" w:hAnsi="微软雅黑" w:eastAsia="微软雅黑"/>
          <w:color w:val="auto"/>
          <w:lang w:eastAsia="zh-CN"/>
        </w:rPr>
        <w:t>，仅对中标银行收取</w:t>
      </w:r>
      <w:r>
        <w:rPr>
          <w:rFonts w:hint="eastAsia" w:ascii="微软雅黑" w:hAnsi="微软雅黑" w:eastAsia="微软雅黑"/>
          <w:color w:val="auto"/>
        </w:rPr>
        <w:t>代理服务费</w:t>
      </w:r>
      <w:r>
        <w:rPr>
          <w:rFonts w:hint="eastAsia" w:ascii="微软雅黑" w:hAnsi="微软雅黑" w:eastAsia="微软雅黑"/>
          <w:color w:val="auto"/>
          <w:lang w:val="en-US" w:eastAsia="zh-CN"/>
        </w:rPr>
        <w:t>20000</w:t>
      </w:r>
      <w:r>
        <w:rPr>
          <w:rFonts w:hint="eastAsia" w:ascii="微软雅黑" w:hAnsi="微软雅黑" w:eastAsia="微软雅黑"/>
          <w:color w:val="auto"/>
          <w:lang w:eastAsia="zh-CN"/>
        </w:rPr>
        <w:t>元</w:t>
      </w:r>
      <w:r>
        <w:rPr>
          <w:rFonts w:hint="eastAsia" w:ascii="微软雅黑" w:hAnsi="微软雅黑" w:eastAsia="微软雅黑"/>
          <w:color w:val="auto"/>
        </w:rPr>
        <w:t>。</w:t>
      </w:r>
    </w:p>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竞争性选择文件</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竞争性选择文件的组成</w:t>
      </w:r>
    </w:p>
    <w:p>
      <w:pPr>
        <w:pStyle w:val="12"/>
        <w:numPr>
          <w:ilvl w:val="1"/>
          <w:numId w:val="14"/>
        </w:numPr>
        <w:spacing w:line="400" w:lineRule="exact"/>
        <w:ind w:left="425" w:hanging="425" w:firstLineChars="0"/>
        <w:rPr>
          <w:rFonts w:hint="eastAsia" w:ascii="微软雅黑" w:hAnsi="微软雅黑" w:eastAsia="微软雅黑"/>
          <w:color w:val="auto"/>
        </w:rPr>
      </w:pPr>
      <w:r>
        <w:rPr>
          <w:rFonts w:hint="eastAsia" w:ascii="微软雅黑" w:hAnsi="微软雅黑" w:eastAsia="微软雅黑"/>
          <w:color w:val="auto"/>
        </w:rPr>
        <w:t>竞争性选择文件由目录中载明的章节内容组成。</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除上述内容以外，项目实施机构或项目代理机构在</w:t>
      </w:r>
      <w:r>
        <w:rPr>
          <w:rFonts w:hint="eastAsia" w:ascii="微软雅黑" w:hAnsi="微软雅黑" w:eastAsia="微软雅黑"/>
          <w:color w:val="auto"/>
          <w:lang w:eastAsia="zh-CN"/>
        </w:rPr>
        <w:t>评选</w:t>
      </w:r>
      <w:r>
        <w:rPr>
          <w:rFonts w:hint="eastAsia" w:ascii="微软雅黑" w:hAnsi="微软雅黑" w:eastAsia="微软雅黑"/>
          <w:color w:val="auto"/>
        </w:rPr>
        <w:t>过程期间对竞争性选择文件所作的澄清、修改或补充，均构成竞争性选择文件的组成部分，对项目实施机构和响应人具有约束力。</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竞争性选择文件的澄清和修改</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项目实施机构或者项目代理机构可以对已发出的竞争性选择文件进行必要的澄清或者修改。澄清或者修改将在原公告发布媒体上发布更正公告。澄清或者修改的内容为竞争性选择文件的组成部分。</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更正公告作为项目实施机构或者项目代理机构通知所有供应商的书面形式。</w:t>
      </w:r>
    </w:p>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响应文件</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基本原则</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响应人应当按照竞争性选择文件的要求编制响应文件。响应文件应当对竞争性选择文件提出的要求和条件作出明确响应。</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响应文件必须满足本次</w:t>
      </w:r>
      <w:r>
        <w:rPr>
          <w:rFonts w:hint="eastAsia" w:ascii="微软雅黑" w:hAnsi="微软雅黑" w:eastAsia="微软雅黑"/>
          <w:color w:val="auto"/>
          <w:lang w:eastAsia="zh-CN"/>
        </w:rPr>
        <w:t>评选</w:t>
      </w:r>
      <w:r>
        <w:rPr>
          <w:rFonts w:hint="eastAsia" w:ascii="微软雅黑" w:hAnsi="微软雅黑" w:eastAsia="微软雅黑"/>
          <w:color w:val="auto"/>
        </w:rPr>
        <w:t>的实质目的，完全实现所应有的全部要求。</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响应文件的语言和计量单位</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响应人提交的响应文件（包括技术文件和资料、图纸中的说明）以及响应人与项目实施机构或项目代理机构就有关响应的所有来往函电均应使用中文简体字。</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原版为外文的证书类文件，以及由外国人作出的本人签名、外国公司的名称或外国印章等可以是外文，但应当提供中文翻译文件（可以是影印件）并加盖响应人公章。原版为外文的证书类、证明类文件，与响应人名称或其他实际情况不符的，响应人应当提供相关证明文件。</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响应文件所使用的计量单位，应使用国家法定计量单位。</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响应文件的组成及相关要求</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除竞争性选择文件另有规定外，响应人应按照竞争性选择文件第二章规定的内容和顺序，统一编目编码并编制目录，有关的证明、证件及附件等内容应集中紧附在相应正文内容后面，并尽量与前面正文部分的顺序相对应。由于编排混乱导致响应文件被误读或查找不到，责任应当由响应人承担。</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除竞争性选择文件另有规定外，响应人应执行竞争性选择文件第五章规定的格式；对于没有格式要求的内容由响应人自行编写。如有必要，可以增加附页，作为响应文件的组成部分。</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响应有效期</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本项目的响应有效期：见第二章。</w:t>
      </w:r>
    </w:p>
    <w:p>
      <w:pPr>
        <w:pStyle w:val="12"/>
        <w:numPr>
          <w:ilvl w:val="1"/>
          <w:numId w:val="14"/>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在特殊情况下，项目实施机构或项目代理机构可与响应人协商延长响应有效期，延期的要求和答复均应以书面形式进行。响应人可以拒绝接受延期要求，其响应无效。同意延长有效期的响应人除按照要求修改响应文件有效期外，不能修改响应文件的其他内容。</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响应文件的编制、签字和盖章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响应文件的数量：见第二章。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响应文件的签字和盖章：见第二章。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响应文件的装订：见第二章。</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响应文件的递交</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响应文件的密封和标记：见第二章。</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一个响应人只能递交一套响应文件，并按照竞争性选择文件第一章的规定将其送达。</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响应文件的补充、修改与撤回</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在响应截止时间前，响应人可以补充、修改或撤回已递交的响应文件，但应书面通知项目代理机构。</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补充、修改或撤回的书面通知应按竞争性选择文件规定进行编制、密封、标记和递交，并应加注“补充”、“修改”或“撤回”字样。</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按上述规定递交的补充、修改内容作为响应文件的组成部分。</w:t>
      </w:r>
    </w:p>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评选事项</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评选工作</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评选工作由项目代理机构负责组织，具体评选事务由评选委员会负责。</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评选委员会应遵循公平、公正、科学及择优的原则，并以相同的</w:t>
      </w:r>
      <w:bookmarkStart w:id="12" w:name="_Hlk8580070"/>
      <w:r>
        <w:rPr>
          <w:rFonts w:hint="eastAsia" w:ascii="微软雅黑" w:hAnsi="微软雅黑" w:eastAsia="微软雅黑"/>
          <w:color w:val="auto"/>
        </w:rPr>
        <w:t>评选程序、评选方法及标准</w:t>
      </w:r>
      <w:bookmarkEnd w:id="12"/>
      <w:r>
        <w:rPr>
          <w:rFonts w:hint="eastAsia" w:ascii="微软雅黑" w:hAnsi="微软雅黑" w:eastAsia="微软雅黑"/>
          <w:color w:val="auto"/>
        </w:rPr>
        <w:t>对待所有响应人。</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评选过程独立、保密。任何单位和个人不得非法干预、影响评选过程和结果。响应人非法干预评选过</w:t>
      </w:r>
      <w:r>
        <w:rPr>
          <w:rFonts w:hint="default" w:ascii="微软雅黑" w:hAnsi="微软雅黑" w:eastAsia="微软雅黑"/>
          <w:color w:val="auto"/>
        </w:rPr>
        <w:t xml:space="preserve"> </w:t>
      </w:r>
      <w:r>
        <w:rPr>
          <w:rFonts w:hint="eastAsia" w:ascii="微软雅黑" w:hAnsi="微软雅黑" w:eastAsia="微软雅黑"/>
          <w:color w:val="auto"/>
        </w:rPr>
        <w:t>程的行为将导致其响应文件作为无效处理。</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评选委员会拟由项目</w:t>
      </w:r>
      <w:r>
        <w:rPr>
          <w:rFonts w:hint="eastAsia" w:ascii="微软雅黑" w:hAnsi="微软雅黑" w:eastAsia="微软雅黑"/>
          <w:b w:val="0"/>
          <w:bCs w:val="0"/>
          <w:color w:val="auto"/>
          <w:lang w:eastAsia="zh-CN"/>
        </w:rPr>
        <w:t>代理</w:t>
      </w:r>
      <w:r>
        <w:rPr>
          <w:rFonts w:hint="eastAsia" w:ascii="微软雅黑" w:hAnsi="微软雅黑" w:eastAsia="微软雅黑"/>
          <w:color w:val="auto"/>
        </w:rPr>
        <w:t>机构根据项目特点组建，其成员由有关专家组成。。</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评选程序、评选方法及标准：见第六章。</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入选银行的确定</w:t>
      </w:r>
    </w:p>
    <w:p>
      <w:pPr>
        <w:pStyle w:val="12"/>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项目实施机构根据评选委员会评分结果择优确定合作银行，向入选银行发出确认通知书，并将评选结果在原发布公告的公开媒体上公告。</w:t>
      </w:r>
    </w:p>
    <w:p>
      <w:pPr>
        <w:pStyle w:val="12"/>
        <w:numPr>
          <w:ilvl w:val="0"/>
          <w:numId w:val="14"/>
        </w:numPr>
        <w:spacing w:line="400" w:lineRule="exact"/>
        <w:ind w:left="425" w:leftChars="0" w:hanging="425" w:firstLineChars="0"/>
        <w:rPr>
          <w:rFonts w:hint="eastAsia" w:ascii="微软雅黑" w:hAnsi="微软雅黑" w:eastAsia="微软雅黑"/>
          <w:color w:val="auto"/>
        </w:rPr>
      </w:pPr>
      <w:r>
        <w:rPr>
          <w:rFonts w:hint="eastAsia" w:ascii="微软雅黑" w:hAnsi="微软雅黑" w:eastAsia="微软雅黑"/>
          <w:color w:val="auto"/>
          <w:lang w:val="en-US" w:eastAsia="zh-CN"/>
        </w:rPr>
        <w:t>项目实施机构在确定入选银行过程中或确定后，发现入选银行有下列情形之一的，应当不予确定（或取消）其为入选银行：</w:t>
      </w:r>
    </w:p>
    <w:p>
      <w:pPr>
        <w:pStyle w:val="12"/>
        <w:numPr>
          <w:ilvl w:val="0"/>
          <w:numId w:val="15"/>
        </w:numPr>
        <w:spacing w:line="400" w:lineRule="exact"/>
        <w:ind w:left="425" w:leftChars="0" w:hanging="425" w:firstLineChars="0"/>
        <w:rPr>
          <w:rFonts w:hint="eastAsia" w:ascii="微软雅黑" w:hAnsi="微软雅黑" w:eastAsia="微软雅黑"/>
          <w:color w:val="auto"/>
        </w:rPr>
      </w:pPr>
      <w:r>
        <w:rPr>
          <w:rFonts w:hint="eastAsia" w:ascii="微软雅黑" w:hAnsi="微软雅黑" w:eastAsia="微软雅黑"/>
          <w:color w:val="auto"/>
          <w:lang w:val="en-US" w:eastAsia="zh-CN"/>
        </w:rPr>
        <w:t>入选银行提供虚假材料；</w:t>
      </w:r>
    </w:p>
    <w:p>
      <w:pPr>
        <w:pStyle w:val="12"/>
        <w:numPr>
          <w:ilvl w:val="0"/>
          <w:numId w:val="15"/>
        </w:numPr>
        <w:spacing w:line="400" w:lineRule="exact"/>
        <w:ind w:left="425" w:leftChars="0" w:hanging="425" w:firstLineChars="0"/>
        <w:rPr>
          <w:rFonts w:hint="eastAsia" w:ascii="微软雅黑" w:hAnsi="微软雅黑" w:eastAsia="微软雅黑"/>
          <w:color w:val="auto"/>
        </w:rPr>
      </w:pPr>
      <w:r>
        <w:rPr>
          <w:rFonts w:hint="eastAsia" w:ascii="微软雅黑" w:hAnsi="微软雅黑" w:eastAsia="微软雅黑"/>
          <w:color w:val="auto"/>
          <w:lang w:val="en-US" w:eastAsia="zh-CN"/>
        </w:rPr>
        <w:t>入选银行</w:t>
      </w:r>
      <w:r>
        <w:rPr>
          <w:rFonts w:hint="eastAsia" w:ascii="微软雅黑" w:hAnsi="微软雅黑" w:eastAsia="微软雅黑"/>
          <w:color w:val="auto"/>
        </w:rPr>
        <w:t>在入选后未按其承诺</w:t>
      </w:r>
      <w:r>
        <w:rPr>
          <w:rFonts w:hint="eastAsia" w:ascii="微软雅黑" w:hAnsi="微软雅黑" w:eastAsia="微软雅黑"/>
          <w:color w:val="auto"/>
          <w:lang w:eastAsia="zh-CN"/>
        </w:rPr>
        <w:t>履行其义务；</w:t>
      </w:r>
    </w:p>
    <w:p>
      <w:pPr>
        <w:pStyle w:val="12"/>
        <w:numPr>
          <w:ilvl w:val="0"/>
          <w:numId w:val="0"/>
        </w:numPr>
        <w:spacing w:line="400" w:lineRule="exact"/>
        <w:ind w:leftChars="0" w:right="0" w:rightChars="0" w:firstLine="420" w:firstLineChars="200"/>
        <w:rPr>
          <w:rFonts w:hint="eastAsia" w:ascii="微软雅黑" w:hAnsi="微软雅黑" w:eastAsia="微软雅黑"/>
          <w:color w:val="auto"/>
        </w:rPr>
      </w:pPr>
      <w:r>
        <w:rPr>
          <w:rFonts w:hint="eastAsia" w:ascii="微软雅黑" w:hAnsi="微软雅黑" w:eastAsia="微软雅黑"/>
          <w:color w:val="auto"/>
          <w:lang w:val="en-US" w:eastAsia="zh-CN"/>
        </w:rPr>
        <w:t>入选银行有本条情形之一的，吉林省财政厅可以确定后一位候选银行成为入选银行，依次类推</w:t>
      </w:r>
      <w:r>
        <w:rPr>
          <w:rFonts w:hint="eastAsia" w:ascii="微软雅黑" w:hAnsi="微软雅黑" w:eastAsia="微软雅黑"/>
          <w:color w:val="auto"/>
          <w:lang w:eastAsia="zh-CN"/>
        </w:rPr>
        <w:t>。</w:t>
      </w:r>
    </w:p>
    <w:p>
      <w:pPr>
        <w:pStyle w:val="4"/>
        <w:numPr>
          <w:ilvl w:val="0"/>
          <w:numId w:val="5"/>
        </w:numPr>
        <w:ind w:left="420" w:hanging="420" w:firstLineChars="0"/>
        <w:jc w:val="center"/>
        <w:rPr>
          <w:rFonts w:ascii="微软雅黑" w:hAnsi="微软雅黑" w:eastAsia="微软雅黑"/>
          <w:b w:val="0"/>
          <w:color w:val="auto"/>
          <w:sz w:val="28"/>
          <w:szCs w:val="28"/>
        </w:rPr>
      </w:pPr>
      <w:r>
        <w:rPr>
          <w:rFonts w:hint="eastAsia" w:ascii="微软雅黑" w:hAnsi="微软雅黑" w:eastAsia="微软雅黑"/>
          <w:b w:val="0"/>
          <w:color w:val="auto"/>
          <w:sz w:val="28"/>
          <w:szCs w:val="28"/>
        </w:rPr>
        <w:t>合同事项</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签订合同</w:t>
      </w:r>
    </w:p>
    <w:p>
      <w:pPr>
        <w:pStyle w:val="13"/>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入选银行应当自确认通知书发出之日起</w:t>
      </w:r>
      <w:r>
        <w:rPr>
          <w:rFonts w:hint="default" w:ascii="微软雅黑" w:hAnsi="微软雅黑" w:eastAsia="微软雅黑"/>
          <w:color w:val="auto"/>
        </w:rPr>
        <w:t>5</w:t>
      </w:r>
      <w:r>
        <w:rPr>
          <w:rFonts w:hint="eastAsia" w:ascii="微软雅黑" w:hAnsi="微软雅黑" w:eastAsia="微软雅黑"/>
          <w:color w:val="auto"/>
        </w:rPr>
        <w:t>个工作日内，按照竞争性选择文件和响应文件的规定，与项目实施机构签订书面合同。所签订的合同不得对竞争性选择文件确定的事项和响应文件作实质性修改。项目实施机构不得向入选银行提出任何不合理的要求作为签订合同的条件。入选银行不得将中标合同转包。</w:t>
      </w:r>
    </w:p>
    <w:p>
      <w:pPr>
        <w:pStyle w:val="12"/>
        <w:numPr>
          <w:ilvl w:val="0"/>
          <w:numId w:val="14"/>
        </w:numPr>
        <w:spacing w:line="400" w:lineRule="exact"/>
        <w:ind w:left="425" w:hanging="425" w:firstLineChars="0"/>
        <w:rPr>
          <w:rFonts w:ascii="微软雅黑" w:hAnsi="微软雅黑" w:eastAsia="微软雅黑"/>
          <w:b/>
          <w:color w:val="auto"/>
        </w:rPr>
      </w:pPr>
      <w:r>
        <w:rPr>
          <w:rFonts w:hint="eastAsia" w:ascii="微软雅黑" w:hAnsi="微软雅黑" w:eastAsia="微软雅黑"/>
          <w:b/>
          <w:color w:val="auto"/>
        </w:rPr>
        <w:t>履行合同</w:t>
      </w:r>
    </w:p>
    <w:p>
      <w:pPr>
        <w:pStyle w:val="13"/>
        <w:numPr>
          <w:ilvl w:val="1"/>
          <w:numId w:val="14"/>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项目实施机构与入选银行应当根据合同的约定依法履行合同义务。合同的履行、违约责任和解决争议的方法等适用《中华人民共和国民法典》。</w:t>
      </w:r>
    </w:p>
    <w:p>
      <w:pPr>
        <w:pStyle w:val="13"/>
        <w:spacing w:line="400" w:lineRule="exact"/>
        <w:ind w:firstLine="0" w:firstLineChars="0"/>
        <w:rPr>
          <w:rFonts w:ascii="微软雅黑" w:hAnsi="微软雅黑" w:eastAsia="微软雅黑"/>
          <w:color w:val="auto"/>
        </w:rPr>
      </w:pPr>
    </w:p>
    <w:p>
      <w:pPr>
        <w:widowControl/>
        <w:jc w:val="center"/>
        <w:rPr>
          <w:rFonts w:ascii="微软雅黑" w:hAnsi="微软雅黑" w:eastAsia="微软雅黑"/>
          <w:color w:val="auto"/>
          <w:sz w:val="32"/>
          <w:szCs w:val="32"/>
        </w:rPr>
      </w:pPr>
      <w:bookmarkStart w:id="13" w:name="_Toc508709712"/>
      <w:bookmarkStart w:id="14" w:name="_Toc498593030"/>
      <w:bookmarkStart w:id="15" w:name="_Toc498593005"/>
      <w:r>
        <w:rPr>
          <w:rFonts w:hint="default" w:ascii="微软雅黑" w:hAnsi="微软雅黑" w:eastAsia="微软雅黑"/>
          <w:color w:val="auto"/>
          <w:sz w:val="32"/>
          <w:szCs w:val="32"/>
        </w:rPr>
        <w:br w:type="page"/>
      </w:r>
      <w:bookmarkStart w:id="16" w:name="_Toc7555"/>
      <w:bookmarkStart w:id="17" w:name="_Toc19811"/>
      <w:r>
        <w:rPr>
          <w:rStyle w:val="11"/>
          <w:rFonts w:hint="eastAsia" w:eastAsia="微软雅黑"/>
          <w:color w:val="auto"/>
        </w:rPr>
        <w:t>第三章</w:t>
      </w:r>
      <w:r>
        <w:rPr>
          <w:rStyle w:val="11"/>
          <w:rFonts w:hint="default" w:eastAsia="微软雅黑"/>
          <w:color w:val="auto"/>
        </w:rPr>
        <w:t xml:space="preserve">  </w:t>
      </w:r>
      <w:r>
        <w:rPr>
          <w:rStyle w:val="11"/>
          <w:rFonts w:hint="eastAsia" w:eastAsia="微软雅黑"/>
          <w:color w:val="auto"/>
        </w:rPr>
        <w:t>响应人应当提供的资格证明文件</w:t>
      </w:r>
      <w:bookmarkEnd w:id="13"/>
      <w:bookmarkEnd w:id="16"/>
      <w:bookmarkEnd w:id="17"/>
    </w:p>
    <w:tbl>
      <w:tblPr>
        <w:tblStyle w:val="1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44"/>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序号</w:t>
            </w: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证明文件</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numPr>
                <w:ilvl w:val="0"/>
                <w:numId w:val="16"/>
              </w:numPr>
              <w:spacing w:line="400" w:lineRule="exact"/>
              <w:ind w:left="420" w:hanging="420" w:firstLineChars="0"/>
              <w:rPr>
                <w:rFonts w:ascii="微软雅黑" w:hAnsi="微软雅黑" w:eastAsia="微软雅黑"/>
                <w:color w:val="auto"/>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营业执照</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numPr>
                <w:ilvl w:val="0"/>
                <w:numId w:val="1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提供营业执照副本影印件（加盖响应人公章）。</w:t>
            </w:r>
          </w:p>
          <w:p>
            <w:pPr>
              <w:pStyle w:val="14"/>
              <w:numPr>
                <w:ilvl w:val="0"/>
                <w:numId w:val="17"/>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响应人所在地满足本项目第一章中的相关规定。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numPr>
                <w:ilvl w:val="0"/>
                <w:numId w:val="16"/>
              </w:numPr>
              <w:spacing w:line="400" w:lineRule="exact"/>
              <w:ind w:left="420" w:hanging="420" w:firstLineChars="0"/>
              <w:rPr>
                <w:rFonts w:ascii="微软雅黑" w:hAnsi="微软雅黑" w:eastAsia="微软雅黑"/>
                <w:color w:val="auto"/>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法定代表人授权书</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按第五章的格式及要求提供原件。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numPr>
                <w:ilvl w:val="0"/>
                <w:numId w:val="16"/>
              </w:numPr>
              <w:spacing w:line="400" w:lineRule="exact"/>
              <w:ind w:left="420" w:hanging="420" w:firstLineChars="0"/>
              <w:rPr>
                <w:rFonts w:ascii="微软雅黑" w:hAnsi="微软雅黑" w:eastAsia="微软雅黑"/>
                <w:color w:val="auto"/>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资格声明函</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按第五章的格式及要求提供原件。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numPr>
                <w:ilvl w:val="0"/>
                <w:numId w:val="16"/>
              </w:numPr>
              <w:spacing w:line="400" w:lineRule="exact"/>
              <w:ind w:left="420" w:hanging="420" w:firstLineChars="0"/>
              <w:rPr>
                <w:rFonts w:ascii="微软雅黑" w:hAnsi="微软雅黑" w:eastAsia="微软雅黑"/>
                <w:color w:val="auto"/>
              </w:rPr>
            </w:pPr>
          </w:p>
        </w:tc>
        <w:tc>
          <w:tcPr>
            <w:tcW w:w="21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4"/>
              <w:spacing w:line="400" w:lineRule="exact"/>
              <w:ind w:firstLine="0" w:firstLineChars="0"/>
              <w:rPr>
                <w:rFonts w:ascii="微软雅黑" w:hAnsi="微软雅黑" w:eastAsia="微软雅黑"/>
                <w:color w:val="auto"/>
              </w:rPr>
            </w:pPr>
            <w:r>
              <w:rPr>
                <w:rFonts w:hint="eastAsia" w:ascii="微软雅黑" w:hAnsi="微软雅黑" w:eastAsia="微软雅黑"/>
                <w:color w:val="auto"/>
              </w:rPr>
              <w:t>廉政承诺书</w:t>
            </w:r>
          </w:p>
        </w:tc>
        <w:tc>
          <w:tcPr>
            <w:tcW w:w="68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按第五章的格式及要求提供原件。</w:t>
            </w:r>
          </w:p>
        </w:tc>
      </w:tr>
    </w:tbl>
    <w:p>
      <w:pPr>
        <w:spacing w:line="400" w:lineRule="exact"/>
        <w:rPr>
          <w:rFonts w:ascii="微软雅黑" w:hAnsi="微软雅黑" w:eastAsia="微软雅黑"/>
          <w:color w:val="auto"/>
          <w:sz w:val="18"/>
          <w:szCs w:val="18"/>
        </w:rPr>
      </w:pPr>
    </w:p>
    <w:p>
      <w:pPr>
        <w:widowControl/>
        <w:jc w:val="center"/>
        <w:rPr>
          <w:rFonts w:ascii="微软雅黑" w:hAnsi="微软雅黑" w:eastAsia="微软雅黑"/>
          <w:color w:val="auto"/>
          <w:sz w:val="32"/>
          <w:szCs w:val="32"/>
        </w:rPr>
      </w:pPr>
      <w:bookmarkStart w:id="18" w:name="_Toc508709713"/>
      <w:r>
        <w:rPr>
          <w:rFonts w:hint="default" w:ascii="微软雅黑" w:hAnsi="微软雅黑" w:eastAsia="微软雅黑"/>
          <w:color w:val="auto"/>
          <w:sz w:val="32"/>
          <w:szCs w:val="32"/>
        </w:rPr>
        <w:br w:type="page"/>
      </w:r>
      <w:bookmarkStart w:id="19" w:name="_Toc30019"/>
      <w:bookmarkStart w:id="20" w:name="_Toc14330"/>
      <w:r>
        <w:rPr>
          <w:rStyle w:val="11"/>
          <w:rFonts w:hint="eastAsia" w:eastAsia="微软雅黑"/>
          <w:color w:val="auto"/>
        </w:rPr>
        <w:t>第四章</w:t>
      </w:r>
      <w:r>
        <w:rPr>
          <w:rStyle w:val="11"/>
          <w:rFonts w:hint="default" w:eastAsia="微软雅黑"/>
          <w:color w:val="auto"/>
        </w:rPr>
        <w:t xml:space="preserve">  </w:t>
      </w:r>
      <w:r>
        <w:rPr>
          <w:rStyle w:val="11"/>
          <w:rFonts w:hint="eastAsia" w:eastAsia="微软雅黑"/>
          <w:color w:val="auto"/>
        </w:rPr>
        <w:t>项目内容及要求</w:t>
      </w:r>
      <w:bookmarkEnd w:id="14"/>
      <w:bookmarkEnd w:id="15"/>
      <w:bookmarkEnd w:id="18"/>
      <w:bookmarkEnd w:id="19"/>
      <w:bookmarkEnd w:id="20"/>
    </w:p>
    <w:p>
      <w:pPr>
        <w:pStyle w:val="12"/>
        <w:widowControl/>
        <w:numPr>
          <w:ilvl w:val="0"/>
          <w:numId w:val="18"/>
        </w:numPr>
        <w:spacing w:line="400" w:lineRule="exact"/>
        <w:ind w:left="357" w:hanging="357" w:hangingChars="170"/>
        <w:jc w:val="left"/>
        <w:rPr>
          <w:rFonts w:ascii="微软雅黑" w:hAnsi="微软雅黑" w:eastAsia="微软雅黑"/>
          <w:b/>
          <w:color w:val="auto"/>
        </w:rPr>
      </w:pPr>
      <w:bookmarkStart w:id="21" w:name="_Toc498593031"/>
      <w:bookmarkStart w:id="22" w:name="_Toc498593006"/>
      <w:r>
        <w:rPr>
          <w:rFonts w:hint="eastAsia" w:ascii="微软雅黑" w:hAnsi="微软雅黑" w:eastAsia="微软雅黑"/>
          <w:b/>
          <w:color w:val="auto"/>
        </w:rPr>
        <w:t>项目概述</w:t>
      </w:r>
    </w:p>
    <w:p>
      <w:pPr>
        <w:pStyle w:val="12"/>
        <w:widowControl/>
        <w:numPr>
          <w:ilvl w:val="1"/>
          <w:numId w:val="18"/>
        </w:numPr>
        <w:spacing w:line="400" w:lineRule="exact"/>
        <w:ind w:left="357" w:hanging="357" w:hangingChars="170"/>
        <w:jc w:val="left"/>
        <w:rPr>
          <w:rFonts w:hint="eastAsia" w:ascii="微软雅黑" w:hAnsi="微软雅黑" w:eastAsia="微软雅黑"/>
          <w:color w:val="auto"/>
        </w:rPr>
      </w:pPr>
      <w:r>
        <w:rPr>
          <w:rFonts w:hint="eastAsia" w:ascii="微软雅黑" w:hAnsi="微软雅黑" w:eastAsia="微软雅黑"/>
          <w:color w:val="auto"/>
        </w:rPr>
        <w:t>按照《财政部关于印发&lt;财政专户管理办法&gt;的通知》（财库〔2013〕46号）及《财政部关于进一步规范财政部门和预算单位资金存放管理的指导意见》（财库﹝2017﹞76号）</w:t>
      </w:r>
      <w:r>
        <w:rPr>
          <w:rFonts w:hint="eastAsia" w:ascii="微软雅黑" w:hAnsi="微软雅黑" w:eastAsia="微软雅黑"/>
          <w:color w:val="auto"/>
          <w:lang w:eastAsia="zh-CN"/>
        </w:rPr>
        <w:t>等</w:t>
      </w:r>
      <w:r>
        <w:rPr>
          <w:rFonts w:hint="eastAsia" w:ascii="微软雅黑" w:hAnsi="微软雅黑" w:eastAsia="微软雅黑"/>
          <w:color w:val="auto"/>
        </w:rPr>
        <w:t>有关规定，</w:t>
      </w:r>
      <w:r>
        <w:rPr>
          <w:rFonts w:hint="eastAsia" w:ascii="微软雅黑" w:hAnsi="微软雅黑" w:eastAsia="微软雅黑"/>
          <w:color w:val="auto"/>
          <w:lang w:eastAsia="zh-CN"/>
        </w:rPr>
        <w:t>吉林省财政厅</w:t>
      </w:r>
      <w:r>
        <w:rPr>
          <w:rFonts w:hint="eastAsia" w:ascii="微软雅黑" w:hAnsi="微软雅黑" w:eastAsia="微软雅黑"/>
          <w:color w:val="auto"/>
        </w:rPr>
        <w:t>遵循依法合规、公正透明、安全优先、科学评估、权责统一的原则，在具备资格的各参与银行中采取竞争性方式公开选择</w:t>
      </w:r>
      <w:r>
        <w:rPr>
          <w:rFonts w:hint="eastAsia" w:ascii="微软雅黑" w:hAnsi="微软雅黑" w:eastAsia="微软雅黑"/>
          <w:color w:val="auto"/>
          <w:lang w:val="en-US" w:eastAsia="zh-CN"/>
        </w:rPr>
        <w:t>1</w:t>
      </w:r>
      <w:r>
        <w:rPr>
          <w:rFonts w:hint="eastAsia" w:ascii="微软雅黑" w:hAnsi="微软雅黑" w:eastAsia="微软雅黑"/>
          <w:color w:val="auto"/>
        </w:rPr>
        <w:t>家以内银行作为</w:t>
      </w:r>
      <w:r>
        <w:rPr>
          <w:rFonts w:hint="eastAsia" w:ascii="微软雅黑" w:hAnsi="微软雅黑" w:eastAsia="微软雅黑"/>
          <w:color w:val="auto"/>
          <w:lang w:eastAsia="zh-CN"/>
        </w:rPr>
        <w:t>省</w:t>
      </w:r>
      <w:r>
        <w:rPr>
          <w:rFonts w:hint="eastAsia" w:ascii="微软雅黑" w:hAnsi="微软雅黑" w:eastAsia="微软雅黑"/>
          <w:color w:val="auto"/>
        </w:rPr>
        <w:t>本级</w:t>
      </w:r>
      <w:r>
        <w:rPr>
          <w:rFonts w:hint="eastAsia" w:ascii="微软雅黑" w:hAnsi="微软雅黑" w:eastAsia="微软雅黑"/>
          <w:color w:val="auto"/>
          <w:lang w:eastAsia="zh-CN"/>
        </w:rPr>
        <w:t>财政代管资金财政</w:t>
      </w:r>
      <w:r>
        <w:rPr>
          <w:rFonts w:hint="eastAsia" w:ascii="微软雅黑" w:hAnsi="微软雅黑" w:eastAsia="微软雅黑"/>
          <w:color w:val="auto"/>
        </w:rPr>
        <w:t>专户开户银行，合作期限为</w:t>
      </w:r>
      <w:r>
        <w:rPr>
          <w:rFonts w:hint="eastAsia" w:ascii="微软雅黑" w:hAnsi="微软雅黑" w:eastAsia="微软雅黑"/>
          <w:color w:val="auto"/>
          <w:lang w:val="en-US" w:eastAsia="zh-CN"/>
        </w:rPr>
        <w:t>3</w:t>
      </w:r>
      <w:r>
        <w:rPr>
          <w:rFonts w:hint="eastAsia" w:ascii="微软雅黑" w:hAnsi="微软雅黑" w:eastAsia="微软雅黑"/>
          <w:color w:val="auto"/>
        </w:rPr>
        <w:t>年（以合同签订日期起计算）。</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lang w:eastAsia="zh-CN"/>
        </w:rPr>
        <w:t>省财政厅</w:t>
      </w:r>
      <w:r>
        <w:rPr>
          <w:rFonts w:hint="eastAsia" w:ascii="微软雅黑" w:hAnsi="微软雅黑" w:eastAsia="微软雅黑"/>
          <w:color w:val="auto"/>
        </w:rPr>
        <w:t>将定期对开户银行进行评估，对于不按投标承诺履行义务、出现运营风险、内控制度不健全、管理不善的开户银行，有权及时更换。</w:t>
      </w:r>
    </w:p>
    <w:p>
      <w:pPr>
        <w:pStyle w:val="12"/>
        <w:widowControl/>
        <w:numPr>
          <w:ilvl w:val="0"/>
          <w:numId w:val="18"/>
        </w:numPr>
        <w:spacing w:line="400" w:lineRule="exact"/>
        <w:ind w:left="357" w:hanging="357" w:hangingChars="170"/>
        <w:jc w:val="left"/>
        <w:rPr>
          <w:rFonts w:ascii="微软雅黑" w:hAnsi="微软雅黑" w:eastAsia="微软雅黑"/>
          <w:b/>
          <w:color w:val="auto"/>
        </w:rPr>
      </w:pPr>
      <w:r>
        <w:rPr>
          <w:rFonts w:hint="eastAsia" w:ascii="微软雅黑" w:hAnsi="微软雅黑" w:eastAsia="微软雅黑"/>
          <w:b/>
          <w:color w:val="auto"/>
        </w:rPr>
        <w:t>★项目要求</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开户银行按照财政部门要求，对存入的</w:t>
      </w:r>
      <w:r>
        <w:rPr>
          <w:rFonts w:hint="eastAsia" w:ascii="微软雅黑" w:hAnsi="微软雅黑" w:eastAsia="微软雅黑"/>
          <w:color w:val="auto"/>
          <w:lang w:eastAsia="zh-CN"/>
        </w:rPr>
        <w:t>代管</w:t>
      </w:r>
      <w:r>
        <w:rPr>
          <w:rFonts w:hint="eastAsia" w:ascii="微软雅黑" w:hAnsi="微软雅黑" w:eastAsia="微软雅黑"/>
          <w:color w:val="auto"/>
        </w:rPr>
        <w:t>资金进行核算，及时办理各项相关业务，按政策规定</w:t>
      </w:r>
      <w:r>
        <w:rPr>
          <w:rFonts w:hint="eastAsia" w:ascii="微软雅黑" w:hAnsi="微软雅黑" w:eastAsia="微软雅黑"/>
          <w:b w:val="0"/>
          <w:bCs w:val="0"/>
          <w:color w:val="auto"/>
          <w:lang w:eastAsia="zh-CN"/>
        </w:rPr>
        <w:t>及合同约定</w:t>
      </w:r>
      <w:r>
        <w:rPr>
          <w:rFonts w:hint="eastAsia" w:ascii="微软雅黑" w:hAnsi="微软雅黑" w:eastAsia="微软雅黑"/>
          <w:color w:val="auto"/>
        </w:rPr>
        <w:t>计息并及时提供利息通知单。</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开户银行要安排相对稳定且熟悉业务的专人负责办理</w:t>
      </w:r>
      <w:r>
        <w:rPr>
          <w:rFonts w:hint="eastAsia" w:ascii="微软雅黑" w:hAnsi="微软雅黑" w:eastAsia="微软雅黑"/>
          <w:color w:val="auto"/>
          <w:lang w:eastAsia="zh-CN"/>
        </w:rPr>
        <w:t>代管</w:t>
      </w:r>
      <w:r>
        <w:rPr>
          <w:rFonts w:hint="eastAsia" w:ascii="微软雅黑" w:hAnsi="微软雅黑" w:eastAsia="微软雅黑"/>
          <w:color w:val="auto"/>
        </w:rPr>
        <w:t>资金</w:t>
      </w:r>
      <w:r>
        <w:rPr>
          <w:rFonts w:hint="eastAsia" w:ascii="微软雅黑" w:hAnsi="微软雅黑" w:eastAsia="微软雅黑"/>
          <w:color w:val="auto"/>
          <w:lang w:eastAsia="zh-CN"/>
        </w:rPr>
        <w:t>财政</w:t>
      </w:r>
      <w:r>
        <w:rPr>
          <w:rFonts w:hint="eastAsia" w:ascii="微软雅黑" w:hAnsi="微软雅黑" w:eastAsia="微软雅黑"/>
          <w:color w:val="auto"/>
        </w:rPr>
        <w:t>专户各项相关业务，及时进行相关单据传递。</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开户银行要按照财政部门要求提供各类</w:t>
      </w:r>
      <w:r>
        <w:rPr>
          <w:rFonts w:hint="eastAsia" w:ascii="微软雅黑" w:hAnsi="微软雅黑" w:eastAsia="微软雅黑"/>
          <w:color w:val="auto"/>
          <w:lang w:eastAsia="zh-CN"/>
        </w:rPr>
        <w:t>代管</w:t>
      </w:r>
      <w:r>
        <w:rPr>
          <w:rFonts w:hint="eastAsia" w:ascii="微软雅黑" w:hAnsi="微软雅黑" w:eastAsia="微软雅黑"/>
          <w:color w:val="auto"/>
        </w:rPr>
        <w:t>资金报表</w:t>
      </w:r>
      <w:r>
        <w:rPr>
          <w:rFonts w:hint="eastAsia" w:ascii="微软雅黑" w:hAnsi="微软雅黑" w:eastAsia="微软雅黑"/>
          <w:i w:val="0"/>
          <w:iCs w:val="0"/>
          <w:color w:val="auto"/>
          <w:lang w:eastAsia="zh-CN"/>
        </w:rPr>
        <w:t>及各种回单</w:t>
      </w:r>
      <w:r>
        <w:rPr>
          <w:rFonts w:hint="eastAsia" w:ascii="微软雅黑" w:hAnsi="微软雅黑" w:eastAsia="微软雅黑"/>
          <w:color w:val="auto"/>
        </w:rPr>
        <w:t>。</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开户银行不得向财政部门收取任何服务费、手续费、账户管理费等费用。</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开户银行要</w:t>
      </w:r>
      <w:r>
        <w:rPr>
          <w:rFonts w:hint="eastAsia" w:ascii="微软雅黑" w:hAnsi="微软雅黑" w:eastAsia="微软雅黑"/>
          <w:color w:val="auto"/>
          <w:lang w:eastAsia="zh-CN"/>
        </w:rPr>
        <w:t>承诺做好各项服务，建立应急响应机制。</w:t>
      </w:r>
    </w:p>
    <w:p>
      <w:pPr>
        <w:pStyle w:val="12"/>
        <w:widowControl/>
        <w:numPr>
          <w:ilvl w:val="0"/>
          <w:numId w:val="18"/>
        </w:numPr>
        <w:spacing w:line="400" w:lineRule="exact"/>
        <w:ind w:left="357" w:hanging="357" w:hangingChars="170"/>
        <w:jc w:val="left"/>
        <w:rPr>
          <w:rFonts w:ascii="微软雅黑" w:hAnsi="微软雅黑" w:eastAsia="微软雅黑"/>
          <w:b/>
          <w:color w:val="auto"/>
        </w:rPr>
      </w:pPr>
      <w:r>
        <w:rPr>
          <w:rFonts w:hint="eastAsia" w:ascii="微软雅黑" w:hAnsi="微软雅黑" w:eastAsia="微软雅黑"/>
          <w:b/>
          <w:color w:val="auto"/>
        </w:rPr>
        <w:t>其他</w:t>
      </w:r>
    </w:p>
    <w:p>
      <w:pPr>
        <w:pStyle w:val="12"/>
        <w:widowControl/>
        <w:numPr>
          <w:ilvl w:val="1"/>
          <w:numId w:val="18"/>
        </w:numPr>
        <w:spacing w:line="400" w:lineRule="exact"/>
        <w:ind w:left="357" w:hanging="357" w:hangingChars="170"/>
        <w:jc w:val="left"/>
        <w:rPr>
          <w:rFonts w:ascii="微软雅黑" w:hAnsi="微软雅黑" w:eastAsia="微软雅黑"/>
          <w:color w:val="auto"/>
        </w:rPr>
      </w:pPr>
      <w:r>
        <w:rPr>
          <w:rFonts w:hint="eastAsia" w:ascii="微软雅黑" w:hAnsi="微软雅黑" w:eastAsia="微软雅黑"/>
          <w:color w:val="auto"/>
        </w:rPr>
        <w:t>与评选相关的要求：见第六章。</w:t>
      </w:r>
    </w:p>
    <w:p>
      <w:pPr>
        <w:widowControl/>
        <w:spacing w:line="400" w:lineRule="exact"/>
        <w:jc w:val="left"/>
        <w:rPr>
          <w:rFonts w:ascii="微软雅黑" w:hAnsi="微软雅黑" w:eastAsia="微软雅黑"/>
          <w:color w:val="auto"/>
        </w:rPr>
      </w:pPr>
    </w:p>
    <w:p>
      <w:pPr>
        <w:widowControl/>
        <w:spacing w:line="400" w:lineRule="exact"/>
        <w:ind w:firstLine="420" w:firstLineChars="200"/>
        <w:jc w:val="left"/>
        <w:rPr>
          <w:rFonts w:ascii="微软雅黑" w:hAnsi="微软雅黑" w:eastAsia="微软雅黑"/>
          <w:color w:val="auto"/>
        </w:rPr>
      </w:pPr>
      <w:r>
        <w:rPr>
          <w:rFonts w:hint="eastAsia" w:ascii="微软雅黑" w:hAnsi="微软雅黑" w:eastAsia="微软雅黑"/>
          <w:color w:val="auto"/>
        </w:rPr>
        <w:t>注：①本章中以“★”标示的内容为实质性要求，属于必须遵守的条件；如不满足将作无效响应文件处理；未以“★”标示的内容且无法律法规明确规定的，不得作为响应被拒绝或响应无效条款。②本章要求中明确规定了具体证明材料的，响应人必须按规定提供有效证明材料；未明确规定具体证明材料的，响应人应据实提供相关有效材料或书面承诺予以证明。</w:t>
      </w:r>
    </w:p>
    <w:p>
      <w:pPr>
        <w:widowControl/>
        <w:jc w:val="center"/>
        <w:rPr>
          <w:rFonts w:ascii="微软雅黑" w:hAnsi="微软雅黑" w:eastAsia="微软雅黑"/>
          <w:color w:val="auto"/>
          <w:sz w:val="32"/>
          <w:szCs w:val="32"/>
        </w:rPr>
      </w:pPr>
      <w:bookmarkStart w:id="23" w:name="_Toc508709714"/>
      <w:r>
        <w:rPr>
          <w:rFonts w:hint="default" w:ascii="微软雅黑" w:hAnsi="微软雅黑" w:eastAsia="微软雅黑"/>
          <w:color w:val="auto"/>
          <w:sz w:val="32"/>
          <w:szCs w:val="32"/>
        </w:rPr>
        <w:br w:type="page"/>
      </w:r>
      <w:bookmarkStart w:id="24" w:name="_Toc58"/>
      <w:bookmarkStart w:id="25" w:name="_Toc31211"/>
      <w:r>
        <w:rPr>
          <w:rStyle w:val="11"/>
          <w:rFonts w:hint="eastAsia" w:eastAsia="微软雅黑"/>
          <w:color w:val="auto"/>
        </w:rPr>
        <w:t>第五章</w:t>
      </w:r>
      <w:r>
        <w:rPr>
          <w:rStyle w:val="11"/>
          <w:rFonts w:hint="default" w:eastAsia="微软雅黑"/>
          <w:color w:val="auto"/>
        </w:rPr>
        <w:t xml:space="preserve">  </w:t>
      </w:r>
      <w:r>
        <w:rPr>
          <w:rStyle w:val="11"/>
          <w:rFonts w:hint="eastAsia" w:eastAsia="微软雅黑"/>
          <w:color w:val="auto"/>
        </w:rPr>
        <w:t>响应文件格式</w:t>
      </w:r>
      <w:bookmarkEnd w:id="23"/>
      <w:r>
        <w:rPr>
          <w:rStyle w:val="11"/>
          <w:rFonts w:hint="eastAsia" w:eastAsia="微软雅黑"/>
          <w:color w:val="auto"/>
        </w:rPr>
        <w:t>及要求</w:t>
      </w:r>
      <w:bookmarkEnd w:id="24"/>
      <w:bookmarkEnd w:id="25"/>
    </w:p>
    <w:p>
      <w:pPr>
        <w:pStyle w:val="12"/>
        <w:widowControl/>
        <w:numPr>
          <w:ilvl w:val="0"/>
          <w:numId w:val="19"/>
        </w:numPr>
        <w:spacing w:line="400" w:lineRule="exact"/>
        <w:ind w:left="425" w:hanging="425" w:firstLineChars="0"/>
        <w:jc w:val="left"/>
        <w:rPr>
          <w:rFonts w:ascii="微软雅黑" w:hAnsi="微软雅黑" w:eastAsia="微软雅黑"/>
          <w:b/>
          <w:color w:val="auto"/>
        </w:rPr>
      </w:pPr>
      <w:r>
        <w:rPr>
          <w:rFonts w:hint="eastAsia" w:ascii="微软雅黑" w:hAnsi="微软雅黑" w:eastAsia="微软雅黑"/>
          <w:b/>
          <w:color w:val="auto"/>
        </w:rPr>
        <w:t>编制要求</w:t>
      </w:r>
    </w:p>
    <w:p>
      <w:pPr>
        <w:pStyle w:val="12"/>
        <w:widowControl/>
        <w:numPr>
          <w:ilvl w:val="1"/>
          <w:numId w:val="19"/>
        </w:numPr>
        <w:spacing w:line="400" w:lineRule="exact"/>
        <w:ind w:left="425" w:hanging="425" w:firstLineChars="0"/>
        <w:jc w:val="left"/>
        <w:rPr>
          <w:rFonts w:ascii="微软雅黑" w:hAnsi="微软雅黑" w:eastAsia="微软雅黑"/>
          <w:color w:val="auto"/>
        </w:rPr>
      </w:pPr>
      <w:r>
        <w:rPr>
          <w:rFonts w:hint="eastAsia" w:ascii="微软雅黑" w:hAnsi="微软雅黑" w:eastAsia="微软雅黑"/>
          <w:color w:val="auto"/>
        </w:rPr>
        <w:t>本章所制响应文件格式，以“★”标示的格式为不允许负偏离的实质性要求，格式中除可填报项目外，任何实质性修改将被视为非实质性响应，从而导致响应无效；未以“★”标示的格式，一律不具有强制性。</w:t>
      </w:r>
    </w:p>
    <w:p>
      <w:pPr>
        <w:pStyle w:val="12"/>
        <w:numPr>
          <w:ilvl w:val="1"/>
          <w:numId w:val="19"/>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本章所制响应文件格式有关表格中的备注栏，由响应人根据自身情况作解释性说明，不作为必填项。</w:t>
      </w:r>
    </w:p>
    <w:p>
      <w:pPr>
        <w:pStyle w:val="12"/>
        <w:widowControl/>
        <w:numPr>
          <w:ilvl w:val="0"/>
          <w:numId w:val="19"/>
        </w:numPr>
        <w:spacing w:line="400" w:lineRule="exact"/>
        <w:ind w:left="425" w:hanging="425" w:firstLineChars="0"/>
        <w:jc w:val="left"/>
        <w:rPr>
          <w:rFonts w:ascii="微软雅黑" w:hAnsi="微软雅黑" w:eastAsia="微软雅黑"/>
          <w:b/>
          <w:color w:val="auto"/>
        </w:rPr>
      </w:pPr>
      <w:r>
        <w:rPr>
          <w:rFonts w:hint="eastAsia" w:ascii="微软雅黑" w:hAnsi="微软雅黑" w:eastAsia="微软雅黑"/>
          <w:b/>
          <w:color w:val="auto"/>
        </w:rPr>
        <w:t>格式</w:t>
      </w:r>
    </w:p>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响应文件封面</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响应文件</w:t>
            </w:r>
          </w:p>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（正本或副本）</w:t>
            </w:r>
          </w:p>
          <w:p>
            <w:pPr>
              <w:widowControl/>
              <w:spacing w:line="400" w:lineRule="exact"/>
              <w:jc w:val="left"/>
              <w:rPr>
                <w:rFonts w:ascii="微软雅黑" w:hAnsi="微软雅黑" w:eastAsia="微软雅黑"/>
                <w:color w:val="auto"/>
                <w:sz w:val="18"/>
                <w:szCs w:val="18"/>
              </w:rPr>
            </w:pPr>
            <w:r>
              <w:rPr>
                <w:rFonts w:hint="eastAsia" w:ascii="微软雅黑" w:hAnsi="微软雅黑" w:eastAsia="微软雅黑"/>
                <w:color w:val="auto"/>
                <w:sz w:val="18"/>
                <w:szCs w:val="18"/>
              </w:rPr>
              <w:t>项目名称：</w:t>
            </w:r>
            <w:r>
              <w:rPr>
                <w:rFonts w:hint="default" w:ascii="微软雅黑" w:hAnsi="微软雅黑" w:eastAsia="微软雅黑"/>
                <w:color w:val="auto"/>
                <w:sz w:val="18"/>
                <w:szCs w:val="18"/>
              </w:rPr>
              <w:t>______________</w:t>
            </w:r>
          </w:p>
          <w:p>
            <w:pPr>
              <w:widowControl/>
              <w:spacing w:line="400" w:lineRule="exact"/>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jc w:val="left"/>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★法定代表人授权书</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法定代表人授权书</w:t>
            </w:r>
          </w:p>
          <w:p>
            <w:pPr>
              <w:spacing w:line="400" w:lineRule="exact"/>
              <w:rPr>
                <w:rFonts w:ascii="微软雅黑" w:hAnsi="微软雅黑" w:eastAsia="微软雅黑"/>
                <w:color w:val="auto"/>
                <w:sz w:val="18"/>
                <w:szCs w:val="18"/>
              </w:rPr>
            </w:pPr>
            <w:r>
              <w:rPr>
                <w:rFonts w:hint="eastAsia" w:ascii="微软雅黑" w:hAnsi="微软雅黑" w:eastAsia="微软雅黑"/>
                <w:color w:val="auto"/>
                <w:sz w:val="18"/>
                <w:szCs w:val="18"/>
              </w:rPr>
              <w:t>致：</w:t>
            </w:r>
            <w:r>
              <w:rPr>
                <w:rFonts w:hint="eastAsia" w:ascii="微软雅黑" w:hAnsi="微软雅黑" w:eastAsia="微软雅黑"/>
                <w:color w:val="auto"/>
                <w:sz w:val="18"/>
                <w:szCs w:val="18"/>
                <w:u w:val="single"/>
              </w:rPr>
              <w:t>（填写项目实施机构名称）</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本授权声明：</w:t>
            </w:r>
            <w:r>
              <w:rPr>
                <w:rFonts w:hint="default" w:ascii="微软雅黑" w:hAnsi="微软雅黑" w:eastAsia="微软雅黑"/>
                <w:color w:val="auto"/>
                <w:sz w:val="18"/>
                <w:szCs w:val="18"/>
              </w:rPr>
              <w:t>__________</w:t>
            </w:r>
            <w:r>
              <w:rPr>
                <w:rFonts w:hint="eastAsia" w:ascii="微软雅黑" w:hAnsi="微软雅黑" w:eastAsia="微软雅黑"/>
                <w:color w:val="auto"/>
                <w:sz w:val="18"/>
                <w:szCs w:val="18"/>
              </w:rPr>
              <w:t>（响应人全称）</w:t>
            </w:r>
            <w:r>
              <w:rPr>
                <w:rFonts w:hint="default" w:ascii="微软雅黑" w:hAnsi="微软雅黑" w:eastAsia="微软雅黑"/>
                <w:color w:val="auto"/>
                <w:sz w:val="18"/>
                <w:szCs w:val="18"/>
              </w:rPr>
              <w:t>__________</w:t>
            </w:r>
            <w:r>
              <w:rPr>
                <w:rFonts w:hint="eastAsia" w:ascii="微软雅黑" w:hAnsi="微软雅黑" w:eastAsia="微软雅黑"/>
                <w:color w:val="auto"/>
                <w:sz w:val="18"/>
                <w:szCs w:val="18"/>
              </w:rPr>
              <w:t>（法定代表人姓名、职务）授权</w:t>
            </w:r>
            <w:r>
              <w:rPr>
                <w:rFonts w:hint="default" w:ascii="微软雅黑" w:hAnsi="微软雅黑" w:eastAsia="微软雅黑"/>
                <w:color w:val="auto"/>
                <w:sz w:val="18"/>
                <w:szCs w:val="18"/>
              </w:rPr>
              <w:t>__________</w:t>
            </w:r>
            <w:r>
              <w:rPr>
                <w:rFonts w:hint="eastAsia" w:ascii="微软雅黑" w:hAnsi="微软雅黑" w:eastAsia="微软雅黑"/>
                <w:color w:val="auto"/>
                <w:sz w:val="18"/>
                <w:szCs w:val="18"/>
              </w:rPr>
              <w:t>（被授权人姓名、职务）为我方参加</w:t>
            </w:r>
            <w:r>
              <w:rPr>
                <w:rFonts w:hint="default" w:ascii="微软雅黑" w:hAnsi="微软雅黑" w:eastAsia="微软雅黑"/>
                <w:color w:val="auto"/>
                <w:sz w:val="18"/>
                <w:szCs w:val="18"/>
              </w:rPr>
              <w:t>__________</w:t>
            </w:r>
            <w:r>
              <w:rPr>
                <w:rFonts w:hint="eastAsia" w:ascii="微软雅黑" w:hAnsi="微软雅黑" w:eastAsia="微软雅黑"/>
                <w:color w:val="auto"/>
                <w:sz w:val="18"/>
                <w:szCs w:val="18"/>
              </w:rPr>
              <w:t>项目竞选活动的合法代表，以我方名义全权处理该项目有关响应、签订以及执行合同等一切事宜。</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特此声明。</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法定代表人：</w:t>
            </w:r>
            <w:r>
              <w:rPr>
                <w:rFonts w:hint="default" w:ascii="微软雅黑" w:hAnsi="微软雅黑" w:eastAsia="微软雅黑"/>
                <w:color w:val="auto"/>
                <w:sz w:val="18"/>
                <w:szCs w:val="18"/>
              </w:rPr>
              <w:t>____________________</w:t>
            </w:r>
            <w:r>
              <w:rPr>
                <w:rFonts w:hint="eastAsia" w:ascii="微软雅黑" w:hAnsi="微软雅黑" w:eastAsia="微软雅黑"/>
                <w:color w:val="auto"/>
                <w:sz w:val="18"/>
                <w:szCs w:val="18"/>
              </w:rPr>
              <w:t>（签字或盖章）</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被授权人：</w:t>
            </w:r>
            <w:r>
              <w:rPr>
                <w:rFonts w:hint="default" w:ascii="微软雅黑" w:hAnsi="微软雅黑" w:eastAsia="微软雅黑"/>
                <w:color w:val="auto"/>
                <w:sz w:val="18"/>
                <w:szCs w:val="18"/>
              </w:rPr>
              <w:t>____________________</w:t>
            </w:r>
            <w:r>
              <w:rPr>
                <w:rFonts w:hint="eastAsia" w:ascii="微软雅黑" w:hAnsi="微软雅黑" w:eastAsia="微软雅黑"/>
                <w:color w:val="auto"/>
                <w:sz w:val="18"/>
                <w:szCs w:val="18"/>
              </w:rPr>
              <w:t>（签字或盖章）</w:t>
            </w:r>
          </w:p>
          <w:p>
            <w:pPr>
              <w:spacing w:line="400" w:lineRule="exact"/>
              <w:ind w:firstLine="360" w:firstLineChars="200"/>
              <w:rPr>
                <w:rFonts w:ascii="微软雅黑" w:hAnsi="微软雅黑" w:eastAsia="微软雅黑"/>
                <w:color w:val="auto"/>
                <w:sz w:val="18"/>
                <w:szCs w:val="18"/>
                <w:u w:val="single"/>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________</w:t>
            </w:r>
            <w:r>
              <w:rPr>
                <w:rFonts w:hint="eastAsia" w:ascii="微软雅黑" w:hAnsi="微软雅黑" w:eastAsia="微软雅黑"/>
                <w:color w:val="auto"/>
                <w:sz w:val="18"/>
                <w:szCs w:val="18"/>
              </w:rPr>
              <w:t>日</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附：法定代表人、被授权人的身份证正反面影印件</w:t>
            </w:r>
          </w:p>
          <w:tbl>
            <w:tblPr>
              <w:tblStyle w:val="10"/>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要求：真实有效且内容完整、清晰、整洁。</w:t>
                  </w:r>
                </w:p>
              </w:tc>
            </w:tr>
          </w:tbl>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说明：①银行以非法人身份参加响应的，“法定代表人”指代表单位行使职权的主要负责人，即与实际提交的“营业执照等证明文件”载明的一致。②若响应人代表为法定代表人授权的委托代理人，应提供本授权书；若响应人代表为法定代表人，应在此项下提交其身份证正反面影印件，可不提供本授权书。</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★资格声明函</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资格声明函</w:t>
            </w:r>
          </w:p>
          <w:p>
            <w:pPr>
              <w:widowControl/>
              <w:spacing w:line="400" w:lineRule="exact"/>
              <w:rPr>
                <w:rFonts w:ascii="微软雅黑" w:hAnsi="微软雅黑" w:eastAsia="微软雅黑"/>
                <w:color w:val="auto"/>
                <w:sz w:val="18"/>
                <w:szCs w:val="18"/>
              </w:rPr>
            </w:pPr>
            <w:r>
              <w:rPr>
                <w:rFonts w:hint="eastAsia" w:ascii="微软雅黑" w:hAnsi="微软雅黑" w:eastAsia="微软雅黑"/>
                <w:color w:val="auto"/>
                <w:sz w:val="18"/>
                <w:szCs w:val="18"/>
              </w:rPr>
              <w:t>致：</w:t>
            </w:r>
            <w:r>
              <w:rPr>
                <w:rFonts w:hint="eastAsia" w:ascii="微软雅黑" w:hAnsi="微软雅黑" w:eastAsia="微软雅黑"/>
                <w:color w:val="auto"/>
                <w:sz w:val="18"/>
                <w:szCs w:val="18"/>
                <w:u w:val="single"/>
              </w:rPr>
              <w:t>（填写项目实施机构名称）</w:t>
            </w:r>
          </w:p>
          <w:p>
            <w:pPr>
              <w:widowControl/>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作为</w:t>
            </w:r>
            <w:r>
              <w:rPr>
                <w:rFonts w:hint="eastAsia" w:ascii="微软雅黑" w:hAnsi="微软雅黑" w:eastAsia="微软雅黑"/>
                <w:color w:val="auto"/>
                <w:sz w:val="18"/>
                <w:szCs w:val="18"/>
                <w:u w:val="single"/>
              </w:rPr>
              <w:t>（项目名称）</w:t>
            </w:r>
            <w:r>
              <w:rPr>
                <w:rFonts w:hint="eastAsia" w:ascii="微软雅黑" w:hAnsi="微软雅黑" w:eastAsia="微软雅黑"/>
                <w:color w:val="auto"/>
                <w:sz w:val="18"/>
                <w:szCs w:val="18"/>
              </w:rPr>
              <w:t>的响应人，我方郑重声明：</w:t>
            </w:r>
          </w:p>
          <w:p>
            <w:pPr>
              <w:pStyle w:val="12"/>
              <w:widowControl/>
              <w:numPr>
                <w:ilvl w:val="0"/>
                <w:numId w:val="20"/>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我方为</w:t>
            </w:r>
            <w:r>
              <w:rPr>
                <w:rFonts w:hint="eastAsia" w:ascii="微软雅黑" w:hAnsi="微软雅黑" w:eastAsia="微软雅黑"/>
                <w:color w:val="auto"/>
                <w:sz w:val="18"/>
                <w:szCs w:val="18"/>
                <w:lang w:eastAsia="zh-CN"/>
              </w:rPr>
              <w:t>吉林省财政厅</w:t>
            </w:r>
            <w:r>
              <w:rPr>
                <w:rFonts w:hint="eastAsia" w:ascii="微软雅黑" w:hAnsi="微软雅黑" w:eastAsia="微软雅黑"/>
                <w:color w:val="auto"/>
                <w:sz w:val="18"/>
                <w:szCs w:val="18"/>
              </w:rPr>
              <w:t>办公所在地同城</w:t>
            </w:r>
            <w:r>
              <w:rPr>
                <w:rFonts w:hint="eastAsia" w:ascii="微软雅黑" w:hAnsi="微软雅黑" w:eastAsia="微软雅黑"/>
                <w:color w:val="auto"/>
                <w:sz w:val="18"/>
                <w:szCs w:val="18"/>
                <w:lang w:eastAsia="zh-CN"/>
              </w:rPr>
              <w:t>市辖区</w:t>
            </w:r>
            <w:r>
              <w:rPr>
                <w:rFonts w:hint="eastAsia" w:ascii="微软雅黑" w:hAnsi="微软雅黑" w:eastAsia="微软雅黑"/>
                <w:color w:val="auto"/>
                <w:sz w:val="18"/>
                <w:szCs w:val="18"/>
              </w:rPr>
              <w:t>范围内取得营业执照并依法设立总行、分行的大型国有商业银行、股份制商业银行、城市商业银行。</w:t>
            </w:r>
          </w:p>
          <w:p>
            <w:pPr>
              <w:pStyle w:val="12"/>
              <w:widowControl/>
              <w:numPr>
                <w:ilvl w:val="0"/>
                <w:numId w:val="20"/>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我方依法开展经营活动，近</w:t>
            </w:r>
            <w:r>
              <w:rPr>
                <w:rFonts w:hint="default" w:ascii="微软雅黑" w:hAnsi="微软雅黑" w:eastAsia="微软雅黑"/>
                <w:color w:val="auto"/>
                <w:sz w:val="18"/>
                <w:szCs w:val="18"/>
              </w:rPr>
              <w:t>3</w:t>
            </w:r>
            <w:r>
              <w:rPr>
                <w:rFonts w:hint="eastAsia" w:ascii="微软雅黑" w:hAnsi="微软雅黑" w:eastAsia="微软雅黑"/>
                <w:color w:val="auto"/>
                <w:sz w:val="18"/>
                <w:szCs w:val="18"/>
              </w:rPr>
              <w:t>年内在经营活动中无违法、重大违规记录。</w:t>
            </w:r>
          </w:p>
          <w:p>
            <w:pPr>
              <w:pStyle w:val="12"/>
              <w:widowControl/>
              <w:numPr>
                <w:ilvl w:val="0"/>
                <w:numId w:val="20"/>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我方财务稳健，资本充足率、不良贷款率、拨备覆盖率、流动性覆盖率、流动性比例等指标</w:t>
            </w:r>
            <w:r>
              <w:rPr>
                <w:rFonts w:hint="eastAsia" w:ascii="微软雅黑" w:hAnsi="微软雅黑" w:eastAsia="微软雅黑"/>
                <w:color w:val="auto"/>
                <w:sz w:val="18"/>
                <w:szCs w:val="18"/>
                <w:lang w:eastAsia="zh-CN"/>
              </w:rPr>
              <w:t>符合</w:t>
            </w:r>
            <w:r>
              <w:rPr>
                <w:rFonts w:hint="eastAsia" w:ascii="微软雅黑" w:hAnsi="微软雅黑" w:eastAsia="微软雅黑"/>
                <w:color w:val="auto"/>
                <w:sz w:val="18"/>
                <w:szCs w:val="18"/>
              </w:rPr>
              <w:t>监管标准</w:t>
            </w:r>
            <w:r>
              <w:rPr>
                <w:rFonts w:hint="eastAsia" w:ascii="微软雅黑" w:hAnsi="微软雅黑" w:eastAsia="微软雅黑"/>
                <w:color w:val="auto"/>
                <w:sz w:val="18"/>
                <w:szCs w:val="18"/>
                <w:lang w:eastAsia="zh-CN"/>
              </w:rPr>
              <w:t>要求</w:t>
            </w:r>
            <w:r>
              <w:rPr>
                <w:rFonts w:hint="eastAsia" w:ascii="微软雅黑" w:hAnsi="微软雅黑" w:eastAsia="微软雅黑"/>
                <w:color w:val="auto"/>
                <w:sz w:val="18"/>
                <w:szCs w:val="18"/>
              </w:rPr>
              <w:t>。</w:t>
            </w:r>
          </w:p>
          <w:p>
            <w:pPr>
              <w:pStyle w:val="12"/>
              <w:widowControl/>
              <w:numPr>
                <w:ilvl w:val="0"/>
                <w:numId w:val="20"/>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我方内部管理机制健全，具有较强的风险控制能力，近</w:t>
            </w:r>
            <w:r>
              <w:rPr>
                <w:rFonts w:hint="default" w:ascii="微软雅黑" w:hAnsi="微软雅黑" w:eastAsia="微软雅黑"/>
                <w:color w:val="auto"/>
                <w:sz w:val="18"/>
                <w:szCs w:val="18"/>
              </w:rPr>
              <w:t>3</w:t>
            </w:r>
            <w:r>
              <w:rPr>
                <w:rFonts w:hint="eastAsia" w:ascii="微软雅黑" w:hAnsi="微软雅黑" w:eastAsia="微软雅黑"/>
                <w:color w:val="auto"/>
                <w:sz w:val="18"/>
                <w:szCs w:val="18"/>
              </w:rPr>
              <w:t>年内未发生金融风险及重大违约事件。</w:t>
            </w:r>
          </w:p>
          <w:p>
            <w:pPr>
              <w:pStyle w:val="12"/>
              <w:widowControl/>
              <w:numPr>
                <w:ilvl w:val="0"/>
                <w:numId w:val="20"/>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我方承诺未以联合体形式参与本次竞争性选择开户银行。</w:t>
            </w:r>
          </w:p>
          <w:p>
            <w:pPr>
              <w:widowControl/>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我方对上述声明的内容事项真实性负责。如经查实上述声明的内容事项存在虚假，由此造成的经济损失和法律责任由我方全部承担。</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响应人代表：</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（签字或盖章）</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★廉政承诺书</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廉政承诺书</w:t>
            </w:r>
          </w:p>
          <w:p>
            <w:pPr>
              <w:widowControl/>
              <w:spacing w:line="400" w:lineRule="exact"/>
              <w:rPr>
                <w:rFonts w:ascii="微软雅黑" w:hAnsi="微软雅黑" w:eastAsia="微软雅黑"/>
                <w:color w:val="auto"/>
                <w:sz w:val="18"/>
                <w:szCs w:val="18"/>
                <w:u w:val="single"/>
              </w:rPr>
            </w:pPr>
            <w:r>
              <w:rPr>
                <w:rFonts w:hint="eastAsia" w:ascii="微软雅黑" w:hAnsi="微软雅黑" w:eastAsia="微软雅黑"/>
                <w:color w:val="auto"/>
                <w:sz w:val="18"/>
                <w:szCs w:val="18"/>
              </w:rPr>
              <w:t>致：</w:t>
            </w:r>
            <w:r>
              <w:rPr>
                <w:rFonts w:hint="eastAsia" w:ascii="微软雅黑" w:hAnsi="微软雅黑" w:eastAsia="微软雅黑"/>
                <w:color w:val="auto"/>
                <w:sz w:val="18"/>
                <w:szCs w:val="18"/>
                <w:u w:val="single"/>
              </w:rPr>
              <w:t>（填写项目实施机构名称）</w:t>
            </w:r>
          </w:p>
          <w:p>
            <w:pPr>
              <w:widowControl/>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作为</w:t>
            </w:r>
            <w:r>
              <w:rPr>
                <w:rFonts w:hint="eastAsia" w:ascii="微软雅黑" w:hAnsi="微软雅黑" w:eastAsia="微软雅黑"/>
                <w:color w:val="auto"/>
                <w:sz w:val="18"/>
                <w:szCs w:val="18"/>
                <w:lang w:eastAsia="zh-CN"/>
              </w:rPr>
              <w:t>吉林省</w:t>
            </w:r>
            <w:r>
              <w:rPr>
                <w:rFonts w:hint="eastAsia" w:ascii="微软雅黑" w:hAnsi="微软雅黑" w:eastAsia="微软雅黑"/>
                <w:color w:val="auto"/>
                <w:sz w:val="18"/>
                <w:szCs w:val="18"/>
              </w:rPr>
              <w:t>本级</w:t>
            </w:r>
            <w:r>
              <w:rPr>
                <w:rFonts w:hint="eastAsia" w:ascii="微软雅黑" w:hAnsi="微软雅黑" w:eastAsia="微软雅黑"/>
                <w:color w:val="auto"/>
                <w:sz w:val="18"/>
                <w:szCs w:val="18"/>
                <w:lang w:eastAsia="zh-CN"/>
              </w:rPr>
              <w:t>代管资金</w:t>
            </w:r>
            <w:r>
              <w:rPr>
                <w:rFonts w:hint="eastAsia" w:ascii="微软雅黑" w:hAnsi="微软雅黑" w:eastAsia="微软雅黑"/>
                <w:color w:val="auto"/>
                <w:sz w:val="18"/>
                <w:szCs w:val="18"/>
              </w:rPr>
              <w:t>财政专户开户银行竞争性选择项目的响应人，我行郑重承诺：</w:t>
            </w:r>
          </w:p>
          <w:p>
            <w:pPr>
              <w:widowControl/>
              <w:spacing w:line="400" w:lineRule="exact"/>
              <w:ind w:firstLine="360" w:firstLineChars="200"/>
              <w:rPr>
                <w:rFonts w:ascii="微软雅黑" w:hAnsi="微软雅黑" w:eastAsia="微软雅黑"/>
                <w:color w:val="auto"/>
                <w:sz w:val="18"/>
                <w:szCs w:val="18"/>
              </w:rPr>
            </w:pPr>
            <w:r>
              <w:rPr>
                <w:rFonts w:hint="default" w:ascii="微软雅黑" w:hAnsi="微软雅黑" w:eastAsia="微软雅黑"/>
                <w:color w:val="auto"/>
                <w:sz w:val="18"/>
                <w:szCs w:val="18"/>
              </w:rPr>
              <w:t>1.</w:t>
            </w:r>
            <w:r>
              <w:rPr>
                <w:rFonts w:hint="eastAsia" w:ascii="微软雅黑" w:hAnsi="微软雅黑" w:eastAsia="微软雅黑"/>
                <w:color w:val="auto"/>
                <w:sz w:val="18"/>
                <w:szCs w:val="18"/>
              </w:rPr>
              <w:t>不向资金存放主体相关负责人员输送任何利益；</w:t>
            </w:r>
          </w:p>
          <w:p>
            <w:pPr>
              <w:widowControl/>
              <w:spacing w:line="400" w:lineRule="exact"/>
              <w:ind w:firstLine="360" w:firstLineChars="200"/>
              <w:rPr>
                <w:rFonts w:ascii="微软雅黑" w:hAnsi="微软雅黑" w:eastAsia="微软雅黑"/>
                <w:color w:val="auto"/>
                <w:sz w:val="18"/>
                <w:szCs w:val="18"/>
              </w:rPr>
            </w:pPr>
            <w:r>
              <w:rPr>
                <w:rFonts w:hint="default" w:ascii="微软雅黑" w:hAnsi="微软雅黑" w:eastAsia="微软雅黑"/>
                <w:color w:val="auto"/>
                <w:sz w:val="18"/>
                <w:szCs w:val="18"/>
              </w:rPr>
              <w:t>2.</w:t>
            </w:r>
            <w:r>
              <w:rPr>
                <w:rFonts w:hint="eastAsia" w:ascii="微软雅黑" w:hAnsi="微软雅黑" w:eastAsia="微软雅黑"/>
                <w:color w:val="auto"/>
                <w:sz w:val="18"/>
                <w:szCs w:val="18"/>
              </w:rPr>
              <w:t>不将资金存放与资金存放主体相关负责人员在本行亲属的业绩、收入挂钩等要素。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响应人代表：</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（签字或盖章）</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★响应函</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70" w:hRule="atLeast"/>
        </w:trPr>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响应函</w:t>
            </w:r>
          </w:p>
          <w:p>
            <w:pPr>
              <w:widowControl/>
              <w:spacing w:line="400" w:lineRule="exact"/>
              <w:rPr>
                <w:rFonts w:ascii="微软雅黑" w:hAnsi="微软雅黑" w:eastAsia="微软雅黑"/>
                <w:color w:val="auto"/>
                <w:sz w:val="18"/>
                <w:szCs w:val="18"/>
              </w:rPr>
            </w:pPr>
            <w:r>
              <w:rPr>
                <w:rFonts w:hint="eastAsia" w:ascii="微软雅黑" w:hAnsi="微软雅黑" w:eastAsia="微软雅黑"/>
                <w:color w:val="auto"/>
                <w:sz w:val="18"/>
                <w:szCs w:val="18"/>
              </w:rPr>
              <w:t>致：</w:t>
            </w:r>
            <w:r>
              <w:rPr>
                <w:rFonts w:hint="eastAsia" w:ascii="微软雅黑" w:hAnsi="微软雅黑" w:eastAsia="微软雅黑"/>
                <w:color w:val="auto"/>
                <w:sz w:val="18"/>
                <w:szCs w:val="18"/>
                <w:u w:val="single"/>
              </w:rPr>
              <w:t>（填写项目实施机构名称）</w:t>
            </w:r>
          </w:p>
          <w:p>
            <w:pPr>
              <w:widowControl/>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作为</w:t>
            </w:r>
            <w:r>
              <w:rPr>
                <w:rFonts w:hint="eastAsia" w:ascii="微软雅黑" w:hAnsi="微软雅黑" w:eastAsia="微软雅黑"/>
                <w:color w:val="auto"/>
                <w:sz w:val="18"/>
                <w:szCs w:val="18"/>
                <w:u w:val="single"/>
              </w:rPr>
              <w:t>（项目名称）</w:t>
            </w:r>
            <w:r>
              <w:rPr>
                <w:rFonts w:hint="eastAsia" w:ascii="微软雅黑" w:hAnsi="微软雅黑" w:eastAsia="微软雅黑"/>
                <w:color w:val="auto"/>
                <w:sz w:val="18"/>
                <w:szCs w:val="18"/>
              </w:rPr>
              <w:t>的响应人，我方承诺如下：</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已详细审查全部竞争性选择文件，包括澄清、修改、补充或更正文件（如有的话）和有关附件，我方完全熟悉和理解其中的要求、条款和条件，且无任何异议。如有异议，已经在规定时间内依法进行维权救济，不存在对竞争性选择文件有异议的同时又参加响应以求侥幸成交或者为实现其他非法目的的行为。</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除了我方已在响应文件中列出的负偏差和不响应外，我方承诺将按竞争性选择文件的各项规定履行合同责任和义务。竞争性选择文件及其附件资料如果有涉及应当保密的内容，我方将严格遵守规定，不将应当保密的内容泄密给第三方或另作它用，如有违反，项目实施机构可依法追究我方的法律责任。</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一旦我方获得入选资格，我方将按照竞争性选择文件的要求和我方提交的响应文件（包括响应文件、补充澄清等）中的承诺，投入项目所需相关资源，并在合同约定的期限内组织有经验的人员做好项目的实施和服务工作。我方承诺遵守国家相关法律和竞争性竞争性选择文件的要求，并在规定的期限内与项目实施机构签订合同。</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我方同意在本竞争性选择文件规定的响应截止时间之日起</w:t>
            </w:r>
            <w:r>
              <w:rPr>
                <w:rFonts w:hint="default" w:ascii="微软雅黑" w:hAnsi="微软雅黑" w:eastAsia="微软雅黑"/>
                <w:color w:val="auto"/>
                <w:sz w:val="18"/>
                <w:szCs w:val="18"/>
                <w:u w:val="single"/>
              </w:rPr>
              <w:t xml:space="preserve"> 90</w:t>
            </w:r>
            <w:r>
              <w:rPr>
                <w:rFonts w:hint="eastAsia" w:ascii="微软雅黑" w:hAnsi="微软雅黑" w:eastAsia="微软雅黑"/>
                <w:color w:val="auto"/>
                <w:sz w:val="18"/>
                <w:szCs w:val="18"/>
              </w:rPr>
              <w:t>天内遵守本响应文件中的承诺且在此期限期满之前均具有约束力。我方对响应文件中的所有承诺、声明、数据和资料的真实性、准确性、合法性、有效性负责；我方响应文件中有关影印件资料均与原件一致。如有违反，我方将承担法律责任和后果。</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我方愿意向贵方提供任何与本项目有关的数据或资料。若贵方需要，我方愿意提供我方作出的一切承诺的证明材料。</w:t>
            </w:r>
          </w:p>
          <w:p>
            <w:pPr>
              <w:pStyle w:val="12"/>
              <w:widowControl/>
              <w:numPr>
                <w:ilvl w:val="0"/>
                <w:numId w:val="21"/>
              </w:numPr>
              <w:spacing w:line="400" w:lineRule="exact"/>
              <w:ind w:left="780" w:hanging="42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我方联系方式等信息如下，用于接受贵方发出的与本次竞选活动有关的一切往来信息或通知（包括补充、澄清和成交通知等），我方自行承担信息错误、通讯设备故障或延误查收信息给我方带来的后果和责任。贵方按上述联系方式发出任何信息或通知，均视同为我方已收悉并知晓，我方均予以认可。</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响应人代表：</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（签字或盖章）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联系电话：</w:t>
            </w:r>
            <w:r>
              <w:rPr>
                <w:rFonts w:hint="default" w:ascii="微软雅黑" w:hAnsi="微软雅黑" w:eastAsia="微软雅黑"/>
                <w:color w:val="auto"/>
                <w:sz w:val="18"/>
                <w:szCs w:val="18"/>
              </w:rPr>
              <w:t>________________</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项目要求响应表</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项目要求响应表</w:t>
            </w:r>
          </w:p>
          <w:tbl>
            <w:tblPr>
              <w:tblStyle w:val="10"/>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826"/>
              <w:gridCol w:w="1984"/>
              <w:gridCol w:w="113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2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sz w:val="18"/>
                      <w:szCs w:val="18"/>
                    </w:rPr>
                  </w:pPr>
                  <w:r>
                    <w:rPr>
                      <w:rFonts w:hint="eastAsia" w:ascii="微软雅黑" w:hAnsi="微软雅黑" w:eastAsia="微软雅黑"/>
                      <w:color w:val="auto"/>
                      <w:sz w:val="18"/>
                      <w:szCs w:val="1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r>
                    <w:rPr>
                      <w:rFonts w:hint="eastAsia" w:ascii="微软雅黑" w:hAnsi="微软雅黑" w:eastAsia="微软雅黑"/>
                      <w:color w:val="auto"/>
                      <w:sz w:val="18"/>
                      <w:szCs w:val="18"/>
                    </w:rPr>
                    <w:t>序号</w:t>
                  </w:r>
                </w:p>
              </w:tc>
              <w:tc>
                <w:tcPr>
                  <w:tcW w:w="38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r>
                    <w:rPr>
                      <w:rFonts w:hint="eastAsia" w:ascii="微软雅黑" w:hAnsi="微软雅黑" w:eastAsia="微软雅黑"/>
                      <w:color w:val="auto"/>
                      <w:sz w:val="18"/>
                      <w:szCs w:val="18"/>
                    </w:rPr>
                    <w:t>项目要求</w:t>
                  </w: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r>
                    <w:rPr>
                      <w:rFonts w:hint="eastAsia" w:ascii="微软雅黑" w:hAnsi="微软雅黑" w:eastAsia="微软雅黑"/>
                      <w:color w:val="auto"/>
                      <w:sz w:val="18"/>
                      <w:szCs w:val="18"/>
                    </w:rPr>
                    <w:t>响应文件响应</w:t>
                  </w:r>
                </w:p>
              </w:tc>
              <w:tc>
                <w:tcPr>
                  <w:tcW w:w="1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r>
                    <w:rPr>
                      <w:rFonts w:hint="eastAsia" w:ascii="微软雅黑" w:hAnsi="微软雅黑" w:eastAsia="微软雅黑"/>
                      <w:color w:val="auto"/>
                      <w:sz w:val="18"/>
                      <w:szCs w:val="18"/>
                    </w:rPr>
                    <w:t>是否偏离</w:t>
                  </w:r>
                </w:p>
              </w:tc>
              <w:tc>
                <w:tcPr>
                  <w:tcW w:w="16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r>
                    <w:rPr>
                      <w:rFonts w:hint="eastAsia" w:ascii="微软雅黑" w:hAnsi="微软雅黑" w:eastAsia="微软雅黑"/>
                      <w:color w:val="auto"/>
                      <w:sz w:val="18"/>
                      <w:szCs w:val="18"/>
                    </w:rPr>
                    <w:t>说明或证明材料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p>
              </w:tc>
              <w:tc>
                <w:tcPr>
                  <w:tcW w:w="38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p>
              </w:tc>
              <w:tc>
                <w:tcPr>
                  <w:tcW w:w="19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p>
              </w:tc>
              <w:tc>
                <w:tcPr>
                  <w:tcW w:w="11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p>
              </w:tc>
              <w:tc>
                <w:tcPr>
                  <w:tcW w:w="16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5"/>
                    <w:spacing w:line="400" w:lineRule="exact"/>
                    <w:ind w:firstLine="0" w:firstLineChars="0"/>
                    <w:rPr>
                      <w:rFonts w:ascii="微软雅黑" w:hAnsi="微软雅黑" w:eastAsia="微软雅黑"/>
                      <w:color w:val="auto"/>
                      <w:sz w:val="18"/>
                      <w:szCs w:val="18"/>
                    </w:rPr>
                  </w:pPr>
                </w:p>
              </w:tc>
            </w:tr>
          </w:tbl>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响应人代表：</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（签字或盖章）</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p>
            <w:pPr>
              <w:spacing w:line="400" w:lineRule="exact"/>
              <w:ind w:firstLine="360" w:firstLineChars="200"/>
              <w:rPr>
                <w:rFonts w:ascii="微软雅黑" w:hAnsi="微软雅黑" w:eastAsia="微软雅黑"/>
                <w:color w:val="auto"/>
                <w:sz w:val="18"/>
                <w:szCs w:val="18"/>
              </w:rPr>
            </w:pPr>
            <w:r>
              <w:rPr>
                <w:rFonts w:hint="eastAsia" w:ascii="微软雅黑" w:hAnsi="微软雅黑" w:eastAsia="微软雅黑"/>
                <w:color w:val="auto"/>
                <w:sz w:val="18"/>
                <w:szCs w:val="18"/>
              </w:rPr>
              <w:t>说明：①“项目要求”项下应对应竞争性文件第四章中项目要求等内容逐项填写。②“响应文件响应”项下应填写具体的响应内容并与“项目要求”项下填写的</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内容逐项对应；对“项目要求”项下涉及“≥或＞”、“≤或＜”及某个区间值范围内的内容，应根据实际填写具体的数值或区间值。②“是否偏离”项下应按下列规定填写：优于的，填写“正偏离”；符合的，填写“无偏离”；不符合的，填写“负偏离”；不确定的，填写“不确定”。响应人应以审慎的态度明确、清楚地披露各项偏离。任何情况下，对于响应人没有在本表中明确、清楚地披露的事项，包括可能属于被响应人在偏离表中遗漏披露的事项，一旦在评选中被发现存在偏离或被认定为属于偏离，则评委会有权视具体情形予以处理，包括：按照规则扣分、在规则基础上增加直至加倍扣分或对该响应予以拒绝。③响应人需要说明的内容若需特殊表达，应先在本表中进行相应说明，再另页应答。</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★金融机构相关指标情况表</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center"/>
              <w:rPr>
                <w:rFonts w:ascii="微软雅黑" w:hAnsi="微软雅黑" w:eastAsia="微软雅黑"/>
                <w:color w:val="auto"/>
              </w:rPr>
            </w:pPr>
            <w:r>
              <w:rPr>
                <w:rFonts w:hint="eastAsia" w:ascii="微软雅黑" w:hAnsi="微软雅黑" w:eastAsia="微软雅黑"/>
                <w:color w:val="auto"/>
              </w:rPr>
              <w:t>金融机构相关指标情况表</w:t>
            </w:r>
          </w:p>
          <w:p>
            <w:pPr>
              <w:widowControl/>
              <w:spacing w:line="400" w:lineRule="exact"/>
              <w:jc w:val="right"/>
              <w:rPr>
                <w:rFonts w:ascii="微软雅黑" w:hAnsi="微软雅黑" w:eastAsia="微软雅黑"/>
                <w:color w:val="auto"/>
                <w:sz w:val="18"/>
                <w:szCs w:val="18"/>
              </w:rPr>
            </w:pPr>
            <w:r>
              <w:rPr>
                <w:rFonts w:hint="eastAsia" w:ascii="微软雅黑" w:hAnsi="微软雅黑" w:eastAsia="微软雅黑"/>
                <w:color w:val="auto"/>
                <w:sz w:val="18"/>
                <w:szCs w:val="18"/>
              </w:rPr>
              <w:t>指标截止日期：</w:t>
            </w:r>
            <w:r>
              <w:rPr>
                <w:rFonts w:hint="default" w:ascii="微软雅黑" w:hAnsi="微软雅黑" w:eastAsia="微软雅黑"/>
                <w:color w:val="auto"/>
                <w:sz w:val="18"/>
                <w:szCs w:val="18"/>
              </w:rPr>
              <w:t>202</w:t>
            </w:r>
            <w:r>
              <w:rPr>
                <w:rFonts w:hint="eastAsia" w:ascii="微软雅黑" w:hAnsi="微软雅黑" w:eastAsia="微软雅黑"/>
                <w:color w:val="auto"/>
                <w:sz w:val="18"/>
                <w:szCs w:val="18"/>
                <w:lang w:val="en-US" w:eastAsia="zh-CN"/>
              </w:rPr>
              <w:t>3</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12</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31</w:t>
            </w:r>
            <w:r>
              <w:rPr>
                <w:rFonts w:hint="eastAsia" w:ascii="微软雅黑" w:hAnsi="微软雅黑" w:eastAsia="微软雅黑"/>
                <w:color w:val="auto"/>
                <w:sz w:val="18"/>
                <w:szCs w:val="18"/>
              </w:rPr>
              <w:t>日</w:t>
            </w:r>
          </w:p>
          <w:tbl>
            <w:tblPr>
              <w:tblStyle w:val="10"/>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5"/>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指标项</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指标值</w:t>
                  </w: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资本充足率（</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总行（一级法人），需提供年度财务报告作为依据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不良贷款率（</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总行（一级法人），需提供年度财务报告作为依据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拨备覆盖率（</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总行（一级法人），需提供年度财务报告作为依据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流动性覆盖</w:t>
                  </w:r>
                  <w:r>
                    <w:rPr>
                      <w:rFonts w:hint="eastAsia" w:ascii="微软雅黑" w:hAnsi="微软雅黑" w:eastAsia="微软雅黑"/>
                      <w:color w:val="auto"/>
                      <w:sz w:val="18"/>
                      <w:szCs w:val="18"/>
                      <w:lang w:eastAsia="zh-CN"/>
                    </w:rPr>
                    <w:t>率</w:t>
                  </w:r>
                  <w:r>
                    <w:rPr>
                      <w:rFonts w:hint="eastAsia" w:ascii="微软雅黑" w:hAnsi="微软雅黑" w:eastAsia="微软雅黑"/>
                      <w:color w:val="auto"/>
                      <w:sz w:val="18"/>
                      <w:szCs w:val="18"/>
                    </w:rPr>
                    <w:t>（</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总行（一级法人），需提供年度财务报告作为依据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流动性比例（</w:t>
                  </w:r>
                  <w:r>
                    <w:rPr>
                      <w:rFonts w:hint="default" w:ascii="微软雅黑" w:hAnsi="微软雅黑" w:eastAsia="微软雅黑"/>
                      <w:color w:val="auto"/>
                      <w:sz w:val="18"/>
                      <w:szCs w:val="18"/>
                    </w:rPr>
                    <w:t>%</w:t>
                  </w:r>
                  <w:r>
                    <w:rPr>
                      <w:rFonts w:hint="eastAsia" w:ascii="微软雅黑" w:hAnsi="微软雅黑" w:eastAsia="微软雅黑"/>
                      <w:color w:val="auto"/>
                      <w:sz w:val="18"/>
                      <w:szCs w:val="18"/>
                    </w:rPr>
                    <w:t>）</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总行（一级法人），需提供年度财务报告作为依据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lang w:eastAsia="zh-CN"/>
                    </w:rPr>
                    <w:t>承诺最优惠利率</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lang w:eastAsia="zh-CN"/>
                    </w:rPr>
                    <w:t>是</w:t>
                  </w:r>
                  <w:r>
                    <w:rPr>
                      <w:rFonts w:hint="eastAsia" w:ascii="微软雅黑" w:hAnsi="微软雅黑" w:eastAsia="微软雅黑"/>
                      <w:color w:val="auto"/>
                      <w:sz w:val="18"/>
                      <w:szCs w:val="18"/>
                      <w:lang w:val="en-US" w:eastAsia="zh-CN"/>
                    </w:rPr>
                    <w:t>/否</w:t>
                  </w: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eastAsia" w:ascii="微软雅黑" w:hAnsi="微软雅黑" w:eastAsia="微软雅黑"/>
                      <w:color w:val="auto"/>
                      <w:sz w:val="18"/>
                      <w:szCs w:val="18"/>
                    </w:rPr>
                    <w:t>在符合国家利率政策和银行业利率自律机制的前提下，承诺对</w:t>
                  </w:r>
                  <w:r>
                    <w:rPr>
                      <w:rFonts w:hint="eastAsia" w:ascii="微软雅黑" w:hAnsi="微软雅黑" w:eastAsia="微软雅黑"/>
                      <w:color w:val="auto"/>
                      <w:sz w:val="18"/>
                      <w:szCs w:val="18"/>
                      <w:lang w:eastAsia="zh-CN"/>
                    </w:rPr>
                    <w:t>省</w:t>
                  </w:r>
                  <w:r>
                    <w:rPr>
                      <w:rFonts w:hint="eastAsia" w:ascii="微软雅黑" w:hAnsi="微软雅黑" w:eastAsia="微软雅黑"/>
                      <w:color w:val="auto"/>
                      <w:sz w:val="18"/>
                      <w:szCs w:val="18"/>
                    </w:rPr>
                    <w:t>财政</w:t>
                  </w:r>
                  <w:r>
                    <w:rPr>
                      <w:rFonts w:hint="eastAsia" w:ascii="微软雅黑" w:hAnsi="微软雅黑" w:eastAsia="微软雅黑"/>
                      <w:color w:val="auto"/>
                      <w:sz w:val="18"/>
                      <w:szCs w:val="18"/>
                      <w:lang w:eastAsia="zh-CN"/>
                    </w:rPr>
                    <w:t>代管资金</w:t>
                  </w:r>
                  <w:r>
                    <w:rPr>
                      <w:rFonts w:hint="eastAsia" w:ascii="微软雅黑" w:hAnsi="微软雅黑" w:eastAsia="微软雅黑"/>
                      <w:color w:val="auto"/>
                      <w:sz w:val="18"/>
                      <w:szCs w:val="18"/>
                    </w:rPr>
                    <w:t>财政专户定期存款和协定存款</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按照存款利率内部授权上限给与最优惠利率，以各响应人承诺为准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微软雅黑" w:hAnsi="微软雅黑" w:eastAsia="微软雅黑"/>
                      <w:color w:val="auto"/>
                      <w:sz w:val="18"/>
                      <w:szCs w:val="18"/>
                    </w:rPr>
                  </w:pPr>
                  <w:r>
                    <w:rPr>
                      <w:rFonts w:hint="eastAsia" w:ascii="微软雅黑" w:hAnsi="微软雅黑" w:eastAsia="微软雅黑"/>
                      <w:color w:val="auto"/>
                      <w:sz w:val="18"/>
                      <w:szCs w:val="18"/>
                    </w:rPr>
                    <w:t>在吉林省资产总额（亿元）</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r>
                    <w:rPr>
                      <w:rFonts w:hint="default" w:ascii="微软雅黑" w:hAnsi="微软雅黑" w:eastAsia="微软雅黑"/>
                      <w:color w:val="auto"/>
                      <w:sz w:val="18"/>
                      <w:szCs w:val="18"/>
                    </w:rPr>
                    <w:t>202</w:t>
                  </w:r>
                  <w:r>
                    <w:rPr>
                      <w:rFonts w:hint="eastAsia" w:ascii="微软雅黑" w:hAnsi="微软雅黑" w:eastAsia="微软雅黑"/>
                      <w:color w:val="auto"/>
                      <w:sz w:val="18"/>
                      <w:szCs w:val="18"/>
                      <w:lang w:val="en-US" w:eastAsia="zh-CN"/>
                    </w:rPr>
                    <w:t>3</w:t>
                  </w:r>
                  <w:r>
                    <w:rPr>
                      <w:rFonts w:hint="eastAsia" w:ascii="微软雅黑" w:hAnsi="微软雅黑" w:eastAsia="微软雅黑"/>
                      <w:color w:val="auto"/>
                      <w:sz w:val="18"/>
                      <w:szCs w:val="18"/>
                    </w:rPr>
                    <w:t>年末本行在吉林省资产总规模</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以吉林银保监局提供的数据为准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各响应人</w:t>
                  </w:r>
                  <w:r>
                    <w:rPr>
                      <w:rFonts w:hint="eastAsia" w:ascii="微软雅黑" w:hAnsi="微软雅黑" w:eastAsia="微软雅黑"/>
                      <w:color w:val="auto"/>
                      <w:sz w:val="18"/>
                      <w:szCs w:val="18"/>
                      <w:lang w:eastAsia="zh-CN"/>
                    </w:rPr>
                    <w:t>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23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微软雅黑" w:hAnsi="微软雅黑" w:eastAsia="微软雅黑"/>
                      <w:color w:val="auto"/>
                      <w:sz w:val="18"/>
                      <w:szCs w:val="18"/>
                    </w:rPr>
                  </w:pPr>
                  <w:r>
                    <w:rPr>
                      <w:rFonts w:hint="eastAsia" w:ascii="微软雅黑" w:hAnsi="微软雅黑" w:eastAsia="微软雅黑"/>
                      <w:color w:val="auto"/>
                      <w:sz w:val="18"/>
                      <w:szCs w:val="18"/>
                    </w:rPr>
                    <w:t>在吉林省纳税规模（亿元）</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微软雅黑" w:hAnsi="微软雅黑" w:eastAsia="微软雅黑"/>
                      <w:color w:val="auto"/>
                      <w:sz w:val="18"/>
                      <w:szCs w:val="18"/>
                    </w:rPr>
                  </w:pPr>
                </w:p>
              </w:tc>
              <w:tc>
                <w:tcPr>
                  <w:tcW w:w="65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微软雅黑" w:hAnsi="微软雅黑" w:eastAsia="微软雅黑"/>
                      <w:color w:val="auto"/>
                      <w:sz w:val="18"/>
                      <w:szCs w:val="18"/>
                    </w:rPr>
                  </w:pPr>
                  <w:r>
                    <w:rPr>
                      <w:rFonts w:hint="default" w:ascii="微软雅黑" w:hAnsi="微软雅黑" w:eastAsia="微软雅黑"/>
                      <w:color w:val="auto"/>
                      <w:sz w:val="18"/>
                      <w:szCs w:val="18"/>
                    </w:rPr>
                    <w:t>202</w:t>
                  </w:r>
                  <w:r>
                    <w:rPr>
                      <w:rFonts w:hint="eastAsia" w:ascii="微软雅黑" w:hAnsi="微软雅黑" w:eastAsia="微软雅黑"/>
                      <w:color w:val="auto"/>
                      <w:sz w:val="18"/>
                      <w:szCs w:val="18"/>
                      <w:lang w:val="en-US" w:eastAsia="zh-CN"/>
                    </w:rPr>
                    <w:t>3</w:t>
                  </w:r>
                  <w:r>
                    <w:rPr>
                      <w:rFonts w:hint="eastAsia" w:ascii="微软雅黑" w:hAnsi="微软雅黑" w:eastAsia="微软雅黑"/>
                      <w:color w:val="auto"/>
                      <w:sz w:val="18"/>
                      <w:szCs w:val="18"/>
                    </w:rPr>
                    <w:t>年末本行在吉林省地方级纳税规模</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以国家税务总局吉林省税务局提供的数据为准</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rPr>
                    <w:t>各响应人</w:t>
                  </w:r>
                  <w:r>
                    <w:rPr>
                      <w:rFonts w:hint="eastAsia" w:ascii="微软雅黑" w:hAnsi="微软雅黑" w:eastAsia="微软雅黑"/>
                      <w:color w:val="auto"/>
                      <w:sz w:val="18"/>
                      <w:szCs w:val="18"/>
                      <w:lang w:eastAsia="zh-CN"/>
                    </w:rPr>
                    <w:t>无需提供</w:t>
                  </w:r>
                </w:p>
              </w:tc>
            </w:tr>
          </w:tbl>
          <w:p>
            <w:pPr>
              <w:widowControl/>
              <w:spacing w:line="400" w:lineRule="exact"/>
              <w:jc w:val="left"/>
              <w:rPr>
                <w:rFonts w:ascii="微软雅黑" w:hAnsi="微软雅黑" w:eastAsia="微软雅黑"/>
                <w:color w:val="auto"/>
                <w:sz w:val="18"/>
                <w:szCs w:val="18"/>
              </w:rPr>
            </w:pP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（填写响应人全称并加盖响应人公章）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响应人代表：</w:t>
            </w:r>
            <w:r>
              <w:rPr>
                <w:rFonts w:hint="default" w:ascii="微软雅黑" w:hAnsi="微软雅黑" w:eastAsia="微软雅黑"/>
                <w:color w:val="auto"/>
                <w:sz w:val="18"/>
                <w:szCs w:val="18"/>
              </w:rPr>
              <w:t>________________</w:t>
            </w:r>
            <w:r>
              <w:rPr>
                <w:rFonts w:hint="eastAsia" w:ascii="微软雅黑" w:hAnsi="微软雅黑" w:eastAsia="微软雅黑"/>
                <w:color w:val="auto"/>
                <w:sz w:val="18"/>
                <w:szCs w:val="18"/>
              </w:rPr>
              <w:t>（签字或盖章）</w:t>
            </w:r>
          </w:p>
          <w:p>
            <w:pPr>
              <w:widowControl/>
              <w:spacing w:line="400" w:lineRule="exact"/>
              <w:ind w:firstLine="360" w:firstLineChars="200"/>
              <w:jc w:val="left"/>
              <w:rPr>
                <w:rFonts w:ascii="微软雅黑" w:hAnsi="微软雅黑" w:eastAsia="微软雅黑"/>
                <w:color w:val="auto"/>
                <w:sz w:val="18"/>
                <w:szCs w:val="18"/>
              </w:rPr>
            </w:pPr>
            <w:r>
              <w:rPr>
                <w:rFonts w:hint="eastAsia" w:ascii="微软雅黑" w:hAnsi="微软雅黑" w:eastAsia="微软雅黑"/>
                <w:color w:val="auto"/>
                <w:sz w:val="18"/>
                <w:szCs w:val="18"/>
              </w:rPr>
              <w:t>日期：</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年</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月</w:t>
            </w:r>
            <w:r>
              <w:rPr>
                <w:rFonts w:hint="default" w:ascii="微软雅黑" w:hAnsi="微软雅黑" w:eastAsia="微软雅黑"/>
                <w:color w:val="auto"/>
                <w:sz w:val="18"/>
                <w:szCs w:val="18"/>
              </w:rPr>
              <w:t>____</w:t>
            </w:r>
            <w:r>
              <w:rPr>
                <w:rFonts w:hint="eastAsia" w:ascii="微软雅黑" w:hAnsi="微软雅黑" w:eastAsia="微软雅黑"/>
                <w:color w:val="auto"/>
                <w:sz w:val="18"/>
                <w:szCs w:val="18"/>
              </w:rPr>
              <w:t>日</w:t>
            </w:r>
          </w:p>
        </w:tc>
      </w:tr>
    </w:tbl>
    <w:p>
      <w:pPr>
        <w:pStyle w:val="12"/>
        <w:widowControl/>
        <w:numPr>
          <w:ilvl w:val="1"/>
          <w:numId w:val="19"/>
        </w:numPr>
        <w:spacing w:line="400" w:lineRule="exact"/>
        <w:ind w:left="567" w:hanging="567" w:firstLineChars="0"/>
        <w:jc w:val="left"/>
        <w:rPr>
          <w:rFonts w:ascii="微软雅黑" w:hAnsi="微软雅黑" w:eastAsia="微软雅黑"/>
          <w:color w:val="auto"/>
        </w:rPr>
      </w:pPr>
      <w:r>
        <w:rPr>
          <w:rFonts w:hint="eastAsia" w:ascii="微软雅黑" w:hAnsi="微软雅黑" w:eastAsia="微软雅黑"/>
          <w:color w:val="auto"/>
        </w:rPr>
        <w:t>评分因素索引表</w:t>
      </w:r>
    </w:p>
    <w:tbl>
      <w:tblPr>
        <w:tblStyle w:val="10"/>
        <w:tblW w:w="973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73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c>
          <w:tcPr>
            <w:tcW w:w="9736"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top"/>
          </w:tcPr>
          <w:p>
            <w:pPr>
              <w:widowControl/>
              <w:spacing w:line="400" w:lineRule="exact"/>
              <w:jc w:val="left"/>
              <w:rPr>
                <w:rFonts w:ascii="微软雅黑" w:hAnsi="微软雅黑" w:eastAsia="微软雅黑"/>
                <w:color w:val="auto"/>
              </w:rPr>
            </w:pPr>
            <w:r>
              <w:rPr>
                <w:rFonts w:hint="eastAsia" w:ascii="微软雅黑" w:hAnsi="微软雅黑" w:eastAsia="微软雅黑"/>
                <w:color w:val="auto"/>
                <w:sz w:val="18"/>
                <w:szCs w:val="18"/>
              </w:rPr>
              <w:t>说明：评分因素索引表的格式和内容由响应人根据实际情况自拟，以有利于评委准确、高效评分为原则。</w:t>
            </w:r>
          </w:p>
        </w:tc>
      </w:tr>
    </w:tbl>
    <w:p>
      <w:pPr>
        <w:pageBreakBefore w:val="0"/>
        <w:widowControl/>
        <w:kinsoku/>
        <w:wordWrap/>
        <w:overflowPunct/>
        <w:topLinePunct w:val="0"/>
        <w:autoSpaceDE/>
        <w:autoSpaceDN/>
        <w:bidi w:val="0"/>
        <w:adjustRightInd/>
        <w:snapToGrid/>
        <w:spacing w:line="500" w:lineRule="exact"/>
        <w:ind w:right="0" w:rightChars="0"/>
        <w:jc w:val="center"/>
        <w:textAlignment w:val="auto"/>
        <w:rPr>
          <w:rFonts w:ascii="微软雅黑" w:hAnsi="微软雅黑" w:eastAsia="微软雅黑"/>
          <w:color w:val="auto"/>
          <w:sz w:val="32"/>
          <w:szCs w:val="32"/>
        </w:rPr>
      </w:pPr>
      <w:r>
        <w:rPr>
          <w:rFonts w:hint="default" w:ascii="微软雅黑" w:hAnsi="微软雅黑" w:eastAsia="微软雅黑"/>
          <w:color w:val="auto"/>
          <w:sz w:val="32"/>
          <w:szCs w:val="32"/>
        </w:rPr>
        <w:br w:type="page"/>
      </w:r>
      <w:bookmarkStart w:id="26" w:name="_Toc508709715"/>
      <w:bookmarkStart w:id="27" w:name="_Toc3112"/>
      <w:bookmarkStart w:id="28" w:name="_Toc26972"/>
      <w:r>
        <w:rPr>
          <w:rStyle w:val="11"/>
          <w:rFonts w:hint="eastAsia" w:eastAsia="微软雅黑"/>
          <w:color w:val="auto"/>
        </w:rPr>
        <w:t>第六章</w:t>
      </w:r>
      <w:bookmarkEnd w:id="26"/>
      <w:r>
        <w:rPr>
          <w:rStyle w:val="11"/>
          <w:rFonts w:hint="default" w:eastAsia="微软雅黑"/>
          <w:color w:val="auto"/>
        </w:rPr>
        <w:t xml:space="preserve">  </w:t>
      </w:r>
      <w:r>
        <w:rPr>
          <w:rStyle w:val="11"/>
          <w:rFonts w:hint="eastAsia" w:eastAsia="微软雅黑"/>
          <w:color w:val="auto"/>
        </w:rPr>
        <w:t>评选程序、评选方法及标准</w:t>
      </w:r>
      <w:bookmarkEnd w:id="27"/>
      <w:bookmarkEnd w:id="28"/>
    </w:p>
    <w:p>
      <w:pPr>
        <w:pStyle w:val="16"/>
        <w:pageBreakBefore w:val="0"/>
        <w:numPr>
          <w:ilvl w:val="0"/>
          <w:numId w:val="22"/>
        </w:numPr>
        <w:kinsoku/>
        <w:wordWrap/>
        <w:overflowPunct/>
        <w:topLinePunct w:val="0"/>
        <w:autoSpaceDE/>
        <w:autoSpaceDN/>
        <w:bidi w:val="0"/>
        <w:adjustRightInd/>
        <w:snapToGrid/>
        <w:spacing w:before="0" w:after="0" w:line="500" w:lineRule="exact"/>
        <w:ind w:left="420" w:right="0" w:rightChars="0" w:hanging="420" w:firstLineChars="0"/>
        <w:jc w:val="center"/>
        <w:textAlignment w:val="auto"/>
        <w:rPr>
          <w:color w:val="auto"/>
          <w:sz w:val="28"/>
          <w:szCs w:val="28"/>
        </w:rPr>
      </w:pPr>
      <w:r>
        <w:rPr>
          <w:rFonts w:hint="eastAsia"/>
          <w:color w:val="auto"/>
          <w:sz w:val="28"/>
          <w:szCs w:val="28"/>
        </w:rPr>
        <w:t>评选程序</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资格审查</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评选委员会应当依据法律法规和竞争性选择文件的规定，审查响应人是否具备响应资格。</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响应人有下列情形之一的，资格审查不合格：</w:t>
      </w:r>
    </w:p>
    <w:p>
      <w:pPr>
        <w:pStyle w:val="13"/>
        <w:numPr>
          <w:ilvl w:val="0"/>
          <w:numId w:val="24"/>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未按竞争性选择文件第三章的规定要求提供资格证明文件；</w:t>
      </w:r>
    </w:p>
    <w:p>
      <w:pPr>
        <w:pStyle w:val="13"/>
        <w:numPr>
          <w:ilvl w:val="0"/>
          <w:numId w:val="24"/>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资格性响应文件未按竞争性选择文件第二章的规定要求签字、盖章；</w:t>
      </w:r>
    </w:p>
    <w:p>
      <w:pPr>
        <w:pStyle w:val="13"/>
        <w:numPr>
          <w:ilvl w:val="0"/>
          <w:numId w:val="24"/>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不符合法律法规规定的其他资格条件。</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符合性审查</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评选委员会应当对符合资格的响应人的响应文件进行符合性审查，以确定其是否满足竞争性选择文件的实质性要求。</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满足竞争性选择文件的实质性要求指响应文件对竞争性选择文件实质性要求的响应不存在重大偏差或保留。重大偏差或保留指影响到竞争性选择文件规定的合同范围、合同履行及影响关键质量和性能，或限制了项目实施机构的权利，或反对、减少响应人的义务，而纠正这些重大偏差或保留将影响到其他提交实质性响应的响应人的公平竞争地位。</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委员会审查判断响应文件是否满足竞争性选择文件的实质性要求仅基于响应文件本身而不寻求其他的外部证据。未满足竞争性选择文件实质性要求的响应文件将被评选委员会否决（即符合性审查不合格），被否决的响应文件不能通过补充、修改（澄清、说明或补正）等方式重新成为满足竞争性选择文件实质性要求的响应文件。</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评选委员会对所有响应人都执行相同的程序和标准。</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响应人有下列情形之一的，符合性审查不合格：</w:t>
      </w:r>
    </w:p>
    <w:p>
      <w:pPr>
        <w:pStyle w:val="13"/>
        <w:numPr>
          <w:ilvl w:val="0"/>
          <w:numId w:val="25"/>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符合性响应文件对竞争性选择文件实质性要求的响应存在重大偏离或保留；</w:t>
      </w:r>
    </w:p>
    <w:p>
      <w:pPr>
        <w:pStyle w:val="13"/>
        <w:numPr>
          <w:ilvl w:val="0"/>
          <w:numId w:val="25"/>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符合性响应文件含有项目实施机构不能接受的附加条件的；</w:t>
      </w:r>
    </w:p>
    <w:p>
      <w:pPr>
        <w:pStyle w:val="13"/>
        <w:numPr>
          <w:ilvl w:val="0"/>
          <w:numId w:val="25"/>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法律、法规和竞争性选择文件规定的其他响应无效情形。</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澄清有关问题</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对于通过符合性审查的响应文件中含义不明确、同类问题表述不一致或者有明显文字和计算错误的内容，评选委员会应当以书面形式要求响应人作出必要的澄清、说明或者补正。</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响应人的澄清、说明或补正应由响应人代表在评选委员会规定的时间内（一般在半个小时左右，具体要求将根据实际情况在澄清通知中约定）以书面形式向评选委员会提交，前述澄清、说明或补正不得超出响应文件的范围或改变响应文件的实质性内容。若响应人未按照前述规定向评选委员会提交书面澄清、说明或补正，则评选委员会将按照不利于响应人的内容进行认定。</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综合比较与评价</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评选委员会应当按照本章第（二）节规定的评选方法和标准，对符合性审查合格的响应文件进行商务和技术评估，综合比较与评价。</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推荐中标候选人</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w:t>
      </w:r>
      <w:r>
        <w:rPr>
          <w:rFonts w:hint="eastAsia" w:ascii="微软雅黑" w:hAnsi="微软雅黑" w:eastAsia="微软雅黑"/>
          <w:color w:val="auto"/>
          <w:lang w:eastAsia="zh-CN"/>
        </w:rPr>
        <w:t>完成评选工作后向项目实施机构推荐入选候选人名单</w:t>
      </w:r>
      <w:r>
        <w:rPr>
          <w:rFonts w:hint="eastAsia" w:ascii="微软雅黑" w:hAnsi="微软雅黑" w:eastAsia="微软雅黑"/>
          <w:b w:val="0"/>
          <w:bCs w:val="0"/>
          <w:color w:val="auto"/>
        </w:rPr>
        <w:t>。</w:t>
      </w:r>
    </w:p>
    <w:p>
      <w:pPr>
        <w:pStyle w:val="13"/>
        <w:numPr>
          <w:ilvl w:val="0"/>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编写评选报告</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评选委员会根据全体评选成员签字的原始评选记录和评选结果编写评选报告。</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评选报告应当包括以下内容：</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竞争性选择公告刊登的媒体名称、竞选日期和地点；</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响应人名单和评选委员会成员名单；</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评选方法和标准；</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评选情况及说明，包括无效响应人名单及原因；</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评选结果，确定的入选候选人名单；</w:t>
      </w:r>
    </w:p>
    <w:p>
      <w:pPr>
        <w:pStyle w:val="13"/>
        <w:numPr>
          <w:ilvl w:val="0"/>
          <w:numId w:val="26"/>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其他需要说明的情况。</w:t>
      </w:r>
    </w:p>
    <w:p>
      <w:pPr>
        <w:pStyle w:val="13"/>
        <w:numPr>
          <w:ilvl w:val="1"/>
          <w:numId w:val="23"/>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评选委员会成员对需要共同认定的事项存在争议的，应当按照少数服从多数的原则作出结论。持不同意见的评选委员会成员应当在评选报告上签署不同意见及理由，否则视为同意评选报告。</w:t>
      </w:r>
    </w:p>
    <w:p>
      <w:pPr>
        <w:pStyle w:val="13"/>
        <w:numPr>
          <w:ilvl w:val="1"/>
          <w:numId w:val="23"/>
        </w:numPr>
        <w:spacing w:line="400" w:lineRule="exact"/>
        <w:ind w:left="567" w:hanging="567" w:firstLineChars="0"/>
        <w:rPr>
          <w:rFonts w:ascii="微软雅黑" w:hAnsi="微软雅黑" w:eastAsia="微软雅黑"/>
          <w:color w:val="auto"/>
        </w:rPr>
      </w:pPr>
      <w:r>
        <w:rPr>
          <w:rFonts w:hint="eastAsia" w:ascii="微软雅黑" w:hAnsi="微软雅黑" w:eastAsia="微软雅黑"/>
          <w:color w:val="auto"/>
        </w:rPr>
        <w:t>竞选过程中，有下列情形之一的，本次竞选活动终止：</w:t>
      </w:r>
    </w:p>
    <w:p>
      <w:pPr>
        <w:pStyle w:val="13"/>
        <w:numPr>
          <w:ilvl w:val="0"/>
          <w:numId w:val="27"/>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递交响应文件的响应人不足</w:t>
      </w:r>
      <w:r>
        <w:rPr>
          <w:rFonts w:hint="eastAsia" w:ascii="微软雅黑" w:hAnsi="微软雅黑" w:eastAsia="微软雅黑"/>
          <w:color w:val="auto"/>
          <w:lang w:val="en-US" w:eastAsia="zh-CN"/>
        </w:rPr>
        <w:t>5</w:t>
      </w:r>
      <w:r>
        <w:rPr>
          <w:rFonts w:hint="eastAsia" w:ascii="微软雅黑" w:hAnsi="微软雅黑" w:eastAsia="微软雅黑"/>
          <w:color w:val="auto"/>
        </w:rPr>
        <w:t>家的；</w:t>
      </w:r>
    </w:p>
    <w:p>
      <w:pPr>
        <w:pStyle w:val="13"/>
        <w:numPr>
          <w:ilvl w:val="0"/>
          <w:numId w:val="27"/>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资格性审查合格的响应人不足</w:t>
      </w:r>
      <w:r>
        <w:rPr>
          <w:rFonts w:hint="eastAsia" w:ascii="微软雅黑" w:hAnsi="微软雅黑" w:eastAsia="微软雅黑"/>
          <w:color w:val="auto"/>
          <w:lang w:val="en-US" w:eastAsia="zh-CN"/>
        </w:rPr>
        <w:t>5</w:t>
      </w:r>
      <w:r>
        <w:rPr>
          <w:rFonts w:hint="eastAsia" w:ascii="微软雅黑" w:hAnsi="微软雅黑" w:eastAsia="微软雅黑"/>
          <w:color w:val="auto"/>
        </w:rPr>
        <w:t>家的；</w:t>
      </w:r>
    </w:p>
    <w:p>
      <w:pPr>
        <w:pStyle w:val="13"/>
        <w:numPr>
          <w:ilvl w:val="0"/>
          <w:numId w:val="27"/>
        </w:numPr>
        <w:spacing w:line="400" w:lineRule="exact"/>
        <w:ind w:left="987" w:hanging="420" w:firstLineChars="0"/>
        <w:rPr>
          <w:rFonts w:ascii="微软雅黑" w:hAnsi="微软雅黑" w:eastAsia="微软雅黑"/>
          <w:color w:val="auto"/>
        </w:rPr>
      </w:pPr>
      <w:r>
        <w:rPr>
          <w:rFonts w:hint="eastAsia" w:ascii="微软雅黑" w:hAnsi="微软雅黑" w:eastAsia="微软雅黑"/>
          <w:color w:val="auto"/>
        </w:rPr>
        <w:t>符合性审查合格的响应人不足</w:t>
      </w:r>
      <w:r>
        <w:rPr>
          <w:rFonts w:hint="eastAsia" w:ascii="微软雅黑" w:hAnsi="微软雅黑" w:eastAsia="微软雅黑"/>
          <w:color w:val="auto"/>
          <w:lang w:val="en-US" w:eastAsia="zh-CN"/>
        </w:rPr>
        <w:t>5</w:t>
      </w:r>
      <w:r>
        <w:rPr>
          <w:rFonts w:hint="eastAsia" w:ascii="微软雅黑" w:hAnsi="微软雅黑" w:eastAsia="微软雅黑"/>
          <w:color w:val="auto"/>
        </w:rPr>
        <w:t>家的。</w:t>
      </w:r>
    </w:p>
    <w:p>
      <w:pPr>
        <w:pStyle w:val="16"/>
        <w:numPr>
          <w:ilvl w:val="0"/>
          <w:numId w:val="22"/>
        </w:numPr>
        <w:ind w:left="420" w:hanging="420" w:firstLineChars="0"/>
        <w:rPr>
          <w:color w:val="auto"/>
          <w:sz w:val="28"/>
          <w:szCs w:val="28"/>
        </w:rPr>
      </w:pPr>
      <w:r>
        <w:rPr>
          <w:rFonts w:hint="eastAsia"/>
          <w:color w:val="auto"/>
          <w:sz w:val="28"/>
          <w:szCs w:val="28"/>
        </w:rPr>
        <w:t>评选方法及标准</w:t>
      </w:r>
    </w:p>
    <w:p>
      <w:pPr>
        <w:pStyle w:val="13"/>
        <w:numPr>
          <w:ilvl w:val="0"/>
          <w:numId w:val="28"/>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评选方法：综合评分法（百分制）。</w:t>
      </w:r>
    </w:p>
    <w:p>
      <w:pPr>
        <w:pStyle w:val="13"/>
        <w:numPr>
          <w:ilvl w:val="0"/>
          <w:numId w:val="28"/>
        </w:numPr>
        <w:spacing w:line="400" w:lineRule="exact"/>
        <w:ind w:left="425" w:hanging="425" w:firstLineChars="0"/>
        <w:rPr>
          <w:rFonts w:ascii="微软雅黑" w:hAnsi="微软雅黑" w:eastAsia="微软雅黑"/>
          <w:color w:val="auto"/>
        </w:rPr>
      </w:pPr>
      <w:r>
        <w:rPr>
          <w:rFonts w:hint="eastAsia" w:ascii="微软雅黑" w:hAnsi="微软雅黑" w:eastAsia="微软雅黑"/>
          <w:color w:val="auto"/>
        </w:rPr>
        <w:t>评选标准：</w:t>
      </w:r>
    </w:p>
    <w:bookmarkEnd w:id="21"/>
    <w:bookmarkEnd w:id="22"/>
    <w:tbl>
      <w:tblPr>
        <w:tblStyle w:val="10"/>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28"/>
        <w:gridCol w:w="1676"/>
        <w:gridCol w:w="798"/>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bookmarkStart w:id="29" w:name="_Toc508709716"/>
            <w:bookmarkEnd w:id="29"/>
            <w:r>
              <w:rPr>
                <w:rFonts w:hint="eastAsia" w:ascii="微软雅黑" w:hAnsi="微软雅黑" w:eastAsia="微软雅黑"/>
                <w:color w:val="auto"/>
              </w:rPr>
              <w:t>序号</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评分因素</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分值</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default" w:ascii="微软雅黑" w:hAnsi="微软雅黑" w:eastAsia="微软雅黑"/>
                <w:color w:val="auto"/>
              </w:rPr>
              <w:t>1</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eastAsia="zh-CN"/>
              </w:rPr>
              <w:t>安全性</w:t>
            </w:r>
            <w:r>
              <w:rPr>
                <w:rFonts w:hint="eastAsia" w:ascii="微软雅黑" w:hAnsi="微软雅黑" w:eastAsia="微软雅黑"/>
                <w:color w:val="auto"/>
              </w:rPr>
              <w:t>指标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val="en-US" w:eastAsia="zh-CN"/>
              </w:rPr>
              <w:t>4</w:t>
            </w:r>
            <w:r>
              <w:rPr>
                <w:rFonts w:hint="default" w:ascii="微软雅黑" w:hAnsi="微软雅黑" w:eastAsia="微软雅黑"/>
                <w:color w:val="auto"/>
              </w:rPr>
              <w:t>0</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主要包括各银行资本充足率、不良贷款率、拨备覆盖率、流动性覆盖率和流动性比例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1.</w:t>
            </w:r>
            <w:r>
              <w:rPr>
                <w:rFonts w:hint="eastAsia" w:ascii="微软雅黑" w:hAnsi="微软雅黑" w:eastAsia="微软雅黑"/>
                <w:color w:val="auto"/>
                <w:lang w:val="en-US" w:eastAsia="zh-CN"/>
              </w:rPr>
              <w:t>1</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资本充足率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8</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按各银行总行</w:t>
            </w:r>
            <w:r>
              <w:rPr>
                <w:rFonts w:hint="default" w:ascii="微软雅黑" w:hAnsi="微软雅黑" w:eastAsia="微软雅黑"/>
                <w:color w:val="auto"/>
              </w:rPr>
              <w:t>(</w:t>
            </w:r>
            <w:r>
              <w:rPr>
                <w:rFonts w:hint="eastAsia" w:ascii="微软雅黑" w:hAnsi="微软雅黑" w:eastAsia="微软雅黑"/>
                <w:color w:val="auto"/>
              </w:rPr>
              <w:t>一级法人</w:t>
            </w:r>
            <w:r>
              <w:rPr>
                <w:rFonts w:hint="default" w:ascii="微软雅黑" w:hAnsi="微软雅黑" w:eastAsia="微软雅黑"/>
                <w:color w:val="auto"/>
              </w:rPr>
              <w:t>)20</w:t>
            </w:r>
            <w:r>
              <w:rPr>
                <w:rFonts w:hint="eastAsia" w:ascii="微软雅黑" w:hAnsi="微软雅黑" w:eastAsia="微软雅黑"/>
                <w:color w:val="auto"/>
                <w:lang w:val="en-US" w:eastAsia="zh-CN"/>
              </w:rPr>
              <w:t>23</w:t>
            </w:r>
            <w:r>
              <w:rPr>
                <w:rFonts w:hint="eastAsia" w:ascii="微软雅黑" w:hAnsi="微软雅黑" w:eastAsia="微软雅黑"/>
                <w:color w:val="auto"/>
              </w:rPr>
              <w:t>年末资本充足率从高到低排序，按指标排序后第1名得满分，其余名次按照0.05分依次递减赋分。（以年度财务会计报告数据为准）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1.</w:t>
            </w:r>
            <w:r>
              <w:rPr>
                <w:rFonts w:hint="eastAsia" w:ascii="微软雅黑" w:hAnsi="微软雅黑" w:eastAsia="微软雅黑"/>
                <w:color w:val="auto"/>
                <w:lang w:val="en-US" w:eastAsia="zh-CN"/>
              </w:rPr>
              <w:t>2</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不良贷款率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8</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按各银行总行</w:t>
            </w:r>
            <w:r>
              <w:rPr>
                <w:rFonts w:hint="default" w:ascii="微软雅黑" w:hAnsi="微软雅黑" w:eastAsia="微软雅黑"/>
                <w:color w:val="auto"/>
              </w:rPr>
              <w:t>(</w:t>
            </w:r>
            <w:r>
              <w:rPr>
                <w:rFonts w:hint="eastAsia" w:ascii="微软雅黑" w:hAnsi="微软雅黑" w:eastAsia="微软雅黑"/>
                <w:color w:val="auto"/>
              </w:rPr>
              <w:t>一级法人</w:t>
            </w:r>
            <w:r>
              <w:rPr>
                <w:rFonts w:hint="default" w:ascii="微软雅黑" w:hAnsi="微软雅黑" w:eastAsia="微软雅黑"/>
                <w:color w:val="auto"/>
              </w:rPr>
              <w:t>)202</w:t>
            </w:r>
            <w:r>
              <w:rPr>
                <w:rFonts w:hint="eastAsia" w:ascii="微软雅黑" w:hAnsi="微软雅黑" w:eastAsia="微软雅黑"/>
                <w:color w:val="auto"/>
                <w:lang w:val="en-US" w:eastAsia="zh-CN"/>
              </w:rPr>
              <w:t>3</w:t>
            </w:r>
            <w:r>
              <w:rPr>
                <w:rFonts w:hint="eastAsia" w:ascii="微软雅黑" w:hAnsi="微软雅黑" w:eastAsia="微软雅黑"/>
                <w:color w:val="auto"/>
              </w:rPr>
              <w:t>年末不良贷款率从低到高排序，按指标排序后第1名得满分，其余名次按照0.05分依次递减赋分。（以年度财务会计报告数据为准）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1.</w:t>
            </w:r>
            <w:r>
              <w:rPr>
                <w:rFonts w:hint="eastAsia" w:ascii="微软雅黑" w:hAnsi="微软雅黑" w:eastAsia="微软雅黑"/>
                <w:color w:val="auto"/>
                <w:lang w:val="en-US" w:eastAsia="zh-CN"/>
              </w:rPr>
              <w:t>3</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拨备覆盖率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8</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按各银行总行</w:t>
            </w:r>
            <w:r>
              <w:rPr>
                <w:rFonts w:hint="default" w:ascii="微软雅黑" w:hAnsi="微软雅黑" w:eastAsia="微软雅黑"/>
                <w:color w:val="auto"/>
              </w:rPr>
              <w:t>(</w:t>
            </w:r>
            <w:r>
              <w:rPr>
                <w:rFonts w:hint="eastAsia" w:ascii="微软雅黑" w:hAnsi="微软雅黑" w:eastAsia="微软雅黑"/>
                <w:color w:val="auto"/>
              </w:rPr>
              <w:t>一级法人</w:t>
            </w:r>
            <w:r>
              <w:rPr>
                <w:rFonts w:hint="default" w:ascii="微软雅黑" w:hAnsi="微软雅黑" w:eastAsia="微软雅黑"/>
                <w:color w:val="auto"/>
              </w:rPr>
              <w:t>)20</w:t>
            </w:r>
            <w:r>
              <w:rPr>
                <w:rFonts w:hint="eastAsia" w:ascii="微软雅黑" w:hAnsi="微软雅黑" w:eastAsia="微软雅黑"/>
                <w:color w:val="auto"/>
                <w:lang w:val="en-US" w:eastAsia="zh-CN"/>
              </w:rPr>
              <w:t>23</w:t>
            </w:r>
            <w:r>
              <w:rPr>
                <w:rFonts w:hint="eastAsia" w:ascii="微软雅黑" w:hAnsi="微软雅黑" w:eastAsia="微软雅黑"/>
                <w:color w:val="auto"/>
              </w:rPr>
              <w:t>年末拨备覆盖率从高到低排序，按指标排序后第1名得满分，其余名次按照0.05分依次递减赋分。（以年度财务会计报告数据为准）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1.</w:t>
            </w:r>
            <w:r>
              <w:rPr>
                <w:rFonts w:hint="eastAsia" w:ascii="微软雅黑" w:hAnsi="微软雅黑" w:eastAsia="微软雅黑"/>
                <w:color w:val="auto"/>
                <w:lang w:val="en-US" w:eastAsia="zh-CN"/>
              </w:rPr>
              <w:t>4</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流动性覆盖率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8</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按各银行总行</w:t>
            </w:r>
            <w:r>
              <w:rPr>
                <w:rFonts w:hint="default" w:ascii="微软雅黑" w:hAnsi="微软雅黑" w:eastAsia="微软雅黑"/>
                <w:color w:val="auto"/>
              </w:rPr>
              <w:t>(</w:t>
            </w:r>
            <w:r>
              <w:rPr>
                <w:rFonts w:hint="eastAsia" w:ascii="微软雅黑" w:hAnsi="微软雅黑" w:eastAsia="微软雅黑"/>
                <w:color w:val="auto"/>
              </w:rPr>
              <w:t>一级法人</w:t>
            </w:r>
            <w:r>
              <w:rPr>
                <w:rFonts w:hint="default" w:ascii="微软雅黑" w:hAnsi="微软雅黑" w:eastAsia="微软雅黑"/>
                <w:color w:val="auto"/>
              </w:rPr>
              <w:t>)202</w:t>
            </w:r>
            <w:r>
              <w:rPr>
                <w:rFonts w:hint="eastAsia" w:ascii="微软雅黑" w:hAnsi="微软雅黑" w:eastAsia="微软雅黑"/>
                <w:color w:val="auto"/>
                <w:lang w:val="en-US" w:eastAsia="zh-CN"/>
              </w:rPr>
              <w:t>3</w:t>
            </w:r>
            <w:r>
              <w:rPr>
                <w:rFonts w:hint="eastAsia" w:ascii="微软雅黑" w:hAnsi="微软雅黑" w:eastAsia="微软雅黑"/>
                <w:color w:val="auto"/>
              </w:rPr>
              <w:t>年末流动性覆盖率从高到低排序，按指标排序后第1名得满分，其余名次按照0.05分依次递减赋分。（以年度财务会计报告数据为准）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1.</w:t>
            </w:r>
            <w:r>
              <w:rPr>
                <w:rFonts w:hint="eastAsia" w:ascii="微软雅黑" w:hAnsi="微软雅黑" w:eastAsia="微软雅黑"/>
                <w:color w:val="auto"/>
                <w:lang w:val="en-US" w:eastAsia="zh-CN"/>
              </w:rPr>
              <w:t>5</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流动性比例</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8</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按各银行总行</w:t>
            </w:r>
            <w:r>
              <w:rPr>
                <w:rFonts w:hint="default" w:ascii="微软雅黑" w:hAnsi="微软雅黑" w:eastAsia="微软雅黑"/>
                <w:color w:val="auto"/>
              </w:rPr>
              <w:t>(</w:t>
            </w:r>
            <w:r>
              <w:rPr>
                <w:rFonts w:hint="eastAsia" w:ascii="微软雅黑" w:hAnsi="微软雅黑" w:eastAsia="微软雅黑"/>
                <w:color w:val="auto"/>
              </w:rPr>
              <w:t>一级法人</w:t>
            </w:r>
            <w:r>
              <w:rPr>
                <w:rFonts w:hint="default" w:ascii="微软雅黑" w:hAnsi="微软雅黑" w:eastAsia="微软雅黑"/>
                <w:color w:val="auto"/>
              </w:rPr>
              <w:t>)202</w:t>
            </w:r>
            <w:r>
              <w:rPr>
                <w:rFonts w:hint="eastAsia" w:ascii="微软雅黑" w:hAnsi="微软雅黑" w:eastAsia="微软雅黑"/>
                <w:color w:val="auto"/>
                <w:lang w:val="en-US" w:eastAsia="zh-CN"/>
              </w:rPr>
              <w:t>3</w:t>
            </w:r>
            <w:r>
              <w:rPr>
                <w:rFonts w:hint="eastAsia" w:ascii="微软雅黑" w:hAnsi="微软雅黑" w:eastAsia="微软雅黑"/>
                <w:color w:val="auto"/>
              </w:rPr>
              <w:t>年末流动性比例从高到低排序，按指标排序后第1名得满分，其余名次按照0.05分依次递减赋分。（以年度财务会计报告数据为准）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b/>
                <w:color w:val="auto"/>
              </w:rPr>
            </w:pPr>
            <w:r>
              <w:rPr>
                <w:rFonts w:hint="default" w:ascii="微软雅黑" w:hAnsi="微软雅黑" w:eastAsia="微软雅黑"/>
                <w:b w:val="0"/>
                <w:bCs/>
                <w:color w:val="auto"/>
              </w:rPr>
              <w:t>2</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s="微软雅黑"/>
                <w:b w:val="0"/>
                <w:bCs w:val="0"/>
                <w:color w:val="auto"/>
              </w:rPr>
            </w:pPr>
            <w:r>
              <w:rPr>
                <w:rFonts w:hint="eastAsia" w:ascii="微软雅黑" w:hAnsi="微软雅黑" w:eastAsia="微软雅黑" w:cs="微软雅黑"/>
                <w:b w:val="0"/>
                <w:bCs w:val="0"/>
                <w:color w:val="auto"/>
              </w:rPr>
              <w:t>收益性指标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b w:val="0"/>
                <w:bCs w:val="0"/>
                <w:color w:val="auto"/>
                <w:lang w:eastAsia="zh-CN"/>
              </w:rPr>
            </w:pPr>
            <w:r>
              <w:rPr>
                <w:rFonts w:hint="eastAsia" w:ascii="微软雅黑" w:hAnsi="微软雅黑" w:eastAsia="微软雅黑"/>
                <w:b w:val="0"/>
                <w:bCs w:val="0"/>
                <w:color w:val="auto"/>
                <w:lang w:val="en-US" w:eastAsia="zh-CN"/>
              </w:rPr>
              <w:t>5</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b w:val="0"/>
                <w:bCs w:val="0"/>
                <w:color w:val="auto"/>
              </w:rPr>
            </w:pPr>
            <w:r>
              <w:rPr>
                <w:rFonts w:hint="eastAsia" w:ascii="微软雅黑" w:hAnsi="微软雅黑" w:eastAsia="微软雅黑"/>
                <w:b w:val="0"/>
                <w:bCs w:val="0"/>
                <w:color w:val="auto"/>
              </w:rPr>
              <w:t>主要按照存款利率内部授权上限，承诺给与最优惠利率</w:t>
            </w:r>
            <w:r>
              <w:rPr>
                <w:rFonts w:hint="eastAsia" w:ascii="微软雅黑" w:hAnsi="微软雅黑" w:eastAsia="微软雅黑"/>
                <w:b w:val="0"/>
                <w:bCs w:val="0"/>
                <w:color w:val="auto"/>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2.1</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eastAsia="zh-CN"/>
              </w:rPr>
              <w:t>承诺</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5</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在符合国家利率政策和银行业利率自律机制的前提下，各响应人按照存款利率内部授权上限，对财政专户定期存款和协定存款给与最优惠利率承诺</w:t>
            </w:r>
            <w:r>
              <w:rPr>
                <w:rFonts w:hint="eastAsia" w:ascii="微软雅黑" w:hAnsi="微软雅黑" w:eastAsia="微软雅黑"/>
                <w:color w:val="auto"/>
                <w:lang w:eastAsia="zh-CN"/>
              </w:rPr>
              <w:t>情况赋分，是得</w:t>
            </w:r>
            <w:r>
              <w:rPr>
                <w:rFonts w:hint="eastAsia" w:ascii="微软雅黑" w:hAnsi="微软雅黑" w:eastAsia="微软雅黑"/>
                <w:color w:val="auto"/>
                <w:lang w:val="en-US" w:eastAsia="zh-CN"/>
              </w:rPr>
              <w:t>5分，否得1分</w:t>
            </w:r>
            <w:r>
              <w:rPr>
                <w:rFonts w:hint="eastAsia" w:ascii="微软雅黑" w:hAnsi="微软雅黑" w:eastAsia="微软雅黑"/>
                <w:color w:val="auto"/>
              </w:rPr>
              <w:t>。（以各响应人承诺为准）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default" w:ascii="微软雅黑" w:hAnsi="微软雅黑" w:eastAsia="微软雅黑"/>
                <w:color w:val="auto"/>
              </w:rPr>
              <w:t>3</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b w:val="0"/>
                <w:bCs w:val="0"/>
                <w:color w:val="auto"/>
                <w:lang w:eastAsia="zh-CN"/>
              </w:rPr>
            </w:pPr>
            <w:r>
              <w:rPr>
                <w:rFonts w:hint="eastAsia" w:ascii="微软雅黑" w:hAnsi="微软雅黑" w:eastAsia="微软雅黑"/>
                <w:b w:val="0"/>
                <w:bCs w:val="0"/>
                <w:color w:val="auto"/>
                <w:lang w:eastAsia="zh-CN"/>
              </w:rPr>
              <w:t>贡献度指标</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b w:val="0"/>
                <w:bCs w:val="0"/>
                <w:color w:val="auto"/>
                <w:lang w:eastAsia="zh-CN"/>
              </w:rPr>
            </w:pPr>
            <w:r>
              <w:rPr>
                <w:rFonts w:hint="eastAsia" w:ascii="微软雅黑" w:hAnsi="微软雅黑" w:eastAsia="微软雅黑"/>
                <w:b w:val="0"/>
                <w:bCs w:val="0"/>
                <w:color w:val="auto"/>
                <w:lang w:val="en-US" w:eastAsia="zh-CN"/>
              </w:rPr>
              <w:t>55</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b w:val="0"/>
                <w:bCs w:val="0"/>
                <w:color w:val="auto"/>
              </w:rPr>
            </w:pPr>
            <w:r>
              <w:rPr>
                <w:rFonts w:hint="eastAsia" w:ascii="微软雅黑" w:hAnsi="微软雅黑" w:eastAsia="微软雅黑"/>
                <w:b w:val="0"/>
                <w:bCs w:val="0"/>
                <w:color w:val="auto"/>
              </w:rPr>
              <w:t>主要反映各银行服务能力、服务质量以及支持我省经济发展情况</w:t>
            </w:r>
            <w:r>
              <w:rPr>
                <w:rFonts w:hint="eastAsia" w:ascii="微软雅黑" w:hAnsi="微软雅黑" w:eastAsia="微软雅黑"/>
                <w:b w:val="0"/>
                <w:bCs w:val="0"/>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3.1</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在吉林省资产规模</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25</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以各银行</w:t>
            </w:r>
            <w:r>
              <w:rPr>
                <w:rFonts w:hint="default" w:ascii="微软雅黑" w:hAnsi="微软雅黑" w:eastAsia="微软雅黑"/>
                <w:color w:val="auto"/>
              </w:rPr>
              <w:t>202</w:t>
            </w:r>
            <w:r>
              <w:rPr>
                <w:rFonts w:hint="eastAsia" w:ascii="微软雅黑" w:hAnsi="微软雅黑" w:eastAsia="微软雅黑"/>
                <w:color w:val="auto"/>
                <w:lang w:val="en-US" w:eastAsia="zh-CN"/>
              </w:rPr>
              <w:t>3</w:t>
            </w:r>
            <w:r>
              <w:rPr>
                <w:rFonts w:hint="default" w:ascii="微软雅黑" w:hAnsi="微软雅黑" w:eastAsia="微软雅黑"/>
                <w:color w:val="auto"/>
              </w:rPr>
              <w:t>年末在吉林省资产总规模</w:t>
            </w:r>
            <w:r>
              <w:rPr>
                <w:rFonts w:hint="eastAsia" w:ascii="微软雅黑" w:hAnsi="微软雅黑" w:eastAsia="微软雅黑"/>
                <w:color w:val="auto"/>
              </w:rPr>
              <w:t>从高到低排序，按指标排序后第1名得满分，其余名次按照0.</w:t>
            </w:r>
            <w:r>
              <w:rPr>
                <w:rFonts w:hint="eastAsia" w:ascii="微软雅黑" w:hAnsi="微软雅黑" w:eastAsia="微软雅黑"/>
                <w:color w:val="auto"/>
                <w:lang w:val="en-US" w:eastAsia="zh-CN"/>
              </w:rPr>
              <w:t>25</w:t>
            </w:r>
            <w:r>
              <w:rPr>
                <w:rFonts w:hint="eastAsia" w:ascii="微软雅黑" w:hAnsi="微软雅黑" w:eastAsia="微软雅黑"/>
                <w:color w:val="auto"/>
              </w:rPr>
              <w:t>分依次递减赋分。（以吉林银保监局提供的数据为准）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3.2</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在吉林省纳税规模</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25</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eastAsia" w:ascii="微软雅黑" w:hAnsi="微软雅黑" w:eastAsia="微软雅黑"/>
                <w:color w:val="auto"/>
              </w:rPr>
              <w:t>以各银行</w:t>
            </w:r>
            <w:r>
              <w:rPr>
                <w:rFonts w:hint="default" w:ascii="微软雅黑" w:hAnsi="微软雅黑" w:eastAsia="微软雅黑"/>
                <w:color w:val="auto"/>
              </w:rPr>
              <w:t>202</w:t>
            </w:r>
            <w:r>
              <w:rPr>
                <w:rFonts w:hint="eastAsia" w:ascii="微软雅黑" w:hAnsi="微软雅黑" w:eastAsia="微软雅黑"/>
                <w:color w:val="auto"/>
                <w:lang w:val="en-US" w:eastAsia="zh-CN"/>
              </w:rPr>
              <w:t>3</w:t>
            </w:r>
            <w:r>
              <w:rPr>
                <w:rFonts w:hint="default" w:ascii="微软雅黑" w:hAnsi="微软雅黑" w:eastAsia="微软雅黑"/>
                <w:color w:val="auto"/>
              </w:rPr>
              <w:t>年末在吉林省地方级纳税规模</w:t>
            </w:r>
            <w:r>
              <w:rPr>
                <w:rFonts w:hint="eastAsia" w:ascii="微软雅黑" w:hAnsi="微软雅黑" w:eastAsia="微软雅黑"/>
                <w:color w:val="auto"/>
              </w:rPr>
              <w:t>从高到低排序，按指标排序后第1名得满分，其余名次按照0.</w:t>
            </w:r>
            <w:r>
              <w:rPr>
                <w:rFonts w:hint="eastAsia" w:ascii="微软雅黑" w:hAnsi="微软雅黑" w:eastAsia="微软雅黑"/>
                <w:color w:val="auto"/>
                <w:lang w:val="en-US" w:eastAsia="zh-CN"/>
              </w:rPr>
              <w:t>25</w:t>
            </w:r>
            <w:r>
              <w:rPr>
                <w:rFonts w:hint="eastAsia" w:ascii="微软雅黑" w:hAnsi="微软雅黑" w:eastAsia="微软雅黑"/>
                <w:color w:val="auto"/>
              </w:rPr>
              <w:t>分依次递减赋分。（以国家税务总局吉林省税务局提供的数据为准）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r>
              <w:rPr>
                <w:rFonts w:hint="default" w:ascii="微软雅黑" w:hAnsi="微软雅黑" w:eastAsia="微软雅黑"/>
                <w:color w:val="auto"/>
              </w:rPr>
              <w:t>3.3</w:t>
            </w:r>
          </w:p>
        </w:tc>
        <w:tc>
          <w:tcPr>
            <w:tcW w:w="52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综合评分</w:t>
            </w:r>
          </w:p>
          <w:p>
            <w:pPr>
              <w:spacing w:line="400" w:lineRule="exact"/>
              <w:rPr>
                <w:rFonts w:hint="eastAsia" w:ascii="微软雅黑" w:hAnsi="微软雅黑" w:eastAsia="微软雅黑"/>
                <w:color w:val="auto"/>
              </w:rPr>
            </w:pPr>
          </w:p>
        </w:tc>
        <w:tc>
          <w:tcPr>
            <w:tcW w:w="1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val="en-US" w:eastAsia="zh-CN"/>
              </w:rPr>
            </w:pPr>
            <w:r>
              <w:rPr>
                <w:rFonts w:hint="eastAsia" w:ascii="微软雅黑" w:hAnsi="微软雅黑" w:eastAsia="微软雅黑"/>
                <w:color w:val="auto"/>
              </w:rPr>
              <w:t>投标人基本情况介绍</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1</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eastAsia="zh-CN"/>
              </w:rPr>
              <w:t>按</w:t>
            </w:r>
            <w:r>
              <w:rPr>
                <w:rFonts w:hint="eastAsia" w:ascii="微软雅黑" w:hAnsi="微软雅黑" w:eastAsia="微软雅黑"/>
                <w:color w:val="auto"/>
              </w:rPr>
              <w:t>基本情况介绍</w:t>
            </w:r>
            <w:r>
              <w:rPr>
                <w:rFonts w:hint="eastAsia" w:ascii="微软雅黑" w:hAnsi="微软雅黑" w:eastAsia="微软雅黑"/>
                <w:color w:val="auto"/>
                <w:lang w:eastAsia="zh-CN"/>
              </w:rPr>
              <w:t>是否</w:t>
            </w:r>
            <w:r>
              <w:rPr>
                <w:rFonts w:hint="eastAsia" w:ascii="微软雅黑" w:hAnsi="微软雅黑" w:eastAsia="微软雅黑"/>
                <w:color w:val="auto"/>
              </w:rPr>
              <w:t>符合项目实际需求</w:t>
            </w:r>
            <w:r>
              <w:rPr>
                <w:rFonts w:hint="eastAsia" w:ascii="微软雅黑" w:hAnsi="微软雅黑" w:eastAsia="微软雅黑"/>
                <w:color w:val="auto"/>
                <w:lang w:eastAsia="zh-CN"/>
              </w:rPr>
              <w:t>赋</w:t>
            </w:r>
            <w:r>
              <w:rPr>
                <w:rFonts w:hint="eastAsia" w:ascii="微软雅黑" w:hAnsi="微软雅黑" w:eastAsia="微软雅黑"/>
                <w:color w:val="auto"/>
                <w:lang w:val="en-US" w:eastAsia="zh-CN"/>
              </w:rPr>
              <w:t>0-1</w:t>
            </w:r>
            <w:r>
              <w:rPr>
                <w:rFonts w:hint="eastAsia" w:ascii="微软雅黑" w:hAnsi="微软雅黑" w:eastAsia="微软雅黑"/>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593" w:type="dxa"/>
            <w:vMerge w:val="continue"/>
            <w:tcBorders>
              <w:left w:val="single" w:color="auto" w:sz="4" w:space="0"/>
              <w:right w:val="single" w:color="auto" w:sz="4" w:space="0"/>
            </w:tcBorders>
            <w:tcMar>
              <w:top w:w="0" w:type="dxa"/>
              <w:left w:w="108" w:type="dxa"/>
              <w:bottom w:w="0" w:type="dxa"/>
              <w:right w:w="108" w:type="dxa"/>
            </w:tcMar>
            <w:vAlign w:val="center"/>
          </w:tcPr>
          <w:p>
            <w:pPr>
              <w:spacing w:line="400" w:lineRule="exact"/>
              <w:rPr>
                <w:rFonts w:hint="default" w:ascii="微软雅黑" w:hAnsi="微软雅黑" w:eastAsia="微软雅黑"/>
                <w:color w:val="auto"/>
              </w:rPr>
            </w:pPr>
          </w:p>
        </w:tc>
        <w:tc>
          <w:tcPr>
            <w:tcW w:w="528" w:type="dxa"/>
            <w:vMerge w:val="continue"/>
            <w:tcBorders>
              <w:left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p>
        </w:tc>
        <w:tc>
          <w:tcPr>
            <w:tcW w:w="1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eastAsia="zh-CN"/>
              </w:rPr>
              <w:t>代理</w:t>
            </w:r>
            <w:r>
              <w:rPr>
                <w:rFonts w:hint="eastAsia" w:ascii="微软雅黑" w:hAnsi="微软雅黑" w:eastAsia="微软雅黑"/>
                <w:color w:val="auto"/>
              </w:rPr>
              <w:t>财政</w:t>
            </w:r>
            <w:r>
              <w:rPr>
                <w:rFonts w:hint="eastAsia" w:ascii="微软雅黑" w:hAnsi="微软雅黑" w:eastAsia="微软雅黑"/>
                <w:color w:val="auto"/>
                <w:lang w:eastAsia="zh-CN"/>
              </w:rPr>
              <w:t>国库</w:t>
            </w:r>
            <w:r>
              <w:rPr>
                <w:rFonts w:hint="eastAsia" w:ascii="微软雅黑" w:hAnsi="微软雅黑" w:eastAsia="微软雅黑"/>
                <w:color w:val="auto"/>
              </w:rPr>
              <w:t>业务情况</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1</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eastAsia="zh-CN"/>
              </w:rPr>
              <w:t>按</w:t>
            </w:r>
            <w:r>
              <w:rPr>
                <w:rFonts w:hint="eastAsia" w:ascii="微软雅黑" w:hAnsi="微软雅黑" w:eastAsia="微软雅黑"/>
                <w:color w:val="auto"/>
              </w:rPr>
              <w:t>办理</w:t>
            </w:r>
            <w:r>
              <w:rPr>
                <w:rFonts w:hint="eastAsia" w:ascii="微软雅黑" w:hAnsi="微软雅黑" w:eastAsia="微软雅黑"/>
                <w:color w:val="auto"/>
                <w:lang w:eastAsia="zh-CN"/>
              </w:rPr>
              <w:t>国库</w:t>
            </w:r>
            <w:r>
              <w:rPr>
                <w:rFonts w:hint="eastAsia" w:ascii="微软雅黑" w:hAnsi="微软雅黑" w:eastAsia="微软雅黑"/>
                <w:color w:val="auto"/>
              </w:rPr>
              <w:t>日常业务</w:t>
            </w:r>
            <w:r>
              <w:rPr>
                <w:rFonts w:hint="eastAsia" w:ascii="微软雅黑" w:hAnsi="微软雅黑" w:eastAsia="微软雅黑"/>
                <w:color w:val="auto"/>
                <w:lang w:eastAsia="zh-CN"/>
              </w:rPr>
              <w:t>完成情况</w:t>
            </w:r>
            <w:r>
              <w:rPr>
                <w:rFonts w:hint="eastAsia" w:ascii="微软雅黑" w:hAnsi="微软雅黑" w:eastAsia="微软雅黑"/>
                <w:color w:val="auto"/>
                <w:lang w:val="en-US" w:eastAsia="zh-CN"/>
              </w:rPr>
              <w:t xml:space="preserve">赋0-1分；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vMerge w:val="continue"/>
            <w:tcBorders>
              <w:left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p>
        </w:tc>
        <w:tc>
          <w:tcPr>
            <w:tcW w:w="528" w:type="dxa"/>
            <w:vMerge w:val="continue"/>
            <w:tcBorders>
              <w:left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p>
        </w:tc>
        <w:tc>
          <w:tcPr>
            <w:tcW w:w="1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rPr>
              <w:t>制度建设、内部管理</w:t>
            </w:r>
            <w:r>
              <w:rPr>
                <w:rFonts w:hint="eastAsia" w:ascii="微软雅黑" w:hAnsi="微软雅黑" w:eastAsia="微软雅黑"/>
                <w:color w:val="auto"/>
                <w:lang w:eastAsia="zh-CN"/>
              </w:rPr>
              <w:t>情况</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1</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val="en-US" w:eastAsia="zh-CN"/>
              </w:rPr>
              <w:t>按</w:t>
            </w:r>
            <w:r>
              <w:rPr>
                <w:rFonts w:hint="eastAsia" w:ascii="微软雅黑" w:hAnsi="微软雅黑" w:eastAsia="微软雅黑"/>
                <w:color w:val="auto"/>
              </w:rPr>
              <w:t>制度建设、内部管理</w:t>
            </w:r>
            <w:r>
              <w:rPr>
                <w:rFonts w:hint="eastAsia" w:ascii="微软雅黑" w:hAnsi="微软雅黑" w:eastAsia="微软雅黑"/>
                <w:color w:val="auto"/>
                <w:lang w:eastAsia="zh-CN"/>
              </w:rPr>
              <w:t>及</w:t>
            </w:r>
            <w:r>
              <w:rPr>
                <w:rFonts w:hint="eastAsia" w:ascii="微软雅黑" w:hAnsi="微软雅黑" w:eastAsia="微软雅黑"/>
                <w:color w:val="auto"/>
              </w:rPr>
              <w:t>保证存款资金安全性</w:t>
            </w:r>
            <w:r>
              <w:rPr>
                <w:rFonts w:hint="eastAsia" w:ascii="微软雅黑" w:hAnsi="微软雅黑" w:eastAsia="微软雅黑"/>
                <w:color w:val="auto"/>
                <w:lang w:eastAsia="zh-CN"/>
              </w:rPr>
              <w:t>情况赋</w:t>
            </w:r>
            <w:r>
              <w:rPr>
                <w:rFonts w:hint="eastAsia" w:ascii="微软雅黑" w:hAnsi="微软雅黑" w:eastAsia="微软雅黑"/>
                <w:color w:val="auto"/>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9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color w:val="auto"/>
              </w:rPr>
            </w:pPr>
          </w:p>
        </w:tc>
        <w:tc>
          <w:tcPr>
            <w:tcW w:w="52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p>
        </w:tc>
        <w:tc>
          <w:tcPr>
            <w:tcW w:w="1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ind w:left="0" w:leftChars="0" w:right="0" w:rightChars="0"/>
              <w:rPr>
                <w:rFonts w:hint="eastAsia" w:ascii="微软雅黑" w:hAnsi="微软雅黑" w:eastAsia="微软雅黑"/>
                <w:color w:val="auto"/>
              </w:rPr>
            </w:pPr>
            <w:r>
              <w:rPr>
                <w:rFonts w:hint="eastAsia" w:ascii="微软雅黑" w:hAnsi="微软雅黑" w:eastAsia="微软雅黑"/>
                <w:color w:val="auto"/>
                <w:lang w:eastAsia="zh-CN"/>
              </w:rPr>
              <w:t>化债及对吉林经济建设贡献</w:t>
            </w:r>
            <w:r>
              <w:rPr>
                <w:rFonts w:hint="eastAsia" w:ascii="微软雅黑" w:hAnsi="微软雅黑" w:eastAsia="微软雅黑"/>
                <w:color w:val="auto"/>
              </w:rPr>
              <w:t>情况</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lang w:eastAsia="zh-CN"/>
              </w:rPr>
            </w:pPr>
            <w:r>
              <w:rPr>
                <w:rFonts w:hint="eastAsia" w:ascii="微软雅黑" w:hAnsi="微软雅黑" w:eastAsia="微软雅黑"/>
                <w:color w:val="auto"/>
                <w:lang w:val="en-US" w:eastAsia="zh-CN"/>
              </w:rPr>
              <w:t>2</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color w:val="auto"/>
              </w:rPr>
            </w:pPr>
            <w:r>
              <w:rPr>
                <w:rFonts w:hint="eastAsia" w:ascii="微软雅黑" w:hAnsi="微软雅黑" w:eastAsia="微软雅黑"/>
                <w:color w:val="auto"/>
                <w:lang w:eastAsia="zh-CN"/>
              </w:rPr>
              <w:t>按</w:t>
            </w:r>
            <w:r>
              <w:rPr>
                <w:rFonts w:hint="eastAsia" w:ascii="微软雅黑" w:hAnsi="微软雅黑" w:eastAsia="微软雅黑"/>
                <w:color w:val="auto"/>
              </w:rPr>
              <w:t>化债及对吉林经济建设贡献</w:t>
            </w:r>
            <w:r>
              <w:rPr>
                <w:rFonts w:hint="eastAsia" w:ascii="微软雅黑" w:hAnsi="微软雅黑" w:eastAsia="微软雅黑"/>
                <w:color w:val="auto"/>
                <w:lang w:eastAsia="zh-CN"/>
              </w:rPr>
              <w:t>情况赋</w:t>
            </w:r>
            <w:r>
              <w:rPr>
                <w:rFonts w:hint="eastAsia" w:ascii="微软雅黑" w:hAnsi="微软雅黑" w:eastAsia="微软雅黑"/>
                <w:color w:val="auto"/>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b/>
                <w:color w:val="auto"/>
              </w:rPr>
            </w:pPr>
            <w:r>
              <w:rPr>
                <w:rFonts w:hint="eastAsia" w:ascii="微软雅黑" w:hAnsi="微软雅黑" w:eastAsia="微软雅黑"/>
                <w:b/>
                <w:color w:val="auto"/>
              </w:rPr>
              <w:t>　</w:t>
            </w:r>
          </w:p>
        </w:tc>
        <w:tc>
          <w:tcPr>
            <w:tcW w:w="220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hint="eastAsia" w:ascii="微软雅黑" w:hAnsi="微软雅黑" w:eastAsia="微软雅黑"/>
                <w:b/>
                <w:color w:val="auto"/>
              </w:rPr>
            </w:pPr>
            <w:r>
              <w:rPr>
                <w:rFonts w:hint="eastAsia" w:ascii="微软雅黑" w:hAnsi="微软雅黑" w:eastAsia="微软雅黑"/>
                <w:b/>
                <w:color w:val="auto"/>
              </w:rPr>
              <w:t>总分</w:t>
            </w:r>
          </w:p>
        </w:tc>
        <w:tc>
          <w:tcPr>
            <w:tcW w:w="7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b/>
                <w:color w:val="auto"/>
              </w:rPr>
            </w:pPr>
            <w:r>
              <w:rPr>
                <w:rFonts w:hint="default" w:ascii="微软雅黑" w:hAnsi="微软雅黑" w:eastAsia="微软雅黑"/>
                <w:b/>
                <w:color w:val="auto"/>
              </w:rPr>
              <w:t>100</w:t>
            </w:r>
          </w:p>
        </w:tc>
        <w:tc>
          <w:tcPr>
            <w:tcW w:w="62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rPr>
                <w:rFonts w:ascii="微软雅黑" w:hAnsi="微软雅黑" w:eastAsia="微软雅黑"/>
                <w:b/>
                <w:color w:val="auto"/>
              </w:rPr>
            </w:pPr>
            <w:r>
              <w:rPr>
                <w:rFonts w:hint="eastAsia" w:ascii="微软雅黑" w:hAnsi="微软雅黑" w:eastAsia="微软雅黑"/>
                <w:b/>
                <w:color w:val="auto"/>
              </w:rPr>
              <w:t>评分的取值按四舍五入法，保留小数点后两位</w:t>
            </w:r>
          </w:p>
        </w:tc>
      </w:tr>
    </w:tbl>
    <w:p>
      <w:pPr>
        <w:pStyle w:val="13"/>
        <w:spacing w:line="400" w:lineRule="exact"/>
        <w:ind w:firstLine="0" w:firstLineChars="0"/>
        <w:rPr>
          <w:rFonts w:hint="eastAsia" w:ascii="微软雅黑" w:hAnsi="微软雅黑" w:eastAsia="微软雅黑"/>
          <w:color w:val="auto"/>
        </w:rPr>
      </w:pPr>
      <w:r>
        <w:rPr>
          <w:rFonts w:hint="eastAsia" w:ascii="微软雅黑" w:hAnsi="微软雅黑" w:eastAsia="微软雅黑"/>
          <w:color w:val="auto"/>
        </w:rPr>
        <w:t>备注：上述各项指标排序时，如数值相同，按同档计分，数值为0的不得分。</w:t>
      </w:r>
      <w:r>
        <w:rPr>
          <w:rFonts w:hint="eastAsia" w:ascii="微软雅黑" w:hAnsi="微软雅黑" w:eastAsia="微软雅黑"/>
          <w:color w:val="auto"/>
          <w:lang w:eastAsia="zh-CN"/>
        </w:rPr>
        <w:t>监管指标不符合要求的，该指标得</w:t>
      </w:r>
      <w:r>
        <w:rPr>
          <w:rFonts w:hint="eastAsia" w:ascii="微软雅黑" w:hAnsi="微软雅黑" w:eastAsia="微软雅黑"/>
          <w:color w:val="auto"/>
          <w:lang w:val="en-US" w:eastAsia="zh-CN"/>
        </w:rPr>
        <w:t>0</w:t>
      </w:r>
      <w:r>
        <w:rPr>
          <w:rFonts w:hint="eastAsia" w:ascii="微软雅黑" w:hAnsi="微软雅黑" w:eastAsia="微软雅黑"/>
          <w:color w:val="auto"/>
          <w:lang w:eastAsia="zh-CN"/>
        </w:rPr>
        <w:t>分。</w:t>
      </w:r>
      <w:r>
        <w:rPr>
          <w:rFonts w:hint="eastAsia" w:ascii="微软雅黑" w:hAnsi="微软雅黑" w:eastAsia="微软雅黑"/>
          <w:color w:val="auto"/>
        </w:rPr>
        <w:t>总评分相同的商业银行按纳税规模进行排名。</w:t>
      </w:r>
    </w:p>
    <w:p>
      <w:pPr>
        <w:pStyle w:val="13"/>
        <w:spacing w:line="400" w:lineRule="exact"/>
        <w:ind w:firstLine="0" w:firstLineChars="0"/>
        <w:rPr>
          <w:rFonts w:hint="eastAsia" w:ascii="微软雅黑" w:hAnsi="微软雅黑" w:eastAsia="微软雅黑"/>
          <w:b/>
          <w:bCs/>
          <w:color w:val="auto"/>
          <w:sz w:val="28"/>
          <w:szCs w:val="28"/>
          <w:lang w:val="en-US" w:eastAsia="zh-CN"/>
        </w:rPr>
      </w:pPr>
      <w:r>
        <w:rPr>
          <w:rFonts w:hint="eastAsia" w:ascii="微软雅黑" w:hAnsi="微软雅黑" w:eastAsia="微软雅黑"/>
          <w:b/>
          <w:bCs/>
          <w:color w:val="auto"/>
          <w:sz w:val="28"/>
          <w:szCs w:val="28"/>
          <w:lang w:val="en-US" w:eastAsia="zh-CN"/>
        </w:rPr>
        <w:br w:type="page"/>
      </w:r>
    </w:p>
    <w:p>
      <w:pPr>
        <w:pStyle w:val="13"/>
        <w:spacing w:line="400" w:lineRule="exact"/>
        <w:ind w:firstLine="0" w:firstLineChars="0"/>
        <w:jc w:val="center"/>
        <w:rPr>
          <w:rStyle w:val="11"/>
          <w:rFonts w:hint="eastAsia" w:eastAsia="微软雅黑"/>
          <w:color w:val="auto"/>
        </w:rPr>
      </w:pPr>
      <w:bookmarkStart w:id="30" w:name="_Toc30130"/>
      <w:r>
        <w:rPr>
          <w:rStyle w:val="11"/>
          <w:rFonts w:hint="eastAsia" w:eastAsia="微软雅黑"/>
          <w:color w:val="auto"/>
        </w:rPr>
        <w:t>第七章</w:t>
      </w:r>
      <w:r>
        <w:rPr>
          <w:rStyle w:val="11"/>
          <w:rFonts w:hint="default" w:eastAsia="微软雅黑"/>
          <w:color w:val="auto"/>
        </w:rPr>
        <w:t xml:space="preserve">  </w:t>
      </w:r>
      <w:r>
        <w:rPr>
          <w:rStyle w:val="11"/>
          <w:rFonts w:hint="eastAsia" w:eastAsia="微软雅黑"/>
          <w:color w:val="auto"/>
        </w:rPr>
        <w:t>其他说明</w:t>
      </w:r>
    </w:p>
    <w:bookmarkEnd w:id="30"/>
    <w:p>
      <w:pPr>
        <w:pStyle w:val="13"/>
        <w:numPr>
          <w:ilvl w:val="0"/>
          <w:numId w:val="0"/>
        </w:numPr>
        <w:spacing w:line="400" w:lineRule="exact"/>
        <w:ind w:right="0" w:rightChars="0" w:firstLine="420" w:firstLineChars="200"/>
        <w:rPr>
          <w:rFonts w:hint="eastAsia" w:ascii="微软雅黑" w:hAnsi="微软雅黑" w:eastAsia="微软雅黑"/>
          <w:color w:val="auto"/>
          <w:lang w:val="en-US" w:eastAsia="zh-CN"/>
        </w:rPr>
      </w:pPr>
    </w:p>
    <w:p>
      <w:pPr>
        <w:pStyle w:val="13"/>
        <w:numPr>
          <w:ilvl w:val="0"/>
          <w:numId w:val="0"/>
        </w:numPr>
        <w:spacing w:line="400" w:lineRule="exact"/>
        <w:ind w:right="0" w:rightChars="0" w:firstLine="420" w:firstLineChars="200"/>
        <w:rPr>
          <w:rFonts w:hint="eastAsia" w:ascii="微软雅黑" w:hAnsi="微软雅黑" w:eastAsia="微软雅黑"/>
          <w:color w:val="auto"/>
          <w:lang w:val="en-US" w:eastAsia="zh-CN"/>
        </w:rPr>
      </w:pPr>
      <w:r>
        <w:rPr>
          <w:rFonts w:hint="eastAsia" w:ascii="微软雅黑" w:hAnsi="微软雅黑" w:eastAsia="微软雅黑"/>
          <w:color w:val="auto"/>
          <w:lang w:val="en-US" w:eastAsia="zh-CN"/>
        </w:rPr>
        <w:t>投标方案应包括但不只限于以下内容：投标人基本情况介绍；办理财政日常工作、人民银行国库业务情况；保证存款资金安全性的措施；制度建设、内部管理相关情况；化债情况、对吉林经济建设贡献情况；其它需要说明的内容。</w:t>
      </w:r>
    </w:p>
    <w:p>
      <w:pPr>
        <w:rPr>
          <w:color w:val="auto"/>
        </w:rPr>
      </w:pPr>
    </w:p>
    <w:sectPr>
      <w:footerReference r:id="rId10" w:type="first"/>
      <w:footerReference r:id="rId9"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center"/>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center"/>
      <w:rPr>
        <w:rFonts w:ascii="微软雅黑" w:hAnsi="微软雅黑" w:eastAsia="微软雅黑"/>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center"/>
      <w:rPr>
        <w:rFonts w:ascii="微软雅黑" w:hAnsi="微软雅黑" w:eastAsia="微软雅黑"/>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851" w:hanging="851"/>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1">
    <w:nsid w:val="00000005"/>
    <w:multiLevelType w:val="multilevel"/>
    <w:tmpl w:val="00000005"/>
    <w:lvl w:ilvl="0" w:tentative="0">
      <w:start w:val="1"/>
      <w:numFmt w:val="decimalEnclosedCircle"/>
      <w:lvlText w:val="%1"/>
      <w:lvlJc w:val="left"/>
      <w:pPr>
        <w:ind w:left="420" w:hanging="420"/>
      </w:pPr>
      <w:rPr>
        <w:rFonts w:ascii="宋体" w:hAnsi="Times New Roman" w:eastAsia="宋体"/>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2">
    <w:nsid w:val="00000006"/>
    <w:multiLevelType w:val="multilevel"/>
    <w:tmpl w:val="00000006"/>
    <w:lvl w:ilvl="0" w:tentative="0">
      <w:start w:val="1"/>
      <w:numFmt w:val="decimal"/>
      <w:lvlText w:val="%1."/>
      <w:lvlJc w:val="left"/>
      <w:pPr>
        <w:ind w:left="420" w:hanging="420"/>
      </w:pPr>
      <w:rPr>
        <w:u w:val="none" w:color="auto"/>
      </w:rPr>
    </w:lvl>
    <w:lvl w:ilvl="1" w:tentative="0">
      <w:start w:val="1"/>
      <w:numFmt w:val="decimal"/>
      <w:isLgl/>
      <w:lvlText w:val="%1.%2."/>
      <w:lvlJc w:val="left"/>
      <w:pPr>
        <w:ind w:left="720" w:hanging="720"/>
      </w:pPr>
      <w:rPr>
        <w:u w:val="none" w:color="auto"/>
      </w:rPr>
    </w:lvl>
    <w:lvl w:ilvl="2" w:tentative="0">
      <w:start w:val="2"/>
      <w:numFmt w:val="decimal"/>
      <w:isLgl/>
      <w:lvlText w:val="%1.%2.%3."/>
      <w:lvlJc w:val="left"/>
      <w:pPr>
        <w:ind w:left="720" w:hanging="720"/>
      </w:pPr>
      <w:rPr>
        <w:u w:val="none" w:color="auto"/>
      </w:rPr>
    </w:lvl>
    <w:lvl w:ilvl="3" w:tentative="0">
      <w:start w:val="1"/>
      <w:numFmt w:val="decimal"/>
      <w:isLgl/>
      <w:lvlText w:val="%1.%2.%3.%4."/>
      <w:lvlJc w:val="left"/>
      <w:pPr>
        <w:ind w:left="1080" w:hanging="1080"/>
      </w:pPr>
      <w:rPr>
        <w:u w:val="none" w:color="auto"/>
      </w:rPr>
    </w:lvl>
    <w:lvl w:ilvl="4" w:tentative="0">
      <w:start w:val="1"/>
      <w:numFmt w:val="decimal"/>
      <w:isLgl/>
      <w:lvlText w:val="%1.%2.%3.%4.%5."/>
      <w:lvlJc w:val="left"/>
      <w:pPr>
        <w:ind w:left="1080" w:hanging="1080"/>
      </w:pPr>
      <w:rPr>
        <w:u w:val="none" w:color="auto"/>
      </w:rPr>
    </w:lvl>
    <w:lvl w:ilvl="5" w:tentative="0">
      <w:start w:val="1"/>
      <w:numFmt w:val="decimal"/>
      <w:isLgl/>
      <w:lvlText w:val="%1.%2.%3.%4.%5.%6."/>
      <w:lvlJc w:val="left"/>
      <w:pPr>
        <w:ind w:left="1440" w:hanging="1440"/>
      </w:pPr>
      <w:rPr>
        <w:u w:val="none" w:color="auto"/>
      </w:rPr>
    </w:lvl>
    <w:lvl w:ilvl="6" w:tentative="0">
      <w:start w:val="1"/>
      <w:numFmt w:val="decimal"/>
      <w:isLgl/>
      <w:lvlText w:val="%1.%2.%3.%4.%5.%6.%7."/>
      <w:lvlJc w:val="left"/>
      <w:pPr>
        <w:ind w:left="1440" w:hanging="1440"/>
      </w:pPr>
      <w:rPr>
        <w:u w:val="none" w:color="auto"/>
      </w:rPr>
    </w:lvl>
    <w:lvl w:ilvl="7" w:tentative="0">
      <w:start w:val="1"/>
      <w:numFmt w:val="decimal"/>
      <w:isLgl/>
      <w:lvlText w:val="%1.%2.%3.%4.%5.%6.%7.%8."/>
      <w:lvlJc w:val="left"/>
      <w:pPr>
        <w:ind w:left="1800" w:hanging="1800"/>
      </w:pPr>
      <w:rPr>
        <w:u w:val="none" w:color="auto"/>
      </w:rPr>
    </w:lvl>
    <w:lvl w:ilvl="8" w:tentative="0">
      <w:start w:val="1"/>
      <w:numFmt w:val="decimal"/>
      <w:isLgl/>
      <w:lvlText w:val="%1.%2.%3.%4.%5.%6.%7.%8.%9."/>
      <w:lvlJc w:val="left"/>
      <w:pPr>
        <w:ind w:left="1800" w:hanging="1800"/>
      </w:pPr>
      <w:rPr>
        <w:u w:val="none" w:color="auto"/>
      </w:rPr>
    </w:lvl>
  </w:abstractNum>
  <w:abstractNum w:abstractNumId="3">
    <w:nsid w:val="00000008"/>
    <w:multiLevelType w:val="multilevel"/>
    <w:tmpl w:val="00000008"/>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4">
    <w:nsid w:val="00000009"/>
    <w:multiLevelType w:val="multilevel"/>
    <w:tmpl w:val="00000009"/>
    <w:lvl w:ilvl="0" w:tentative="0">
      <w:start w:val="1"/>
      <w:numFmt w:val="decimal"/>
      <w:lvlText w:val="(%1)"/>
      <w:lvlJc w:val="left"/>
      <w:pPr>
        <w:ind w:left="425" w:hanging="425"/>
      </w:pPr>
      <w:rPr>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abstractNum w:abstractNumId="5">
    <w:nsid w:val="0000000A"/>
    <w:multiLevelType w:val="multilevel"/>
    <w:tmpl w:val="0000000A"/>
    <w:lvl w:ilvl="0" w:tentative="0">
      <w:start w:val="1"/>
      <w:numFmt w:val="chineseCountingThousand"/>
      <w:lvlText w:val="(%1)"/>
      <w:lvlJc w:val="left"/>
      <w:pPr>
        <w:ind w:left="420" w:hanging="420"/>
      </w:pPr>
      <w:rPr>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6">
    <w:nsid w:val="0000000B"/>
    <w:multiLevelType w:val="multilevel"/>
    <w:tmpl w:val="0000000B"/>
    <w:lvl w:ilvl="0" w:tentative="0">
      <w:start w:val="1"/>
      <w:numFmt w:val="decimalEnclosedCircle"/>
      <w:lvlText w:val="%1"/>
      <w:lvlJc w:val="left"/>
      <w:pPr>
        <w:ind w:left="987" w:hanging="420"/>
      </w:pPr>
      <w:rPr>
        <w:rFonts w:ascii="宋体" w:hAnsi="Times New Roman" w:eastAsia="宋体"/>
        <w:u w:val="none" w:color="auto"/>
      </w:rPr>
    </w:lvl>
    <w:lvl w:ilvl="1" w:tentative="0">
      <w:start w:val="1"/>
      <w:numFmt w:val="lowerLetter"/>
      <w:lvlText w:val="%2)"/>
      <w:lvlJc w:val="left"/>
      <w:pPr>
        <w:ind w:left="1407" w:hanging="420"/>
      </w:pPr>
      <w:rPr>
        <w:u w:val="none" w:color="auto"/>
      </w:rPr>
    </w:lvl>
    <w:lvl w:ilvl="2" w:tentative="0">
      <w:start w:val="1"/>
      <w:numFmt w:val="lowerRoman"/>
      <w:lvlText w:val="%3."/>
      <w:lvlJc w:val="right"/>
      <w:pPr>
        <w:ind w:left="1827" w:hanging="420"/>
      </w:pPr>
      <w:rPr>
        <w:u w:val="none" w:color="auto"/>
      </w:rPr>
    </w:lvl>
    <w:lvl w:ilvl="3" w:tentative="0">
      <w:start w:val="1"/>
      <w:numFmt w:val="decimal"/>
      <w:lvlText w:val="%4."/>
      <w:lvlJc w:val="left"/>
      <w:pPr>
        <w:ind w:left="2247" w:hanging="420"/>
      </w:pPr>
      <w:rPr>
        <w:u w:val="none" w:color="auto"/>
      </w:rPr>
    </w:lvl>
    <w:lvl w:ilvl="4" w:tentative="0">
      <w:start w:val="1"/>
      <w:numFmt w:val="lowerLetter"/>
      <w:lvlText w:val="%5)"/>
      <w:lvlJc w:val="left"/>
      <w:pPr>
        <w:ind w:left="2667" w:hanging="420"/>
      </w:pPr>
      <w:rPr>
        <w:u w:val="none" w:color="auto"/>
      </w:rPr>
    </w:lvl>
    <w:lvl w:ilvl="5" w:tentative="0">
      <w:start w:val="1"/>
      <w:numFmt w:val="lowerRoman"/>
      <w:lvlText w:val="%6."/>
      <w:lvlJc w:val="right"/>
      <w:pPr>
        <w:ind w:left="3087" w:hanging="420"/>
      </w:pPr>
      <w:rPr>
        <w:u w:val="none" w:color="auto"/>
      </w:rPr>
    </w:lvl>
    <w:lvl w:ilvl="6" w:tentative="0">
      <w:start w:val="1"/>
      <w:numFmt w:val="decimal"/>
      <w:lvlText w:val="%7."/>
      <w:lvlJc w:val="left"/>
      <w:pPr>
        <w:ind w:left="3507" w:hanging="420"/>
      </w:pPr>
      <w:rPr>
        <w:u w:val="none" w:color="auto"/>
      </w:rPr>
    </w:lvl>
    <w:lvl w:ilvl="7" w:tentative="0">
      <w:start w:val="1"/>
      <w:numFmt w:val="lowerLetter"/>
      <w:lvlText w:val="%8)"/>
      <w:lvlJc w:val="left"/>
      <w:pPr>
        <w:ind w:left="3927" w:hanging="420"/>
      </w:pPr>
      <w:rPr>
        <w:u w:val="none" w:color="auto"/>
      </w:rPr>
    </w:lvl>
    <w:lvl w:ilvl="8" w:tentative="0">
      <w:start w:val="1"/>
      <w:numFmt w:val="lowerRoman"/>
      <w:lvlText w:val="%9."/>
      <w:lvlJc w:val="right"/>
      <w:pPr>
        <w:ind w:left="4347" w:hanging="420"/>
      </w:pPr>
      <w:rPr>
        <w:u w:val="none" w:color="auto"/>
      </w:rPr>
    </w:lvl>
  </w:abstractNum>
  <w:abstractNum w:abstractNumId="7">
    <w:nsid w:val="0000000C"/>
    <w:multiLevelType w:val="multilevel"/>
    <w:tmpl w:val="0000000C"/>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8">
    <w:nsid w:val="0000000D"/>
    <w:multiLevelType w:val="multilevel"/>
    <w:tmpl w:val="0000000D"/>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9">
    <w:nsid w:val="0000000E"/>
    <w:multiLevelType w:val="multilevel"/>
    <w:tmpl w:val="0000000E"/>
    <w:lvl w:ilvl="0" w:tentative="0">
      <w:start w:val="1"/>
      <w:numFmt w:val="chineseCountingThousand"/>
      <w:lvlText w:val="(%1)"/>
      <w:lvlJc w:val="left"/>
      <w:pPr>
        <w:ind w:left="420" w:hanging="420"/>
      </w:pPr>
      <w:rPr>
        <w:u w:val="none" w:color="auto"/>
      </w:rPr>
    </w:lvl>
    <w:lvl w:ilvl="1" w:tentative="0">
      <w:start w:val="1"/>
      <w:numFmt w:val="decimal"/>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10">
    <w:nsid w:val="0000000F"/>
    <w:multiLevelType w:val="multilevel"/>
    <w:tmpl w:val="0000000F"/>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11">
    <w:nsid w:val="00000010"/>
    <w:multiLevelType w:val="multilevel"/>
    <w:tmpl w:val="00000010"/>
    <w:lvl w:ilvl="0" w:tentative="0">
      <w:start w:val="1"/>
      <w:numFmt w:val="chineseCountingThousand"/>
      <w:lvlText w:val="(%1)"/>
      <w:lvlJc w:val="left"/>
      <w:pPr>
        <w:ind w:left="420" w:hanging="420"/>
      </w:pPr>
      <w:rPr>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12">
    <w:nsid w:val="00000012"/>
    <w:multiLevelType w:val="multilevel"/>
    <w:tmpl w:val="00000012"/>
    <w:lvl w:ilvl="0" w:tentative="0">
      <w:start w:val="1"/>
      <w:numFmt w:val="decimal"/>
      <w:lvlText w:val="%1."/>
      <w:lvlJc w:val="left"/>
      <w:pPr>
        <w:ind w:left="780" w:hanging="420"/>
      </w:pPr>
      <w:rPr>
        <w:u w:val="none" w:color="auto"/>
      </w:rPr>
    </w:lvl>
    <w:lvl w:ilvl="1" w:tentative="0">
      <w:start w:val="1"/>
      <w:numFmt w:val="lowerLetter"/>
      <w:lvlText w:val="%2)"/>
      <w:lvlJc w:val="left"/>
      <w:pPr>
        <w:ind w:left="1200" w:hanging="420"/>
      </w:pPr>
      <w:rPr>
        <w:u w:val="none" w:color="auto"/>
      </w:rPr>
    </w:lvl>
    <w:lvl w:ilvl="2" w:tentative="0">
      <w:start w:val="1"/>
      <w:numFmt w:val="lowerRoman"/>
      <w:lvlText w:val="%3."/>
      <w:lvlJc w:val="right"/>
      <w:pPr>
        <w:ind w:left="1620" w:hanging="420"/>
      </w:pPr>
      <w:rPr>
        <w:u w:val="none" w:color="auto"/>
      </w:rPr>
    </w:lvl>
    <w:lvl w:ilvl="3" w:tentative="0">
      <w:start w:val="1"/>
      <w:numFmt w:val="decimal"/>
      <w:lvlText w:val="%4."/>
      <w:lvlJc w:val="left"/>
      <w:pPr>
        <w:ind w:left="2040" w:hanging="420"/>
      </w:pPr>
      <w:rPr>
        <w:u w:val="none" w:color="auto"/>
      </w:rPr>
    </w:lvl>
    <w:lvl w:ilvl="4" w:tentative="0">
      <w:start w:val="1"/>
      <w:numFmt w:val="lowerLetter"/>
      <w:lvlText w:val="%5)"/>
      <w:lvlJc w:val="left"/>
      <w:pPr>
        <w:ind w:left="2460" w:hanging="420"/>
      </w:pPr>
      <w:rPr>
        <w:u w:val="none" w:color="auto"/>
      </w:rPr>
    </w:lvl>
    <w:lvl w:ilvl="5" w:tentative="0">
      <w:start w:val="1"/>
      <w:numFmt w:val="lowerRoman"/>
      <w:lvlText w:val="%6."/>
      <w:lvlJc w:val="right"/>
      <w:pPr>
        <w:ind w:left="2880" w:hanging="420"/>
      </w:pPr>
      <w:rPr>
        <w:u w:val="none" w:color="auto"/>
      </w:rPr>
    </w:lvl>
    <w:lvl w:ilvl="6" w:tentative="0">
      <w:start w:val="1"/>
      <w:numFmt w:val="decimal"/>
      <w:lvlText w:val="%7."/>
      <w:lvlJc w:val="left"/>
      <w:pPr>
        <w:ind w:left="3300" w:hanging="420"/>
      </w:pPr>
      <w:rPr>
        <w:u w:val="none" w:color="auto"/>
      </w:rPr>
    </w:lvl>
    <w:lvl w:ilvl="7" w:tentative="0">
      <w:start w:val="1"/>
      <w:numFmt w:val="lowerLetter"/>
      <w:lvlText w:val="%8)"/>
      <w:lvlJc w:val="left"/>
      <w:pPr>
        <w:ind w:left="3720" w:hanging="420"/>
      </w:pPr>
      <w:rPr>
        <w:u w:val="none" w:color="auto"/>
      </w:rPr>
    </w:lvl>
    <w:lvl w:ilvl="8" w:tentative="0">
      <w:start w:val="1"/>
      <w:numFmt w:val="lowerRoman"/>
      <w:lvlText w:val="%9."/>
      <w:lvlJc w:val="right"/>
      <w:pPr>
        <w:ind w:left="4140" w:hanging="420"/>
      </w:pPr>
      <w:rPr>
        <w:u w:val="none" w:color="auto"/>
      </w:rPr>
    </w:lvl>
  </w:abstractNum>
  <w:abstractNum w:abstractNumId="13">
    <w:nsid w:val="00000013"/>
    <w:multiLevelType w:val="multilevel"/>
    <w:tmpl w:val="00000013"/>
    <w:lvl w:ilvl="0" w:tentative="0">
      <w:start w:val="1"/>
      <w:numFmt w:val="chineseCountingThousand"/>
      <w:lvlText w:val="(%1)"/>
      <w:lvlJc w:val="left"/>
      <w:pPr>
        <w:ind w:left="840" w:hanging="420"/>
      </w:pPr>
      <w:rPr>
        <w:u w:val="none" w:color="auto"/>
      </w:rPr>
    </w:lvl>
    <w:lvl w:ilvl="1" w:tentative="0">
      <w:start w:val="1"/>
      <w:numFmt w:val="lowerLetter"/>
      <w:lvlText w:val="%2)"/>
      <w:lvlJc w:val="left"/>
      <w:pPr>
        <w:ind w:left="1260" w:hanging="420"/>
      </w:pPr>
      <w:rPr>
        <w:u w:val="none" w:color="auto"/>
      </w:rPr>
    </w:lvl>
    <w:lvl w:ilvl="2" w:tentative="0">
      <w:start w:val="1"/>
      <w:numFmt w:val="lowerRoman"/>
      <w:lvlText w:val="%3."/>
      <w:lvlJc w:val="right"/>
      <w:pPr>
        <w:ind w:left="1680" w:hanging="420"/>
      </w:pPr>
      <w:rPr>
        <w:u w:val="none" w:color="auto"/>
      </w:rPr>
    </w:lvl>
    <w:lvl w:ilvl="3" w:tentative="0">
      <w:start w:val="1"/>
      <w:numFmt w:val="decimal"/>
      <w:lvlText w:val="%4."/>
      <w:lvlJc w:val="left"/>
      <w:pPr>
        <w:ind w:left="2100" w:hanging="420"/>
      </w:pPr>
      <w:rPr>
        <w:u w:val="none" w:color="auto"/>
      </w:rPr>
    </w:lvl>
    <w:lvl w:ilvl="4" w:tentative="0">
      <w:start w:val="1"/>
      <w:numFmt w:val="lowerLetter"/>
      <w:lvlText w:val="%5)"/>
      <w:lvlJc w:val="left"/>
      <w:pPr>
        <w:ind w:left="2520" w:hanging="420"/>
      </w:pPr>
      <w:rPr>
        <w:u w:val="none" w:color="auto"/>
      </w:rPr>
    </w:lvl>
    <w:lvl w:ilvl="5" w:tentative="0">
      <w:start w:val="1"/>
      <w:numFmt w:val="lowerRoman"/>
      <w:lvlText w:val="%6."/>
      <w:lvlJc w:val="right"/>
      <w:pPr>
        <w:ind w:left="2940" w:hanging="420"/>
      </w:pPr>
      <w:rPr>
        <w:u w:val="none" w:color="auto"/>
      </w:rPr>
    </w:lvl>
    <w:lvl w:ilvl="6" w:tentative="0">
      <w:start w:val="1"/>
      <w:numFmt w:val="decimal"/>
      <w:lvlText w:val="%7."/>
      <w:lvlJc w:val="left"/>
      <w:pPr>
        <w:ind w:left="3360" w:hanging="420"/>
      </w:pPr>
      <w:rPr>
        <w:u w:val="none" w:color="auto"/>
      </w:rPr>
    </w:lvl>
    <w:lvl w:ilvl="7" w:tentative="0">
      <w:start w:val="1"/>
      <w:numFmt w:val="lowerLetter"/>
      <w:lvlText w:val="%8)"/>
      <w:lvlJc w:val="left"/>
      <w:pPr>
        <w:ind w:left="3780" w:hanging="420"/>
      </w:pPr>
      <w:rPr>
        <w:u w:val="none" w:color="auto"/>
      </w:rPr>
    </w:lvl>
    <w:lvl w:ilvl="8" w:tentative="0">
      <w:start w:val="1"/>
      <w:numFmt w:val="lowerRoman"/>
      <w:lvlText w:val="%9."/>
      <w:lvlJc w:val="right"/>
      <w:pPr>
        <w:ind w:left="4200" w:hanging="420"/>
      </w:pPr>
      <w:rPr>
        <w:u w:val="none" w:color="auto"/>
      </w:rPr>
    </w:lvl>
  </w:abstractNum>
  <w:abstractNum w:abstractNumId="14">
    <w:nsid w:val="00000014"/>
    <w:multiLevelType w:val="multilevel"/>
    <w:tmpl w:val="00000014"/>
    <w:lvl w:ilvl="0" w:tentative="0">
      <w:start w:val="1"/>
      <w:numFmt w:val="decimal"/>
      <w:lvlText w:val="%1."/>
      <w:lvlJc w:val="left"/>
      <w:pPr>
        <w:ind w:left="420" w:hanging="420"/>
      </w:pPr>
      <w:rPr>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15">
    <w:nsid w:val="00000015"/>
    <w:multiLevelType w:val="multilevel"/>
    <w:tmpl w:val="00000015"/>
    <w:lvl w:ilvl="0" w:tentative="0">
      <w:start w:val="1"/>
      <w:numFmt w:val="chineseCountingThousand"/>
      <w:lvlText w:val="(%1)"/>
      <w:lvlJc w:val="left"/>
      <w:pPr>
        <w:ind w:left="840" w:hanging="420"/>
      </w:pPr>
      <w:rPr>
        <w:u w:val="none" w:color="auto"/>
      </w:rPr>
    </w:lvl>
    <w:lvl w:ilvl="1" w:tentative="0">
      <w:start w:val="1"/>
      <w:numFmt w:val="lowerLetter"/>
      <w:lvlText w:val="%2)"/>
      <w:lvlJc w:val="left"/>
      <w:pPr>
        <w:ind w:left="1260" w:hanging="420"/>
      </w:pPr>
      <w:rPr>
        <w:u w:val="none" w:color="auto"/>
      </w:rPr>
    </w:lvl>
    <w:lvl w:ilvl="2" w:tentative="0">
      <w:start w:val="1"/>
      <w:numFmt w:val="lowerRoman"/>
      <w:lvlText w:val="%3."/>
      <w:lvlJc w:val="right"/>
      <w:pPr>
        <w:ind w:left="1680" w:hanging="420"/>
      </w:pPr>
      <w:rPr>
        <w:u w:val="none" w:color="auto"/>
      </w:rPr>
    </w:lvl>
    <w:lvl w:ilvl="3" w:tentative="0">
      <w:start w:val="1"/>
      <w:numFmt w:val="decimal"/>
      <w:lvlText w:val="%4."/>
      <w:lvlJc w:val="left"/>
      <w:pPr>
        <w:ind w:left="2100" w:hanging="420"/>
      </w:pPr>
      <w:rPr>
        <w:u w:val="none" w:color="auto"/>
      </w:rPr>
    </w:lvl>
    <w:lvl w:ilvl="4" w:tentative="0">
      <w:start w:val="1"/>
      <w:numFmt w:val="lowerLetter"/>
      <w:lvlText w:val="%5)"/>
      <w:lvlJc w:val="left"/>
      <w:pPr>
        <w:ind w:left="2520" w:hanging="420"/>
      </w:pPr>
      <w:rPr>
        <w:u w:val="none" w:color="auto"/>
      </w:rPr>
    </w:lvl>
    <w:lvl w:ilvl="5" w:tentative="0">
      <w:start w:val="1"/>
      <w:numFmt w:val="lowerRoman"/>
      <w:lvlText w:val="%6."/>
      <w:lvlJc w:val="right"/>
      <w:pPr>
        <w:ind w:left="2940" w:hanging="420"/>
      </w:pPr>
      <w:rPr>
        <w:u w:val="none" w:color="auto"/>
      </w:rPr>
    </w:lvl>
    <w:lvl w:ilvl="6" w:tentative="0">
      <w:start w:val="1"/>
      <w:numFmt w:val="decimal"/>
      <w:lvlText w:val="%7."/>
      <w:lvlJc w:val="left"/>
      <w:pPr>
        <w:ind w:left="3360" w:hanging="420"/>
      </w:pPr>
      <w:rPr>
        <w:u w:val="none" w:color="auto"/>
      </w:rPr>
    </w:lvl>
    <w:lvl w:ilvl="7" w:tentative="0">
      <w:start w:val="1"/>
      <w:numFmt w:val="lowerLetter"/>
      <w:lvlText w:val="%8)"/>
      <w:lvlJc w:val="left"/>
      <w:pPr>
        <w:ind w:left="3780" w:hanging="420"/>
      </w:pPr>
      <w:rPr>
        <w:u w:val="none" w:color="auto"/>
      </w:rPr>
    </w:lvl>
    <w:lvl w:ilvl="8" w:tentative="0">
      <w:start w:val="1"/>
      <w:numFmt w:val="lowerRoman"/>
      <w:lvlText w:val="%9."/>
      <w:lvlJc w:val="right"/>
      <w:pPr>
        <w:ind w:left="4200" w:hanging="420"/>
      </w:pPr>
      <w:rPr>
        <w:u w:val="none" w:color="auto"/>
      </w:rPr>
    </w:lvl>
  </w:abstractNum>
  <w:abstractNum w:abstractNumId="16">
    <w:nsid w:val="00000016"/>
    <w:multiLevelType w:val="multilevel"/>
    <w:tmpl w:val="00000016"/>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17">
    <w:nsid w:val="00000017"/>
    <w:multiLevelType w:val="multilevel"/>
    <w:tmpl w:val="00000017"/>
    <w:lvl w:ilvl="0" w:tentative="0">
      <w:start w:val="1"/>
      <w:numFmt w:val="decimalEnclosedCircle"/>
      <w:lvlText w:val="%1"/>
      <w:lvlJc w:val="left"/>
      <w:pPr>
        <w:ind w:left="987" w:hanging="420"/>
      </w:pPr>
      <w:rPr>
        <w:rFonts w:ascii="宋体" w:hAnsi="Times New Roman" w:eastAsia="宋体"/>
        <w:u w:val="none" w:color="auto"/>
      </w:rPr>
    </w:lvl>
    <w:lvl w:ilvl="1" w:tentative="0">
      <w:start w:val="1"/>
      <w:numFmt w:val="lowerLetter"/>
      <w:lvlText w:val="%2)"/>
      <w:lvlJc w:val="left"/>
      <w:pPr>
        <w:ind w:left="1407" w:hanging="420"/>
      </w:pPr>
      <w:rPr>
        <w:u w:val="none" w:color="auto"/>
      </w:rPr>
    </w:lvl>
    <w:lvl w:ilvl="2" w:tentative="0">
      <w:start w:val="1"/>
      <w:numFmt w:val="lowerRoman"/>
      <w:lvlText w:val="%3."/>
      <w:lvlJc w:val="right"/>
      <w:pPr>
        <w:ind w:left="1827" w:hanging="420"/>
      </w:pPr>
      <w:rPr>
        <w:u w:val="none" w:color="auto"/>
      </w:rPr>
    </w:lvl>
    <w:lvl w:ilvl="3" w:tentative="0">
      <w:start w:val="1"/>
      <w:numFmt w:val="decimal"/>
      <w:lvlText w:val="%4."/>
      <w:lvlJc w:val="left"/>
      <w:pPr>
        <w:ind w:left="2247" w:hanging="420"/>
      </w:pPr>
      <w:rPr>
        <w:u w:val="none" w:color="auto"/>
      </w:rPr>
    </w:lvl>
    <w:lvl w:ilvl="4" w:tentative="0">
      <w:start w:val="1"/>
      <w:numFmt w:val="lowerLetter"/>
      <w:lvlText w:val="%5)"/>
      <w:lvlJc w:val="left"/>
      <w:pPr>
        <w:ind w:left="2667" w:hanging="420"/>
      </w:pPr>
      <w:rPr>
        <w:u w:val="none" w:color="auto"/>
      </w:rPr>
    </w:lvl>
    <w:lvl w:ilvl="5" w:tentative="0">
      <w:start w:val="1"/>
      <w:numFmt w:val="lowerRoman"/>
      <w:lvlText w:val="%6."/>
      <w:lvlJc w:val="right"/>
      <w:pPr>
        <w:ind w:left="3087" w:hanging="420"/>
      </w:pPr>
      <w:rPr>
        <w:u w:val="none" w:color="auto"/>
      </w:rPr>
    </w:lvl>
    <w:lvl w:ilvl="6" w:tentative="0">
      <w:start w:val="1"/>
      <w:numFmt w:val="decimal"/>
      <w:lvlText w:val="%7."/>
      <w:lvlJc w:val="left"/>
      <w:pPr>
        <w:ind w:left="3507" w:hanging="420"/>
      </w:pPr>
      <w:rPr>
        <w:u w:val="none" w:color="auto"/>
      </w:rPr>
    </w:lvl>
    <w:lvl w:ilvl="7" w:tentative="0">
      <w:start w:val="1"/>
      <w:numFmt w:val="lowerLetter"/>
      <w:lvlText w:val="%8)"/>
      <w:lvlJc w:val="left"/>
      <w:pPr>
        <w:ind w:left="3927" w:hanging="420"/>
      </w:pPr>
      <w:rPr>
        <w:u w:val="none" w:color="auto"/>
      </w:rPr>
    </w:lvl>
    <w:lvl w:ilvl="8" w:tentative="0">
      <w:start w:val="1"/>
      <w:numFmt w:val="lowerRoman"/>
      <w:lvlText w:val="%9."/>
      <w:lvlJc w:val="right"/>
      <w:pPr>
        <w:ind w:left="4347" w:hanging="420"/>
      </w:pPr>
      <w:rPr>
        <w:u w:val="none" w:color="auto"/>
      </w:rPr>
    </w:lvl>
  </w:abstractNum>
  <w:abstractNum w:abstractNumId="18">
    <w:nsid w:val="00000018"/>
    <w:multiLevelType w:val="multilevel"/>
    <w:tmpl w:val="00000018"/>
    <w:lvl w:ilvl="0" w:tentative="0">
      <w:start w:val="1"/>
      <w:numFmt w:val="decimal"/>
      <w:lvlText w:val="%1."/>
      <w:lvlJc w:val="left"/>
      <w:pPr>
        <w:ind w:left="420" w:hanging="420"/>
      </w:pPr>
      <w:rPr>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19">
    <w:nsid w:val="00000019"/>
    <w:multiLevelType w:val="multilevel"/>
    <w:tmpl w:val="00000019"/>
    <w:lvl w:ilvl="0" w:tentative="0">
      <w:start w:val="1"/>
      <w:numFmt w:val="chineseCountingThousand"/>
      <w:lvlText w:val="(%1)"/>
      <w:lvlJc w:val="left"/>
      <w:pPr>
        <w:ind w:left="840" w:hanging="420"/>
      </w:pPr>
      <w:rPr>
        <w:u w:val="none" w:color="auto"/>
      </w:rPr>
    </w:lvl>
    <w:lvl w:ilvl="1" w:tentative="0">
      <w:start w:val="1"/>
      <w:numFmt w:val="lowerLetter"/>
      <w:lvlText w:val="%2)"/>
      <w:lvlJc w:val="left"/>
      <w:pPr>
        <w:ind w:left="1260" w:hanging="420"/>
      </w:pPr>
      <w:rPr>
        <w:u w:val="none" w:color="auto"/>
      </w:rPr>
    </w:lvl>
    <w:lvl w:ilvl="2" w:tentative="0">
      <w:start w:val="1"/>
      <w:numFmt w:val="lowerRoman"/>
      <w:lvlText w:val="%3."/>
      <w:lvlJc w:val="right"/>
      <w:pPr>
        <w:ind w:left="1680" w:hanging="420"/>
      </w:pPr>
      <w:rPr>
        <w:u w:val="none" w:color="auto"/>
      </w:rPr>
    </w:lvl>
    <w:lvl w:ilvl="3" w:tentative="0">
      <w:start w:val="1"/>
      <w:numFmt w:val="decimal"/>
      <w:lvlText w:val="%4."/>
      <w:lvlJc w:val="left"/>
      <w:pPr>
        <w:ind w:left="2100" w:hanging="420"/>
      </w:pPr>
      <w:rPr>
        <w:u w:val="none" w:color="auto"/>
      </w:rPr>
    </w:lvl>
    <w:lvl w:ilvl="4" w:tentative="0">
      <w:start w:val="1"/>
      <w:numFmt w:val="lowerLetter"/>
      <w:lvlText w:val="%5)"/>
      <w:lvlJc w:val="left"/>
      <w:pPr>
        <w:ind w:left="2520" w:hanging="420"/>
      </w:pPr>
      <w:rPr>
        <w:u w:val="none" w:color="auto"/>
      </w:rPr>
    </w:lvl>
    <w:lvl w:ilvl="5" w:tentative="0">
      <w:start w:val="1"/>
      <w:numFmt w:val="lowerRoman"/>
      <w:lvlText w:val="%6."/>
      <w:lvlJc w:val="right"/>
      <w:pPr>
        <w:ind w:left="2940" w:hanging="420"/>
      </w:pPr>
      <w:rPr>
        <w:u w:val="none" w:color="auto"/>
      </w:rPr>
    </w:lvl>
    <w:lvl w:ilvl="6" w:tentative="0">
      <w:start w:val="1"/>
      <w:numFmt w:val="decimal"/>
      <w:lvlText w:val="%7."/>
      <w:lvlJc w:val="left"/>
      <w:pPr>
        <w:ind w:left="3360" w:hanging="420"/>
      </w:pPr>
      <w:rPr>
        <w:u w:val="none" w:color="auto"/>
      </w:rPr>
    </w:lvl>
    <w:lvl w:ilvl="7" w:tentative="0">
      <w:start w:val="1"/>
      <w:numFmt w:val="lowerLetter"/>
      <w:lvlText w:val="%8)"/>
      <w:lvlJc w:val="left"/>
      <w:pPr>
        <w:ind w:left="3780" w:hanging="420"/>
      </w:pPr>
      <w:rPr>
        <w:u w:val="none" w:color="auto"/>
      </w:rPr>
    </w:lvl>
    <w:lvl w:ilvl="8" w:tentative="0">
      <w:start w:val="1"/>
      <w:numFmt w:val="lowerRoman"/>
      <w:lvlText w:val="%9."/>
      <w:lvlJc w:val="right"/>
      <w:pPr>
        <w:ind w:left="4200" w:hanging="420"/>
      </w:pPr>
      <w:rPr>
        <w:u w:val="none" w:color="auto"/>
      </w:rPr>
    </w:lvl>
  </w:abstractNum>
  <w:abstractNum w:abstractNumId="20">
    <w:nsid w:val="0000001B"/>
    <w:multiLevelType w:val="multilevel"/>
    <w:tmpl w:val="0000001B"/>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709" w:hanging="709"/>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21">
    <w:nsid w:val="0000001C"/>
    <w:multiLevelType w:val="multilevel"/>
    <w:tmpl w:val="0000001C"/>
    <w:lvl w:ilvl="0" w:tentative="0">
      <w:start w:val="1"/>
      <w:numFmt w:val="decimalEnclosedCircle"/>
      <w:lvlText w:val="%1"/>
      <w:lvlJc w:val="left"/>
      <w:pPr>
        <w:ind w:left="987" w:hanging="420"/>
      </w:pPr>
      <w:rPr>
        <w:rFonts w:ascii="宋体" w:hAnsi="Times New Roman" w:eastAsia="宋体"/>
        <w:u w:val="none" w:color="auto"/>
      </w:rPr>
    </w:lvl>
    <w:lvl w:ilvl="1" w:tentative="0">
      <w:start w:val="1"/>
      <w:numFmt w:val="lowerLetter"/>
      <w:lvlText w:val="%2)"/>
      <w:lvlJc w:val="left"/>
      <w:pPr>
        <w:ind w:left="1407" w:hanging="420"/>
      </w:pPr>
      <w:rPr>
        <w:u w:val="none" w:color="auto"/>
      </w:rPr>
    </w:lvl>
    <w:lvl w:ilvl="2" w:tentative="0">
      <w:start w:val="1"/>
      <w:numFmt w:val="lowerRoman"/>
      <w:lvlText w:val="%3."/>
      <w:lvlJc w:val="right"/>
      <w:pPr>
        <w:ind w:left="1827" w:hanging="420"/>
      </w:pPr>
      <w:rPr>
        <w:u w:val="none" w:color="auto"/>
      </w:rPr>
    </w:lvl>
    <w:lvl w:ilvl="3" w:tentative="0">
      <w:start w:val="1"/>
      <w:numFmt w:val="decimal"/>
      <w:lvlText w:val="%4."/>
      <w:lvlJc w:val="left"/>
      <w:pPr>
        <w:ind w:left="2247" w:hanging="420"/>
      </w:pPr>
      <w:rPr>
        <w:u w:val="none" w:color="auto"/>
      </w:rPr>
    </w:lvl>
    <w:lvl w:ilvl="4" w:tentative="0">
      <w:start w:val="1"/>
      <w:numFmt w:val="lowerLetter"/>
      <w:lvlText w:val="%5)"/>
      <w:lvlJc w:val="left"/>
      <w:pPr>
        <w:ind w:left="2667" w:hanging="420"/>
      </w:pPr>
      <w:rPr>
        <w:u w:val="none" w:color="auto"/>
      </w:rPr>
    </w:lvl>
    <w:lvl w:ilvl="5" w:tentative="0">
      <w:start w:val="1"/>
      <w:numFmt w:val="lowerRoman"/>
      <w:lvlText w:val="%6."/>
      <w:lvlJc w:val="right"/>
      <w:pPr>
        <w:ind w:left="3087" w:hanging="420"/>
      </w:pPr>
      <w:rPr>
        <w:u w:val="none" w:color="auto"/>
      </w:rPr>
    </w:lvl>
    <w:lvl w:ilvl="6" w:tentative="0">
      <w:start w:val="1"/>
      <w:numFmt w:val="decimal"/>
      <w:lvlText w:val="%7."/>
      <w:lvlJc w:val="left"/>
      <w:pPr>
        <w:ind w:left="3507" w:hanging="420"/>
      </w:pPr>
      <w:rPr>
        <w:u w:val="none" w:color="auto"/>
      </w:rPr>
    </w:lvl>
    <w:lvl w:ilvl="7" w:tentative="0">
      <w:start w:val="1"/>
      <w:numFmt w:val="lowerLetter"/>
      <w:lvlText w:val="%8)"/>
      <w:lvlJc w:val="left"/>
      <w:pPr>
        <w:ind w:left="3927" w:hanging="420"/>
      </w:pPr>
      <w:rPr>
        <w:u w:val="none" w:color="auto"/>
      </w:rPr>
    </w:lvl>
    <w:lvl w:ilvl="8" w:tentative="0">
      <w:start w:val="1"/>
      <w:numFmt w:val="lowerRoman"/>
      <w:lvlText w:val="%9."/>
      <w:lvlJc w:val="right"/>
      <w:pPr>
        <w:ind w:left="4347" w:hanging="420"/>
      </w:pPr>
      <w:rPr>
        <w:u w:val="none" w:color="auto"/>
      </w:rPr>
    </w:lvl>
  </w:abstractNum>
  <w:abstractNum w:abstractNumId="22">
    <w:nsid w:val="0000001D"/>
    <w:multiLevelType w:val="multilevel"/>
    <w:tmpl w:val="0000001D"/>
    <w:lvl w:ilvl="0" w:tentative="0">
      <w:start w:val="1"/>
      <w:numFmt w:val="decimal"/>
      <w:lvlText w:val="%1."/>
      <w:lvlJc w:val="left"/>
      <w:pPr>
        <w:ind w:left="425" w:hanging="425"/>
      </w:pPr>
      <w:rPr>
        <w:u w:val="none" w:color="auto"/>
      </w:rPr>
    </w:lvl>
    <w:lvl w:ilvl="1" w:tentative="0">
      <w:start w:val="1"/>
      <w:numFmt w:val="decimal"/>
      <w:lvlText w:val="%1.%2."/>
      <w:lvlJc w:val="left"/>
      <w:pPr>
        <w:ind w:left="567" w:hanging="567"/>
      </w:pPr>
      <w:rPr>
        <w:u w:val="none" w:color="auto"/>
      </w:rPr>
    </w:lvl>
    <w:lvl w:ilvl="2" w:tentative="0">
      <w:start w:val="1"/>
      <w:numFmt w:val="decimal"/>
      <w:lvlText w:val="%1.%2.%3."/>
      <w:lvlJc w:val="left"/>
      <w:pPr>
        <w:ind w:left="851" w:hanging="851"/>
      </w:pPr>
      <w:rPr>
        <w:u w:val="none" w:color="auto"/>
      </w:rPr>
    </w:lvl>
    <w:lvl w:ilvl="3" w:tentative="0">
      <w:start w:val="1"/>
      <w:numFmt w:val="decimal"/>
      <w:lvlText w:val="%1.%2.%3.%4."/>
      <w:lvlJc w:val="left"/>
      <w:pPr>
        <w:ind w:left="851" w:hanging="851"/>
      </w:pPr>
      <w:rPr>
        <w:u w:val="none" w:color="auto"/>
      </w:rPr>
    </w:lvl>
    <w:lvl w:ilvl="4" w:tentative="0">
      <w:start w:val="1"/>
      <w:numFmt w:val="decimal"/>
      <w:lvlText w:val="%1.%2.%3.%4.%5."/>
      <w:lvlJc w:val="left"/>
      <w:pPr>
        <w:ind w:left="992" w:hanging="992"/>
      </w:pPr>
      <w:rPr>
        <w:u w:val="none" w:color="auto"/>
      </w:rPr>
    </w:lvl>
    <w:lvl w:ilvl="5" w:tentative="0">
      <w:start w:val="1"/>
      <w:numFmt w:val="decimal"/>
      <w:lvlText w:val="%1.%2.%3.%4.%5.%6."/>
      <w:lvlJc w:val="left"/>
      <w:pPr>
        <w:ind w:left="1134" w:hanging="1134"/>
      </w:pPr>
      <w:rPr>
        <w:u w:val="none" w:color="auto"/>
      </w:rPr>
    </w:lvl>
    <w:lvl w:ilvl="6" w:tentative="0">
      <w:start w:val="1"/>
      <w:numFmt w:val="decimal"/>
      <w:lvlText w:val="%1.%2.%3.%4.%5.%6.%7."/>
      <w:lvlJc w:val="left"/>
      <w:pPr>
        <w:ind w:left="1276" w:hanging="1276"/>
      </w:pPr>
      <w:rPr>
        <w:u w:val="none" w:color="auto"/>
      </w:rPr>
    </w:lvl>
    <w:lvl w:ilvl="7" w:tentative="0">
      <w:start w:val="1"/>
      <w:numFmt w:val="decimal"/>
      <w:lvlText w:val="%1.%2.%3.%4.%5.%6.%7.%8."/>
      <w:lvlJc w:val="left"/>
      <w:pPr>
        <w:ind w:left="1418" w:hanging="1418"/>
      </w:pPr>
      <w:rPr>
        <w:u w:val="none" w:color="auto"/>
      </w:rPr>
    </w:lvl>
    <w:lvl w:ilvl="8" w:tentative="0">
      <w:start w:val="1"/>
      <w:numFmt w:val="decimal"/>
      <w:lvlText w:val="%1.%2.%3.%4.%5.%6.%7.%8.%9."/>
      <w:lvlJc w:val="left"/>
      <w:pPr>
        <w:ind w:left="1559" w:hanging="1559"/>
      </w:pPr>
      <w:rPr>
        <w:u w:val="none" w:color="auto"/>
      </w:rPr>
    </w:lvl>
  </w:abstractNum>
  <w:abstractNum w:abstractNumId="23">
    <w:nsid w:val="0000001E"/>
    <w:multiLevelType w:val="multilevel"/>
    <w:tmpl w:val="0000001E"/>
    <w:lvl w:ilvl="0" w:tentative="0">
      <w:start w:val="1"/>
      <w:numFmt w:val="decimal"/>
      <w:lvlText w:val="%1."/>
      <w:lvlJc w:val="left"/>
      <w:pPr>
        <w:ind w:left="420" w:hanging="420"/>
      </w:pPr>
      <w:rPr>
        <w:u w:val="none" w:color="auto"/>
      </w:rPr>
    </w:lvl>
    <w:lvl w:ilvl="1" w:tentative="0">
      <w:start w:val="1"/>
      <w:numFmt w:val="lowerLetter"/>
      <w:lvlText w:val="%2)"/>
      <w:lvlJc w:val="left"/>
      <w:pPr>
        <w:ind w:left="840" w:hanging="420"/>
      </w:pPr>
      <w:rPr>
        <w:u w:val="none" w:color="auto"/>
      </w:rPr>
    </w:lvl>
    <w:lvl w:ilvl="2" w:tentative="0">
      <w:start w:val="1"/>
      <w:numFmt w:val="lowerRoman"/>
      <w:lvlText w:val="%3."/>
      <w:lvlJc w:val="right"/>
      <w:pPr>
        <w:ind w:left="1260" w:hanging="420"/>
      </w:pPr>
      <w:rPr>
        <w:u w:val="none" w:color="auto"/>
      </w:rPr>
    </w:lvl>
    <w:lvl w:ilvl="3" w:tentative="0">
      <w:start w:val="1"/>
      <w:numFmt w:val="decimal"/>
      <w:lvlText w:val="%4."/>
      <w:lvlJc w:val="left"/>
      <w:pPr>
        <w:ind w:left="1680" w:hanging="420"/>
      </w:pPr>
      <w:rPr>
        <w:u w:val="none" w:color="auto"/>
      </w:rPr>
    </w:lvl>
    <w:lvl w:ilvl="4" w:tentative="0">
      <w:start w:val="1"/>
      <w:numFmt w:val="lowerLetter"/>
      <w:lvlText w:val="%5)"/>
      <w:lvlJc w:val="left"/>
      <w:pPr>
        <w:ind w:left="2100" w:hanging="420"/>
      </w:pPr>
      <w:rPr>
        <w:u w:val="none" w:color="auto"/>
      </w:rPr>
    </w:lvl>
    <w:lvl w:ilvl="5" w:tentative="0">
      <w:start w:val="1"/>
      <w:numFmt w:val="lowerRoman"/>
      <w:lvlText w:val="%6."/>
      <w:lvlJc w:val="right"/>
      <w:pPr>
        <w:ind w:left="2520" w:hanging="420"/>
      </w:pPr>
      <w:rPr>
        <w:u w:val="none" w:color="auto"/>
      </w:rPr>
    </w:lvl>
    <w:lvl w:ilvl="6" w:tentative="0">
      <w:start w:val="1"/>
      <w:numFmt w:val="decimal"/>
      <w:lvlText w:val="%7."/>
      <w:lvlJc w:val="left"/>
      <w:pPr>
        <w:ind w:left="2940" w:hanging="420"/>
      </w:pPr>
      <w:rPr>
        <w:u w:val="none" w:color="auto"/>
      </w:rPr>
    </w:lvl>
    <w:lvl w:ilvl="7" w:tentative="0">
      <w:start w:val="1"/>
      <w:numFmt w:val="lowerLetter"/>
      <w:lvlText w:val="%8)"/>
      <w:lvlJc w:val="left"/>
      <w:pPr>
        <w:ind w:left="3360" w:hanging="420"/>
      </w:pPr>
      <w:rPr>
        <w:u w:val="none" w:color="auto"/>
      </w:rPr>
    </w:lvl>
    <w:lvl w:ilvl="8" w:tentative="0">
      <w:start w:val="1"/>
      <w:numFmt w:val="lowerRoman"/>
      <w:lvlText w:val="%9."/>
      <w:lvlJc w:val="right"/>
      <w:pPr>
        <w:ind w:left="3780" w:hanging="420"/>
      </w:pPr>
      <w:rPr>
        <w:u w:val="none" w:color="auto"/>
      </w:rPr>
    </w:lvl>
  </w:abstractNum>
  <w:abstractNum w:abstractNumId="24">
    <w:nsid w:val="00000020"/>
    <w:multiLevelType w:val="multilevel"/>
    <w:tmpl w:val="00000020"/>
    <w:lvl w:ilvl="0" w:tentative="0">
      <w:start w:val="1"/>
      <w:numFmt w:val="decimal"/>
      <w:lvlText w:val="%1)"/>
      <w:lvlJc w:val="left"/>
      <w:pPr>
        <w:ind w:left="987" w:hanging="420"/>
      </w:pPr>
      <w:rPr>
        <w:u w:val="none" w:color="auto"/>
      </w:rPr>
    </w:lvl>
    <w:lvl w:ilvl="1" w:tentative="0">
      <w:start w:val="1"/>
      <w:numFmt w:val="lowerLetter"/>
      <w:lvlText w:val="%2)"/>
      <w:lvlJc w:val="left"/>
      <w:pPr>
        <w:ind w:left="1407" w:hanging="420"/>
      </w:pPr>
      <w:rPr>
        <w:u w:val="none" w:color="auto"/>
      </w:rPr>
    </w:lvl>
    <w:lvl w:ilvl="2" w:tentative="0">
      <w:start w:val="1"/>
      <w:numFmt w:val="lowerRoman"/>
      <w:lvlText w:val="%3."/>
      <w:lvlJc w:val="right"/>
      <w:pPr>
        <w:ind w:left="1827" w:hanging="420"/>
      </w:pPr>
      <w:rPr>
        <w:u w:val="none" w:color="auto"/>
      </w:rPr>
    </w:lvl>
    <w:lvl w:ilvl="3" w:tentative="0">
      <w:start w:val="1"/>
      <w:numFmt w:val="decimal"/>
      <w:lvlText w:val="%4."/>
      <w:lvlJc w:val="left"/>
      <w:pPr>
        <w:ind w:left="2247" w:hanging="420"/>
      </w:pPr>
      <w:rPr>
        <w:u w:val="none" w:color="auto"/>
      </w:rPr>
    </w:lvl>
    <w:lvl w:ilvl="4" w:tentative="0">
      <w:start w:val="1"/>
      <w:numFmt w:val="lowerLetter"/>
      <w:lvlText w:val="%5)"/>
      <w:lvlJc w:val="left"/>
      <w:pPr>
        <w:ind w:left="2667" w:hanging="420"/>
      </w:pPr>
      <w:rPr>
        <w:u w:val="none" w:color="auto"/>
      </w:rPr>
    </w:lvl>
    <w:lvl w:ilvl="5" w:tentative="0">
      <w:start w:val="1"/>
      <w:numFmt w:val="lowerRoman"/>
      <w:lvlText w:val="%6."/>
      <w:lvlJc w:val="right"/>
      <w:pPr>
        <w:ind w:left="3087" w:hanging="420"/>
      </w:pPr>
      <w:rPr>
        <w:u w:val="none" w:color="auto"/>
      </w:rPr>
    </w:lvl>
    <w:lvl w:ilvl="6" w:tentative="0">
      <w:start w:val="1"/>
      <w:numFmt w:val="decimal"/>
      <w:lvlText w:val="%7."/>
      <w:lvlJc w:val="left"/>
      <w:pPr>
        <w:ind w:left="3507" w:hanging="420"/>
      </w:pPr>
      <w:rPr>
        <w:u w:val="none" w:color="auto"/>
      </w:rPr>
    </w:lvl>
    <w:lvl w:ilvl="7" w:tentative="0">
      <w:start w:val="1"/>
      <w:numFmt w:val="lowerLetter"/>
      <w:lvlText w:val="%8)"/>
      <w:lvlJc w:val="left"/>
      <w:pPr>
        <w:ind w:left="3927" w:hanging="420"/>
      </w:pPr>
      <w:rPr>
        <w:u w:val="none" w:color="auto"/>
      </w:rPr>
    </w:lvl>
    <w:lvl w:ilvl="8" w:tentative="0">
      <w:start w:val="1"/>
      <w:numFmt w:val="lowerRoman"/>
      <w:lvlText w:val="%9."/>
      <w:lvlJc w:val="right"/>
      <w:pPr>
        <w:ind w:left="4347" w:hanging="420"/>
      </w:pPr>
      <w:rPr>
        <w:u w:val="none" w:color="auto"/>
      </w:rPr>
    </w:lvl>
  </w:abstractNum>
  <w:abstractNum w:abstractNumId="25">
    <w:nsid w:val="00000021"/>
    <w:multiLevelType w:val="multilevel"/>
    <w:tmpl w:val="00000021"/>
    <w:lvl w:ilvl="0" w:tentative="0">
      <w:start w:val="1"/>
      <w:numFmt w:val="decimal"/>
      <w:lvlText w:val="%1."/>
      <w:lvlJc w:val="left"/>
      <w:pPr>
        <w:ind w:left="780" w:hanging="420"/>
      </w:pPr>
      <w:rPr>
        <w:u w:val="none" w:color="auto"/>
      </w:rPr>
    </w:lvl>
    <w:lvl w:ilvl="1" w:tentative="0">
      <w:start w:val="1"/>
      <w:numFmt w:val="lowerLetter"/>
      <w:lvlText w:val="%2)"/>
      <w:lvlJc w:val="left"/>
      <w:pPr>
        <w:ind w:left="1200" w:hanging="420"/>
      </w:pPr>
      <w:rPr>
        <w:u w:val="none" w:color="auto"/>
      </w:rPr>
    </w:lvl>
    <w:lvl w:ilvl="2" w:tentative="0">
      <w:start w:val="1"/>
      <w:numFmt w:val="lowerRoman"/>
      <w:lvlText w:val="%3."/>
      <w:lvlJc w:val="right"/>
      <w:pPr>
        <w:ind w:left="1620" w:hanging="420"/>
      </w:pPr>
      <w:rPr>
        <w:u w:val="none" w:color="auto"/>
      </w:rPr>
    </w:lvl>
    <w:lvl w:ilvl="3" w:tentative="0">
      <w:start w:val="1"/>
      <w:numFmt w:val="decimal"/>
      <w:lvlText w:val="%4."/>
      <w:lvlJc w:val="left"/>
      <w:pPr>
        <w:ind w:left="2040" w:hanging="420"/>
      </w:pPr>
      <w:rPr>
        <w:u w:val="none" w:color="auto"/>
      </w:rPr>
    </w:lvl>
    <w:lvl w:ilvl="4" w:tentative="0">
      <w:start w:val="1"/>
      <w:numFmt w:val="lowerLetter"/>
      <w:lvlText w:val="%5)"/>
      <w:lvlJc w:val="left"/>
      <w:pPr>
        <w:ind w:left="2460" w:hanging="420"/>
      </w:pPr>
      <w:rPr>
        <w:u w:val="none" w:color="auto"/>
      </w:rPr>
    </w:lvl>
    <w:lvl w:ilvl="5" w:tentative="0">
      <w:start w:val="1"/>
      <w:numFmt w:val="lowerRoman"/>
      <w:lvlText w:val="%6."/>
      <w:lvlJc w:val="right"/>
      <w:pPr>
        <w:ind w:left="2880" w:hanging="420"/>
      </w:pPr>
      <w:rPr>
        <w:u w:val="none" w:color="auto"/>
      </w:rPr>
    </w:lvl>
    <w:lvl w:ilvl="6" w:tentative="0">
      <w:start w:val="1"/>
      <w:numFmt w:val="decimal"/>
      <w:lvlText w:val="%7."/>
      <w:lvlJc w:val="left"/>
      <w:pPr>
        <w:ind w:left="3300" w:hanging="420"/>
      </w:pPr>
      <w:rPr>
        <w:u w:val="none" w:color="auto"/>
      </w:rPr>
    </w:lvl>
    <w:lvl w:ilvl="7" w:tentative="0">
      <w:start w:val="1"/>
      <w:numFmt w:val="lowerLetter"/>
      <w:lvlText w:val="%8)"/>
      <w:lvlJc w:val="left"/>
      <w:pPr>
        <w:ind w:left="3720" w:hanging="420"/>
      </w:pPr>
      <w:rPr>
        <w:u w:val="none" w:color="auto"/>
      </w:rPr>
    </w:lvl>
    <w:lvl w:ilvl="8" w:tentative="0">
      <w:start w:val="1"/>
      <w:numFmt w:val="lowerRoman"/>
      <w:lvlText w:val="%9."/>
      <w:lvlJc w:val="right"/>
      <w:pPr>
        <w:ind w:left="4140" w:hanging="420"/>
      </w:pPr>
      <w:rPr>
        <w:u w:val="none" w:color="auto"/>
      </w:rPr>
    </w:lvl>
  </w:abstractNum>
  <w:abstractNum w:abstractNumId="26">
    <w:nsid w:val="00000024"/>
    <w:multiLevelType w:val="multilevel"/>
    <w:tmpl w:val="00000024"/>
    <w:lvl w:ilvl="0" w:tentative="0">
      <w:start w:val="1"/>
      <w:numFmt w:val="chineseCountingThousand"/>
      <w:lvlText w:val="(%1)"/>
      <w:lvlJc w:val="left"/>
      <w:pPr>
        <w:ind w:left="840" w:hanging="420"/>
      </w:pPr>
      <w:rPr>
        <w:u w:val="none" w:color="auto"/>
      </w:rPr>
    </w:lvl>
    <w:lvl w:ilvl="1" w:tentative="0">
      <w:start w:val="1"/>
      <w:numFmt w:val="lowerLetter"/>
      <w:lvlText w:val="%2)"/>
      <w:lvlJc w:val="left"/>
      <w:pPr>
        <w:ind w:left="1260" w:hanging="420"/>
      </w:pPr>
      <w:rPr>
        <w:u w:val="none" w:color="auto"/>
      </w:rPr>
    </w:lvl>
    <w:lvl w:ilvl="2" w:tentative="0">
      <w:start w:val="1"/>
      <w:numFmt w:val="lowerRoman"/>
      <w:lvlText w:val="%3."/>
      <w:lvlJc w:val="right"/>
      <w:pPr>
        <w:ind w:left="1680" w:hanging="420"/>
      </w:pPr>
      <w:rPr>
        <w:u w:val="none" w:color="auto"/>
      </w:rPr>
    </w:lvl>
    <w:lvl w:ilvl="3" w:tentative="0">
      <w:start w:val="1"/>
      <w:numFmt w:val="decimal"/>
      <w:lvlText w:val="%4."/>
      <w:lvlJc w:val="left"/>
      <w:pPr>
        <w:ind w:left="2100" w:hanging="420"/>
      </w:pPr>
      <w:rPr>
        <w:u w:val="none" w:color="auto"/>
      </w:rPr>
    </w:lvl>
    <w:lvl w:ilvl="4" w:tentative="0">
      <w:start w:val="1"/>
      <w:numFmt w:val="lowerLetter"/>
      <w:lvlText w:val="%5)"/>
      <w:lvlJc w:val="left"/>
      <w:pPr>
        <w:ind w:left="2520" w:hanging="420"/>
      </w:pPr>
      <w:rPr>
        <w:u w:val="none" w:color="auto"/>
      </w:rPr>
    </w:lvl>
    <w:lvl w:ilvl="5" w:tentative="0">
      <w:start w:val="1"/>
      <w:numFmt w:val="lowerRoman"/>
      <w:lvlText w:val="%6."/>
      <w:lvlJc w:val="right"/>
      <w:pPr>
        <w:ind w:left="2940" w:hanging="420"/>
      </w:pPr>
      <w:rPr>
        <w:u w:val="none" w:color="auto"/>
      </w:rPr>
    </w:lvl>
    <w:lvl w:ilvl="6" w:tentative="0">
      <w:start w:val="1"/>
      <w:numFmt w:val="decimal"/>
      <w:lvlText w:val="%7."/>
      <w:lvlJc w:val="left"/>
      <w:pPr>
        <w:ind w:left="3360" w:hanging="420"/>
      </w:pPr>
      <w:rPr>
        <w:u w:val="none" w:color="auto"/>
      </w:rPr>
    </w:lvl>
    <w:lvl w:ilvl="7" w:tentative="0">
      <w:start w:val="1"/>
      <w:numFmt w:val="lowerLetter"/>
      <w:lvlText w:val="%8)"/>
      <w:lvlJc w:val="left"/>
      <w:pPr>
        <w:ind w:left="3780" w:hanging="420"/>
      </w:pPr>
      <w:rPr>
        <w:u w:val="none" w:color="auto"/>
      </w:rPr>
    </w:lvl>
    <w:lvl w:ilvl="8" w:tentative="0">
      <w:start w:val="1"/>
      <w:numFmt w:val="lowerRoman"/>
      <w:lvlText w:val="%9."/>
      <w:lvlJc w:val="right"/>
      <w:pPr>
        <w:ind w:left="4200" w:hanging="420"/>
      </w:pPr>
      <w:rPr>
        <w:u w:val="none" w:color="auto"/>
      </w:rPr>
    </w:lvl>
  </w:abstractNum>
  <w:abstractNum w:abstractNumId="27">
    <w:nsid w:val="39DD8A11"/>
    <w:multiLevelType w:val="singleLevel"/>
    <w:tmpl w:val="39DD8A11"/>
    <w:lvl w:ilvl="0" w:tentative="0">
      <w:start w:val="1"/>
      <w:numFmt w:val="decimal"/>
      <w:lvlText w:val="(%1)"/>
      <w:lvlJc w:val="left"/>
      <w:pPr>
        <w:ind w:left="425" w:hanging="425"/>
      </w:pPr>
      <w:rPr>
        <w:rFonts w:hint="default"/>
      </w:rPr>
    </w:lvl>
  </w:abstractNum>
  <w:num w:numId="1">
    <w:abstractNumId w:val="15"/>
  </w:num>
  <w:num w:numId="2">
    <w:abstractNumId w:val="26"/>
  </w:num>
  <w:num w:numId="3">
    <w:abstractNumId w:val="13"/>
  </w:num>
  <w:num w:numId="4">
    <w:abstractNumId w:val="19"/>
  </w:num>
  <w:num w:numId="5">
    <w:abstractNumId w:val="5"/>
  </w:num>
  <w:num w:numId="6">
    <w:abstractNumId w:val="9"/>
  </w:num>
  <w:num w:numId="7">
    <w:abstractNumId w:val="3"/>
  </w:num>
  <w:num w:numId="8">
    <w:abstractNumId w:val="20"/>
  </w:num>
  <w:num w:numId="9">
    <w:abstractNumId w:val="10"/>
  </w:num>
  <w:num w:numId="10">
    <w:abstractNumId w:val="23"/>
  </w:num>
  <w:num w:numId="11">
    <w:abstractNumId w:val="18"/>
  </w:num>
  <w:num w:numId="12">
    <w:abstractNumId w:val="14"/>
  </w:num>
  <w:num w:numId="13">
    <w:abstractNumId w:val="1"/>
  </w:num>
  <w:num w:numId="14">
    <w:abstractNumId w:val="16"/>
  </w:num>
  <w:num w:numId="15">
    <w:abstractNumId w:val="27"/>
  </w:num>
  <w:num w:numId="16">
    <w:abstractNumId w:val="2"/>
  </w:num>
  <w:num w:numId="17">
    <w:abstractNumId w:val="4"/>
  </w:num>
  <w:num w:numId="18">
    <w:abstractNumId w:val="7"/>
  </w:num>
  <w:num w:numId="19">
    <w:abstractNumId w:val="8"/>
  </w:num>
  <w:num w:numId="20">
    <w:abstractNumId w:val="12"/>
  </w:num>
  <w:num w:numId="21">
    <w:abstractNumId w:val="25"/>
  </w:num>
  <w:num w:numId="22">
    <w:abstractNumId w:val="11"/>
  </w:num>
  <w:num w:numId="23">
    <w:abstractNumId w:val="0"/>
  </w:num>
  <w:num w:numId="24">
    <w:abstractNumId w:val="21"/>
  </w:num>
  <w:num w:numId="25">
    <w:abstractNumId w:val="6"/>
  </w:num>
  <w:num w:numId="26">
    <w:abstractNumId w:val="17"/>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IyMmM0ZTRmZDAwMzIyMjM5NDczZDM2MDBkZGMifQ=="/>
  </w:docVars>
  <w:rsids>
    <w:rsidRoot w:val="74F976AD"/>
    <w:rsid w:val="00EE36AC"/>
    <w:rsid w:val="012C0371"/>
    <w:rsid w:val="013C2BBE"/>
    <w:rsid w:val="04626709"/>
    <w:rsid w:val="058B297D"/>
    <w:rsid w:val="05CF1AFF"/>
    <w:rsid w:val="063B2F40"/>
    <w:rsid w:val="08D64C8E"/>
    <w:rsid w:val="0ACF0C60"/>
    <w:rsid w:val="1056547D"/>
    <w:rsid w:val="135A334F"/>
    <w:rsid w:val="18F8118C"/>
    <w:rsid w:val="19AF6655"/>
    <w:rsid w:val="202251F5"/>
    <w:rsid w:val="212C2690"/>
    <w:rsid w:val="24BF2680"/>
    <w:rsid w:val="25243212"/>
    <w:rsid w:val="25710085"/>
    <w:rsid w:val="26F201E1"/>
    <w:rsid w:val="275D5399"/>
    <w:rsid w:val="27674999"/>
    <w:rsid w:val="28FF4650"/>
    <w:rsid w:val="2D5439DF"/>
    <w:rsid w:val="306F1A7F"/>
    <w:rsid w:val="314D4919"/>
    <w:rsid w:val="35DC7E79"/>
    <w:rsid w:val="3C9E5E6A"/>
    <w:rsid w:val="44576E81"/>
    <w:rsid w:val="44CF79CE"/>
    <w:rsid w:val="4CF34379"/>
    <w:rsid w:val="4DCD5E09"/>
    <w:rsid w:val="5302663C"/>
    <w:rsid w:val="53E019F3"/>
    <w:rsid w:val="57A21D47"/>
    <w:rsid w:val="59780D37"/>
    <w:rsid w:val="59945927"/>
    <w:rsid w:val="5D0A4011"/>
    <w:rsid w:val="5DBE1282"/>
    <w:rsid w:val="5F494D24"/>
    <w:rsid w:val="66BE1202"/>
    <w:rsid w:val="6F077FFF"/>
    <w:rsid w:val="70E01613"/>
    <w:rsid w:val="733A01AB"/>
    <w:rsid w:val="74F976AD"/>
    <w:rsid w:val="79BF22E2"/>
    <w:rsid w:val="7C44546D"/>
    <w:rsid w:val="7D995F5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numPr>
        <w:ilvl w:val="0"/>
        <w:numId w:val="0"/>
      </w:numPr>
      <w:kinsoku/>
      <w:wordWrap/>
      <w:overflowPunct/>
      <w:topLinePunct w:val="0"/>
      <w:autoSpaceDE/>
      <w:autoSpaceDN/>
      <w:bidi w:val="0"/>
      <w:adjustRightInd/>
      <w:ind w:left="0" w:right="0"/>
      <w:jc w:val="both"/>
      <w:textAlignment w:val="auto"/>
    </w:pPr>
    <w:rPr>
      <w:rFonts w:ascii="Calibri" w:hAnsi="Calibri" w:eastAsia="宋体" w:cs="Times New Roman"/>
      <w:kern w:val="2"/>
      <w:sz w:val="21"/>
      <w:szCs w:val="21"/>
      <w:lang w:val="en-US" w:eastAsia="zh-CN" w:bidi="zh-CN"/>
    </w:rPr>
  </w:style>
  <w:style w:type="paragraph" w:styleId="3">
    <w:name w:val="heading 1"/>
    <w:basedOn w:val="1"/>
    <w:next w:val="1"/>
    <w:link w:val="11"/>
    <w:qFormat/>
    <w:uiPriority w:val="0"/>
    <w:pPr>
      <w:keepNext/>
      <w:keepLines/>
      <w:widowControl w:val="0"/>
      <w:numPr>
        <w:ilvl w:val="0"/>
        <w:numId w:val="0"/>
      </w:numPr>
      <w:kinsoku/>
      <w:wordWrap/>
      <w:overflowPunct/>
      <w:topLinePunct w:val="0"/>
      <w:autoSpaceDE/>
      <w:autoSpaceDN/>
      <w:bidi w:val="0"/>
      <w:adjustRightInd/>
      <w:spacing w:before="340" w:after="330" w:line="578" w:lineRule="auto"/>
      <w:ind w:left="0" w:right="0"/>
      <w:jc w:val="center"/>
      <w:textAlignment w:val="auto"/>
      <w:outlineLvl w:val="0"/>
    </w:pPr>
    <w:rPr>
      <w:rFonts w:ascii="Calibri" w:hAnsi="Calibri" w:eastAsia="微软雅黑" w:cs="Times New Roman"/>
      <w:b/>
      <w:kern w:val="44"/>
      <w:sz w:val="36"/>
      <w:szCs w:val="36"/>
      <w:lang w:val="en-US" w:eastAsia="zh-CN" w:bidi="zh-CN"/>
    </w:rPr>
  </w:style>
  <w:style w:type="paragraph" w:styleId="4">
    <w:name w:val="heading 2"/>
    <w:basedOn w:val="1"/>
    <w:next w:val="1"/>
    <w:unhideWhenUsed/>
    <w:qFormat/>
    <w:uiPriority w:val="0"/>
    <w:pPr>
      <w:keepNext/>
      <w:keepLines/>
      <w:widowControl w:val="0"/>
      <w:numPr>
        <w:ilvl w:val="0"/>
        <w:numId w:val="0"/>
      </w:numPr>
      <w:kinsoku/>
      <w:wordWrap/>
      <w:overflowPunct/>
      <w:topLinePunct w:val="0"/>
      <w:autoSpaceDE/>
      <w:autoSpaceDN/>
      <w:bidi w:val="0"/>
      <w:adjustRightInd/>
      <w:spacing w:before="260" w:after="260" w:line="416" w:lineRule="auto"/>
      <w:ind w:left="0" w:right="0"/>
      <w:jc w:val="both"/>
      <w:textAlignment w:val="auto"/>
      <w:outlineLvl w:val="1"/>
    </w:pPr>
    <w:rPr>
      <w:rFonts w:ascii="Calibri Light" w:hAnsi="Calibri Light" w:eastAsia="宋体" w:cs="Times New Roman"/>
      <w:b/>
      <w:kern w:val="2"/>
      <w:sz w:val="32"/>
      <w:szCs w:val="32"/>
      <w:lang w:val="en-US" w:eastAsia="zh-CN" w:bidi="zh-CN"/>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numPr>
        <w:ilvl w:val="0"/>
        <w:numId w:val="0"/>
      </w:numPr>
      <w:kinsoku/>
      <w:wordWrap/>
      <w:overflowPunct/>
      <w:topLinePunct w:val="0"/>
      <w:autoSpaceDE/>
      <w:autoSpaceDN/>
      <w:bidi w:val="0"/>
      <w:adjustRightInd/>
      <w:spacing w:after="120" w:line="360" w:lineRule="auto"/>
      <w:ind w:left="0" w:right="0"/>
      <w:jc w:val="left"/>
      <w:textAlignment w:val="auto"/>
    </w:pPr>
    <w:rPr>
      <w:rFonts w:ascii="Times New Roman" w:hAnsi="Calibri" w:eastAsia="宋体" w:cs="Times New Roman"/>
      <w:kern w:val="2"/>
      <w:sz w:val="24"/>
      <w:szCs w:val="24"/>
      <w:lang w:val="en-US" w:eastAsia="zh-CN" w:bidi="zh-CN"/>
    </w:rPr>
  </w:style>
  <w:style w:type="paragraph" w:styleId="5">
    <w:name w:val="footer"/>
    <w:basedOn w:val="1"/>
    <w:qFormat/>
    <w:uiPriority w:val="0"/>
    <w:pPr>
      <w:widowControl w:val="0"/>
      <w:numPr>
        <w:ilvl w:val="0"/>
        <w:numId w:val="0"/>
      </w:numPr>
      <w:kinsoku/>
      <w:wordWrap/>
      <w:overflowPunct/>
      <w:topLinePunct w:val="0"/>
      <w:autoSpaceDE/>
      <w:autoSpaceDN/>
      <w:bidi w:val="0"/>
      <w:adjustRightInd/>
      <w:snapToGrid w:val="0"/>
      <w:ind w:left="0" w:right="0"/>
      <w:jc w:val="left"/>
      <w:textAlignment w:val="auto"/>
    </w:pPr>
    <w:rPr>
      <w:rFonts w:ascii="Calibri" w:hAnsi="Calibri" w:eastAsia="宋体" w:cs="Times New Roman"/>
      <w:kern w:val="2"/>
      <w:sz w:val="18"/>
      <w:szCs w:val="18"/>
      <w:lang w:val="en-US" w:eastAsia="zh-CN" w:bidi="zh-CN"/>
    </w:rPr>
  </w:style>
  <w:style w:type="paragraph" w:styleId="6">
    <w:name w:val="header"/>
    <w:basedOn w:val="1"/>
    <w:qFormat/>
    <w:uiPriority w:val="0"/>
    <w:pPr>
      <w:widowControl w:val="0"/>
      <w:numPr>
        <w:ilvl w:val="0"/>
        <w:numId w:val="0"/>
      </w:numPr>
      <w:pBdr>
        <w:bottom w:val="single" w:color="auto" w:sz="6" w:space="1"/>
      </w:pBdr>
      <w:kinsoku/>
      <w:wordWrap/>
      <w:overflowPunct/>
      <w:topLinePunct w:val="0"/>
      <w:autoSpaceDE/>
      <w:autoSpaceDN/>
      <w:bidi w:val="0"/>
      <w:adjustRightInd/>
      <w:snapToGrid w:val="0"/>
      <w:ind w:left="0" w:right="0"/>
      <w:jc w:val="center"/>
      <w:textAlignment w:val="auto"/>
    </w:pPr>
    <w:rPr>
      <w:rFonts w:ascii="Calibri" w:hAnsi="Calibri" w:eastAsia="宋体" w:cs="Times New Roman"/>
      <w:kern w:val="2"/>
      <w:sz w:val="18"/>
      <w:szCs w:val="18"/>
      <w:lang w:val="en-US" w:eastAsia="zh-CN" w:bidi="zh-CN"/>
    </w:rPr>
  </w:style>
  <w:style w:type="paragraph" w:styleId="7">
    <w:name w:val="toc 1"/>
    <w:basedOn w:val="1"/>
    <w:next w:val="1"/>
    <w:qFormat/>
    <w:uiPriority w:val="0"/>
    <w:pPr>
      <w:widowControl w:val="0"/>
      <w:numPr>
        <w:ilvl w:val="0"/>
        <w:numId w:val="0"/>
      </w:numPr>
      <w:kinsoku/>
      <w:wordWrap/>
      <w:overflowPunct/>
      <w:topLinePunct w:val="0"/>
      <w:autoSpaceDE/>
      <w:autoSpaceDN/>
      <w:bidi w:val="0"/>
      <w:adjustRightInd/>
      <w:spacing w:before="120" w:after="120"/>
      <w:ind w:left="0" w:right="0"/>
      <w:jc w:val="left"/>
      <w:textAlignment w:val="auto"/>
    </w:pPr>
    <w:rPr>
      <w:rFonts w:ascii="Calibri" w:hAnsi="Calibri" w:eastAsia="微软雅黑" w:cs="Times New Roman"/>
      <w:caps/>
      <w:kern w:val="2"/>
      <w:sz w:val="21"/>
      <w:szCs w:val="21"/>
      <w:lang w:val="en-US" w:eastAsia="zh-CN" w:bidi="zh-CN"/>
    </w:rPr>
  </w:style>
  <w:style w:type="paragraph" w:styleId="8">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customStyle="1" w:styleId="11">
    <w:name w:val="标题 1 字符"/>
    <w:basedOn w:val="9"/>
    <w:link w:val="3"/>
    <w:qFormat/>
    <w:uiPriority w:val="0"/>
    <w:rPr>
      <w:rFonts w:ascii="Calibri" w:hAnsi="Calibri" w:eastAsia="微软雅黑" w:cs="Times New Roman"/>
      <w:b/>
      <w:kern w:val="44"/>
      <w:sz w:val="36"/>
      <w:szCs w:val="36"/>
      <w:lang w:val="en-US" w:eastAsia="zh-CN" w:bidi="zh-CN"/>
    </w:rPr>
  </w:style>
  <w:style w:type="paragraph" w:customStyle="1" w:styleId="12">
    <w:name w:val="_Style 8"/>
    <w:basedOn w:val="1"/>
    <w:qFormat/>
    <w:uiPriority w:val="0"/>
    <w:pPr>
      <w:widowControl w:val="0"/>
      <w:numPr>
        <w:ilvl w:val="0"/>
        <w:numId w:val="0"/>
      </w:numPr>
      <w:kinsoku/>
      <w:wordWrap/>
      <w:overflowPunct/>
      <w:topLinePunct w:val="0"/>
      <w:autoSpaceDE/>
      <w:autoSpaceDN/>
      <w:bidi w:val="0"/>
      <w:adjustRightInd/>
      <w:ind w:left="0" w:right="0" w:firstLine="420" w:firstLineChars="200"/>
      <w:jc w:val="both"/>
      <w:textAlignment w:val="auto"/>
    </w:pPr>
    <w:rPr>
      <w:rFonts w:ascii="Calibri" w:hAnsi="Calibri" w:eastAsia="宋体" w:cs="Times New Roman"/>
      <w:kern w:val="2"/>
      <w:sz w:val="21"/>
      <w:szCs w:val="21"/>
      <w:lang w:val="en-US" w:eastAsia="zh-CN" w:bidi="zh-CN"/>
    </w:rPr>
  </w:style>
  <w:style w:type="paragraph" w:customStyle="1" w:styleId="13">
    <w:name w:val="List Paragraph1"/>
    <w:basedOn w:val="1"/>
    <w:qFormat/>
    <w:uiPriority w:val="0"/>
    <w:pPr>
      <w:widowControl w:val="0"/>
      <w:numPr>
        <w:ilvl w:val="0"/>
        <w:numId w:val="0"/>
      </w:numPr>
      <w:kinsoku/>
      <w:wordWrap/>
      <w:overflowPunct/>
      <w:topLinePunct w:val="0"/>
      <w:autoSpaceDE/>
      <w:autoSpaceDN/>
      <w:bidi w:val="0"/>
      <w:adjustRightInd/>
      <w:ind w:left="0" w:right="0" w:firstLine="420" w:firstLineChars="200"/>
      <w:jc w:val="both"/>
      <w:textAlignment w:val="auto"/>
    </w:pPr>
    <w:rPr>
      <w:rFonts w:ascii="Calibri" w:hAnsi="Calibri" w:eastAsia="宋体" w:cs="Times New Roman"/>
      <w:kern w:val="2"/>
      <w:sz w:val="21"/>
      <w:szCs w:val="21"/>
      <w:lang w:val="en-US" w:eastAsia="zh-CN" w:bidi="zh-CN"/>
    </w:rPr>
  </w:style>
  <w:style w:type="paragraph" w:customStyle="1" w:styleId="14">
    <w:name w:val="列出段落1"/>
    <w:basedOn w:val="1"/>
    <w:qFormat/>
    <w:uiPriority w:val="0"/>
    <w:pPr>
      <w:widowControl w:val="0"/>
      <w:numPr>
        <w:ilvl w:val="0"/>
        <w:numId w:val="0"/>
      </w:numPr>
      <w:kinsoku/>
      <w:wordWrap/>
      <w:overflowPunct/>
      <w:topLinePunct w:val="0"/>
      <w:autoSpaceDE/>
      <w:autoSpaceDN/>
      <w:bidi w:val="0"/>
      <w:adjustRightInd/>
      <w:ind w:left="0" w:right="0" w:firstLine="420" w:firstLineChars="200"/>
      <w:jc w:val="both"/>
      <w:textAlignment w:val="auto"/>
    </w:pPr>
    <w:rPr>
      <w:rFonts w:ascii="Calibri" w:hAnsi="Calibri" w:eastAsia="宋体" w:cs="Times New Roman"/>
      <w:kern w:val="2"/>
      <w:sz w:val="21"/>
      <w:szCs w:val="21"/>
      <w:lang w:val="en-US" w:eastAsia="zh-CN" w:bidi="zh-CN"/>
    </w:rPr>
  </w:style>
  <w:style w:type="paragraph" w:customStyle="1" w:styleId="15">
    <w:name w:val="列出段落2"/>
    <w:basedOn w:val="1"/>
    <w:qFormat/>
    <w:uiPriority w:val="0"/>
    <w:pPr>
      <w:widowControl w:val="0"/>
      <w:numPr>
        <w:ilvl w:val="0"/>
        <w:numId w:val="0"/>
      </w:numPr>
      <w:kinsoku/>
      <w:wordWrap/>
      <w:overflowPunct/>
      <w:topLinePunct w:val="0"/>
      <w:autoSpaceDE/>
      <w:autoSpaceDN/>
      <w:bidi w:val="0"/>
      <w:adjustRightInd/>
      <w:ind w:left="0" w:right="0" w:firstLine="420" w:firstLineChars="200"/>
      <w:jc w:val="both"/>
      <w:textAlignment w:val="auto"/>
    </w:pPr>
    <w:rPr>
      <w:rFonts w:ascii="Calibri" w:hAnsi="Calibri" w:eastAsia="宋体" w:cs="Times New Roman"/>
      <w:kern w:val="2"/>
      <w:sz w:val="21"/>
      <w:szCs w:val="21"/>
      <w:lang w:val="en-US" w:eastAsia="zh-CN" w:bidi="zh-CN"/>
    </w:rPr>
  </w:style>
  <w:style w:type="paragraph" w:customStyle="1" w:styleId="16">
    <w:name w:val="样式1"/>
    <w:basedOn w:val="4"/>
    <w:qFormat/>
    <w:uiPriority w:val="0"/>
    <w:pPr>
      <w:keepNext/>
      <w:keepLines/>
      <w:widowControl w:val="0"/>
      <w:numPr>
        <w:ilvl w:val="0"/>
        <w:numId w:val="0"/>
      </w:numPr>
      <w:kinsoku/>
      <w:wordWrap/>
      <w:overflowPunct/>
      <w:topLinePunct w:val="0"/>
      <w:autoSpaceDE/>
      <w:autoSpaceDN/>
      <w:bidi w:val="0"/>
      <w:adjustRightInd/>
      <w:spacing w:before="260" w:after="260" w:line="400" w:lineRule="exact"/>
      <w:ind w:left="0" w:right="0"/>
      <w:jc w:val="center"/>
      <w:textAlignment w:val="auto"/>
      <w:outlineLvl w:val="1"/>
    </w:pPr>
    <w:rPr>
      <w:rFonts w:ascii="微软雅黑" w:hAnsi="微软雅黑" w:eastAsia="微软雅黑" w:cs="Times New Roman"/>
      <w:b w:val="0"/>
      <w:kern w:val="2"/>
      <w:sz w:val="32"/>
      <w:szCs w:val="32"/>
      <w:lang w:val="en-US"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8761</Words>
  <Characters>9351</Characters>
  <Lines>0</Lines>
  <Paragraphs>0</Paragraphs>
  <ScaleCrop>false</ScaleCrop>
  <LinksUpToDate>false</LinksUpToDate>
  <CharactersWithSpaces>9407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2023-08-22T09:55:00Z</dcterms:created>
  <dc:creator>ud</dc:creator>
  <cp:lastModifiedBy>Administrator</cp:lastModifiedBy>
  <dcterms:modified xsi:type="dcterms:W3CDTF">2025-01-20T01:09:58Z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0F6C40D32F494450A955563EBB5581A3_12</vt:lpwstr>
  </property>
  <property fmtid="{D5CDD505-2E9C-101B-9397-08002B2CF9AE}" pid="4" name="KSOTemplateDocerSaveRecord">
    <vt:lpwstr>eyJoZGlkIjoiYjE3YzM5OWNhOGVkN2I2ZDMzMjU3MTMzZmRmYmI4ODAiLCJ1c2VySWQiOiI5MjMzMzI5NDgifQ==</vt:lpwstr>
  </property>
</Properties>
</file>