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78" w:lineRule="exact"/>
        <w:ind w:right="-153" w:rightChars="-73"/>
        <w:jc w:val="center"/>
        <w:textAlignment w:val="auto"/>
        <w:rPr>
          <w:rFonts w:ascii="仿宋_GB2312" w:hAnsi="华文宋体" w:eastAsia="仿宋_GB2312"/>
          <w:b/>
          <w:sz w:val="44"/>
          <w:szCs w:val="44"/>
        </w:rPr>
      </w:pPr>
    </w:p>
    <w:p>
      <w:pPr>
        <w:keepNext w:val="0"/>
        <w:keepLines w:val="0"/>
        <w:pageBreakBefore w:val="0"/>
        <w:kinsoku/>
        <w:wordWrap/>
        <w:overflowPunct/>
        <w:topLinePunct w:val="0"/>
        <w:autoSpaceDE/>
        <w:autoSpaceDN/>
        <w:bidi w:val="0"/>
        <w:adjustRightInd/>
        <w:snapToGrid/>
        <w:spacing w:line="578" w:lineRule="exact"/>
        <w:ind w:right="-153" w:rightChars="-73"/>
        <w:jc w:val="center"/>
        <w:textAlignment w:val="auto"/>
        <w:rPr>
          <w:rFonts w:ascii="方正小标宋简体" w:hAnsi="黑体" w:eastAsia="方正小标宋简体"/>
          <w:sz w:val="44"/>
          <w:szCs w:val="44"/>
        </w:rPr>
      </w:pPr>
      <w:r>
        <w:rPr>
          <w:rFonts w:hint="eastAsia" w:ascii="方正小标宋简体" w:hAnsi="黑体" w:eastAsia="方正小标宋简体"/>
          <w:sz w:val="44"/>
          <w:szCs w:val="44"/>
        </w:rPr>
        <w:t>2024年吉林省省级国库现金管理</w:t>
      </w:r>
    </w:p>
    <w:p>
      <w:pPr>
        <w:keepNext w:val="0"/>
        <w:keepLines w:val="0"/>
        <w:pageBreakBefore w:val="0"/>
        <w:kinsoku/>
        <w:wordWrap/>
        <w:overflowPunct/>
        <w:topLinePunct w:val="0"/>
        <w:autoSpaceDE/>
        <w:autoSpaceDN/>
        <w:bidi w:val="0"/>
        <w:adjustRightInd/>
        <w:snapToGrid/>
        <w:spacing w:line="578" w:lineRule="exact"/>
        <w:ind w:right="-153" w:rightChars="-73"/>
        <w:jc w:val="center"/>
        <w:textAlignment w:val="auto"/>
        <w:rPr>
          <w:rFonts w:ascii="方正小标宋简体" w:hAnsi="黑体" w:eastAsia="方正小标宋简体"/>
          <w:sz w:val="44"/>
          <w:szCs w:val="44"/>
        </w:rPr>
      </w:pPr>
      <w:r>
        <w:rPr>
          <w:rFonts w:hint="eastAsia" w:ascii="方正小标宋简体" w:hAnsi="黑体" w:eastAsia="方正小标宋简体"/>
          <w:sz w:val="44"/>
          <w:szCs w:val="44"/>
        </w:rPr>
        <w:t>商业银行定期存款（第一期）项目</w:t>
      </w:r>
    </w:p>
    <w:p>
      <w:pPr>
        <w:keepNext w:val="0"/>
        <w:keepLines w:val="0"/>
        <w:pageBreakBefore w:val="0"/>
        <w:kinsoku/>
        <w:wordWrap/>
        <w:overflowPunct/>
        <w:topLinePunct w:val="0"/>
        <w:autoSpaceDE/>
        <w:autoSpaceDN/>
        <w:bidi w:val="0"/>
        <w:adjustRightInd/>
        <w:snapToGrid/>
        <w:spacing w:line="578" w:lineRule="exact"/>
        <w:jc w:val="center"/>
        <w:textAlignment w:val="auto"/>
        <w:rPr>
          <w:rFonts w:ascii="黑体" w:hAnsi="黑体" w:eastAsia="黑体"/>
          <w:sz w:val="28"/>
          <w:szCs w:val="28"/>
        </w:rPr>
      </w:pPr>
    </w:p>
    <w:p>
      <w:pPr>
        <w:keepNext w:val="0"/>
        <w:keepLines w:val="0"/>
        <w:pageBreakBefore w:val="0"/>
        <w:kinsoku/>
        <w:wordWrap/>
        <w:overflowPunct/>
        <w:topLinePunct w:val="0"/>
        <w:autoSpaceDE/>
        <w:autoSpaceDN/>
        <w:bidi w:val="0"/>
        <w:adjustRightInd/>
        <w:snapToGrid/>
        <w:spacing w:line="578" w:lineRule="exact"/>
        <w:textAlignment w:val="auto"/>
        <w:rPr>
          <w:rFonts w:ascii="仿宋_GB2312" w:hAnsi="华文宋体" w:eastAsia="仿宋_GB2312"/>
          <w:sz w:val="28"/>
          <w:szCs w:val="28"/>
        </w:rPr>
      </w:pPr>
    </w:p>
    <w:p>
      <w:pPr>
        <w:keepNext w:val="0"/>
        <w:keepLines w:val="0"/>
        <w:pageBreakBefore w:val="0"/>
        <w:kinsoku/>
        <w:wordWrap/>
        <w:overflowPunct/>
        <w:topLinePunct w:val="0"/>
        <w:autoSpaceDE/>
        <w:autoSpaceDN/>
        <w:bidi w:val="0"/>
        <w:adjustRightInd/>
        <w:snapToGrid/>
        <w:spacing w:line="578" w:lineRule="exact"/>
        <w:textAlignment w:val="auto"/>
        <w:rPr>
          <w:rFonts w:ascii="仿宋_GB2312" w:hAnsi="华文宋体" w:eastAsia="仿宋_GB2312"/>
          <w:sz w:val="28"/>
          <w:szCs w:val="28"/>
        </w:rPr>
      </w:pPr>
    </w:p>
    <w:p>
      <w:pPr>
        <w:keepNext w:val="0"/>
        <w:keepLines w:val="0"/>
        <w:pageBreakBefore w:val="0"/>
        <w:kinsoku/>
        <w:wordWrap/>
        <w:overflowPunct/>
        <w:topLinePunct w:val="0"/>
        <w:autoSpaceDE/>
        <w:autoSpaceDN/>
        <w:bidi w:val="0"/>
        <w:adjustRightInd/>
        <w:snapToGrid/>
        <w:spacing w:line="578" w:lineRule="exact"/>
        <w:jc w:val="center"/>
        <w:textAlignment w:val="auto"/>
        <w:rPr>
          <w:rFonts w:ascii="黑体" w:hAnsi="黑体" w:eastAsia="黑体"/>
          <w:bCs/>
          <w:sz w:val="36"/>
          <w:szCs w:val="36"/>
        </w:rPr>
      </w:pPr>
      <w:r>
        <w:rPr>
          <w:rFonts w:hint="eastAsia" w:ascii="黑体" w:hAnsi="黑体" w:eastAsia="黑体"/>
          <w:bCs/>
          <w:sz w:val="36"/>
          <w:szCs w:val="36"/>
        </w:rPr>
        <w:t>招 标 文 件</w:t>
      </w:r>
    </w:p>
    <w:p>
      <w:pPr>
        <w:keepNext w:val="0"/>
        <w:keepLines w:val="0"/>
        <w:pageBreakBefore w:val="0"/>
        <w:kinsoku/>
        <w:wordWrap/>
        <w:overflowPunct/>
        <w:topLinePunct w:val="0"/>
        <w:autoSpaceDE/>
        <w:autoSpaceDN/>
        <w:bidi w:val="0"/>
        <w:adjustRightInd/>
        <w:snapToGrid/>
        <w:spacing w:line="578" w:lineRule="exact"/>
        <w:jc w:val="center"/>
        <w:textAlignment w:val="auto"/>
        <w:rPr>
          <w:rFonts w:ascii="仿宋_GB2312" w:eastAsia="仿宋_GB2312"/>
          <w:sz w:val="28"/>
          <w:szCs w:val="28"/>
        </w:rPr>
      </w:pPr>
    </w:p>
    <w:p>
      <w:pPr>
        <w:keepNext w:val="0"/>
        <w:keepLines w:val="0"/>
        <w:pageBreakBefore w:val="0"/>
        <w:kinsoku/>
        <w:wordWrap/>
        <w:overflowPunct/>
        <w:topLinePunct w:val="0"/>
        <w:autoSpaceDE/>
        <w:autoSpaceDN/>
        <w:bidi w:val="0"/>
        <w:adjustRightInd/>
        <w:snapToGrid/>
        <w:spacing w:line="578" w:lineRule="exact"/>
        <w:ind w:firstLine="1960" w:firstLineChars="700"/>
        <w:textAlignment w:val="auto"/>
        <w:rPr>
          <w:rFonts w:ascii="仿宋_GB2312" w:eastAsia="仿宋_GB2312"/>
          <w:bCs/>
          <w:sz w:val="28"/>
          <w:szCs w:val="28"/>
        </w:rPr>
      </w:pPr>
    </w:p>
    <w:p>
      <w:pPr>
        <w:keepNext w:val="0"/>
        <w:keepLines w:val="0"/>
        <w:pageBreakBefore w:val="0"/>
        <w:kinsoku/>
        <w:wordWrap/>
        <w:overflowPunct/>
        <w:topLinePunct w:val="0"/>
        <w:autoSpaceDE/>
        <w:autoSpaceDN/>
        <w:bidi w:val="0"/>
        <w:adjustRightInd/>
        <w:snapToGrid/>
        <w:spacing w:line="578" w:lineRule="exact"/>
        <w:ind w:firstLine="1960" w:firstLineChars="700"/>
        <w:textAlignment w:val="auto"/>
        <w:rPr>
          <w:rFonts w:ascii="仿宋_GB2312" w:eastAsia="仿宋_GB2312"/>
          <w:bCs/>
          <w:sz w:val="28"/>
          <w:szCs w:val="28"/>
        </w:rPr>
      </w:pPr>
    </w:p>
    <w:p>
      <w:pPr>
        <w:keepNext w:val="0"/>
        <w:keepLines w:val="0"/>
        <w:pageBreakBefore w:val="0"/>
        <w:kinsoku/>
        <w:wordWrap/>
        <w:overflowPunct/>
        <w:topLinePunct w:val="0"/>
        <w:autoSpaceDE/>
        <w:autoSpaceDN/>
        <w:bidi w:val="0"/>
        <w:adjustRightInd/>
        <w:snapToGrid/>
        <w:spacing w:line="578" w:lineRule="exact"/>
        <w:ind w:firstLine="1960" w:firstLineChars="700"/>
        <w:textAlignment w:val="auto"/>
        <w:rPr>
          <w:rFonts w:ascii="仿宋_GB2312" w:eastAsia="仿宋_GB2312"/>
          <w:bCs/>
          <w:sz w:val="28"/>
          <w:szCs w:val="28"/>
        </w:rPr>
      </w:pPr>
    </w:p>
    <w:p>
      <w:pPr>
        <w:keepNext w:val="0"/>
        <w:keepLines w:val="0"/>
        <w:pageBreakBefore w:val="0"/>
        <w:kinsoku/>
        <w:wordWrap/>
        <w:overflowPunct/>
        <w:topLinePunct w:val="0"/>
        <w:autoSpaceDE/>
        <w:autoSpaceDN/>
        <w:bidi w:val="0"/>
        <w:adjustRightInd/>
        <w:snapToGrid/>
        <w:spacing w:line="578" w:lineRule="exact"/>
        <w:ind w:firstLine="1960" w:firstLineChars="700"/>
        <w:textAlignment w:val="auto"/>
        <w:rPr>
          <w:rFonts w:ascii="仿宋_GB2312" w:eastAsia="仿宋_GB2312"/>
          <w:bCs/>
          <w:sz w:val="28"/>
          <w:szCs w:val="28"/>
        </w:rPr>
      </w:pPr>
    </w:p>
    <w:p>
      <w:pPr>
        <w:keepNext w:val="0"/>
        <w:keepLines w:val="0"/>
        <w:pageBreakBefore w:val="0"/>
        <w:kinsoku/>
        <w:wordWrap/>
        <w:overflowPunct/>
        <w:topLinePunct w:val="0"/>
        <w:autoSpaceDE/>
        <w:autoSpaceDN/>
        <w:bidi w:val="0"/>
        <w:adjustRightInd/>
        <w:snapToGrid/>
        <w:spacing w:line="578" w:lineRule="exact"/>
        <w:ind w:firstLine="1960" w:firstLineChars="700"/>
        <w:textAlignment w:val="auto"/>
        <w:rPr>
          <w:rFonts w:ascii="仿宋_GB2312" w:eastAsia="仿宋_GB2312"/>
          <w:bCs/>
          <w:sz w:val="28"/>
          <w:szCs w:val="28"/>
        </w:rPr>
      </w:pPr>
    </w:p>
    <w:p>
      <w:pPr>
        <w:keepNext w:val="0"/>
        <w:keepLines w:val="0"/>
        <w:pageBreakBefore w:val="0"/>
        <w:kinsoku/>
        <w:wordWrap/>
        <w:overflowPunct/>
        <w:topLinePunct w:val="0"/>
        <w:autoSpaceDE/>
        <w:autoSpaceDN/>
        <w:bidi w:val="0"/>
        <w:adjustRightInd/>
        <w:snapToGrid/>
        <w:spacing w:line="578" w:lineRule="exact"/>
        <w:ind w:firstLine="2240" w:firstLineChars="800"/>
        <w:textAlignment w:val="auto"/>
        <w:rPr>
          <w:rFonts w:ascii="仿宋_GB2312" w:eastAsia="仿宋_GB2312"/>
          <w:bCs/>
          <w:sz w:val="28"/>
          <w:szCs w:val="28"/>
          <w:u w:val="single"/>
        </w:rPr>
      </w:pPr>
    </w:p>
    <w:p>
      <w:pPr>
        <w:keepNext w:val="0"/>
        <w:keepLines w:val="0"/>
        <w:pageBreakBefore w:val="0"/>
        <w:kinsoku/>
        <w:wordWrap/>
        <w:overflowPunct/>
        <w:topLinePunct w:val="0"/>
        <w:autoSpaceDE/>
        <w:autoSpaceDN/>
        <w:bidi w:val="0"/>
        <w:adjustRightInd/>
        <w:snapToGrid/>
        <w:spacing w:line="578" w:lineRule="exact"/>
        <w:ind w:firstLine="2240" w:firstLineChars="800"/>
        <w:textAlignment w:val="auto"/>
        <w:rPr>
          <w:rFonts w:ascii="仿宋_GB2312" w:eastAsia="仿宋_GB2312"/>
          <w:bCs/>
          <w:sz w:val="28"/>
          <w:szCs w:val="28"/>
          <w:u w:val="single"/>
        </w:rPr>
      </w:pPr>
    </w:p>
    <w:p>
      <w:pPr>
        <w:keepNext w:val="0"/>
        <w:keepLines w:val="0"/>
        <w:pageBreakBefore w:val="0"/>
        <w:tabs>
          <w:tab w:val="left" w:pos="9000"/>
        </w:tabs>
        <w:kinsoku/>
        <w:wordWrap/>
        <w:overflowPunct/>
        <w:topLinePunct w:val="0"/>
        <w:autoSpaceDE/>
        <w:autoSpaceDN/>
        <w:bidi w:val="0"/>
        <w:adjustRightInd/>
        <w:snapToGrid/>
        <w:spacing w:line="578" w:lineRule="exact"/>
        <w:ind w:firstLine="1680" w:firstLineChars="600"/>
        <w:textAlignment w:val="auto"/>
        <w:rPr>
          <w:rFonts w:ascii="仿宋_GB2312" w:eastAsia="仿宋_GB2312"/>
          <w:bCs/>
          <w:sz w:val="28"/>
          <w:szCs w:val="28"/>
          <w:u w:val="single"/>
        </w:rPr>
      </w:pPr>
      <w:r>
        <w:rPr>
          <w:rFonts w:hint="eastAsia" w:ascii="仿宋_GB2312" w:hAnsi="宋体" w:eastAsia="仿宋_GB2312"/>
          <w:bCs/>
          <w:sz w:val="28"/>
          <w:szCs w:val="28"/>
        </w:rPr>
        <w:t>招标编号：</w:t>
      </w:r>
      <w:r>
        <w:rPr>
          <w:rFonts w:hint="eastAsia" w:ascii="仿宋_GB2312" w:hAnsi="宋体" w:eastAsia="仿宋_GB2312"/>
          <w:bCs/>
          <w:sz w:val="28"/>
          <w:szCs w:val="28"/>
          <w:lang w:val="en-US" w:eastAsia="zh-CN"/>
        </w:rPr>
        <w:t xml:space="preserve">    </w:t>
      </w:r>
      <w:r>
        <w:rPr>
          <w:rFonts w:hint="eastAsia" w:ascii="仿宋_GB2312" w:hAnsi="宋体" w:eastAsia="仿宋_GB2312"/>
          <w:bCs/>
          <w:sz w:val="28"/>
          <w:szCs w:val="28"/>
        </w:rPr>
        <w:t>JLGKXJ20240</w:t>
      </w:r>
      <w:r>
        <w:rPr>
          <w:rFonts w:ascii="仿宋_GB2312" w:hAnsi="宋体" w:eastAsia="仿宋_GB2312"/>
          <w:bCs/>
          <w:sz w:val="28"/>
          <w:szCs w:val="28"/>
        </w:rPr>
        <w:t>1</w:t>
      </w:r>
    </w:p>
    <w:p>
      <w:pPr>
        <w:keepNext w:val="0"/>
        <w:keepLines w:val="0"/>
        <w:pageBreakBefore w:val="0"/>
        <w:kinsoku/>
        <w:wordWrap/>
        <w:overflowPunct/>
        <w:topLinePunct w:val="0"/>
        <w:autoSpaceDE/>
        <w:autoSpaceDN/>
        <w:bidi w:val="0"/>
        <w:adjustRightInd/>
        <w:snapToGrid/>
        <w:spacing w:line="578" w:lineRule="exact"/>
        <w:ind w:firstLine="1700" w:firstLineChars="607"/>
        <w:textAlignment w:val="auto"/>
        <w:rPr>
          <w:rFonts w:ascii="仿宋_GB2312" w:eastAsia="仿宋_GB2312"/>
          <w:bCs/>
          <w:sz w:val="28"/>
          <w:szCs w:val="28"/>
          <w:u w:val="single"/>
        </w:rPr>
      </w:pPr>
      <w:r>
        <w:rPr>
          <w:rFonts w:hint="eastAsia" w:ascii="仿宋_GB2312" w:hAnsi="宋体" w:eastAsia="仿宋_GB2312"/>
          <w:bCs/>
          <w:sz w:val="28"/>
          <w:szCs w:val="28"/>
        </w:rPr>
        <w:t>项目名称</w:t>
      </w:r>
      <w:r>
        <w:rPr>
          <w:rFonts w:hint="eastAsia" w:ascii="仿宋_GB2312" w:eastAsia="仿宋_GB2312"/>
          <w:bCs/>
          <w:sz w:val="28"/>
          <w:szCs w:val="28"/>
        </w:rPr>
        <w:t>：</w:t>
      </w:r>
      <w:r>
        <w:rPr>
          <w:rFonts w:hint="eastAsia" w:ascii="仿宋_GB2312" w:eastAsia="仿宋_GB2312"/>
          <w:bCs/>
          <w:sz w:val="28"/>
          <w:szCs w:val="28"/>
          <w:lang w:val="en-US" w:eastAsia="zh-CN"/>
        </w:rPr>
        <w:t xml:space="preserve">    </w:t>
      </w:r>
      <w:r>
        <w:rPr>
          <w:rFonts w:hint="eastAsia" w:ascii="仿宋_GB2312" w:eastAsia="仿宋_GB2312"/>
          <w:bCs/>
          <w:sz w:val="28"/>
          <w:szCs w:val="28"/>
          <w:u w:val="single"/>
        </w:rPr>
        <w:t>2024年度吉林省省级国库现金管理商业</w:t>
      </w:r>
    </w:p>
    <w:p>
      <w:pPr>
        <w:keepNext w:val="0"/>
        <w:keepLines w:val="0"/>
        <w:pageBreakBefore w:val="0"/>
        <w:kinsoku/>
        <w:wordWrap/>
        <w:overflowPunct/>
        <w:topLinePunct w:val="0"/>
        <w:autoSpaceDE/>
        <w:autoSpaceDN/>
        <w:bidi w:val="0"/>
        <w:adjustRightInd/>
        <w:snapToGrid/>
        <w:spacing w:line="578" w:lineRule="exact"/>
        <w:ind w:left="611" w:leftChars="291" w:firstLine="3105" w:firstLineChars="1109"/>
        <w:textAlignment w:val="auto"/>
        <w:rPr>
          <w:rFonts w:ascii="仿宋_GB2312" w:eastAsia="仿宋_GB2312"/>
          <w:bCs/>
          <w:sz w:val="28"/>
          <w:szCs w:val="28"/>
          <w:u w:val="single"/>
        </w:rPr>
      </w:pPr>
      <w:r>
        <w:rPr>
          <w:rFonts w:hint="eastAsia" w:ascii="仿宋_GB2312" w:eastAsia="仿宋_GB2312"/>
          <w:bCs/>
          <w:sz w:val="28"/>
          <w:szCs w:val="28"/>
          <w:u w:val="single"/>
        </w:rPr>
        <w:t>银行定期存款（第一期）</w:t>
      </w:r>
    </w:p>
    <w:p>
      <w:pPr>
        <w:keepNext w:val="0"/>
        <w:keepLines w:val="0"/>
        <w:pageBreakBefore w:val="0"/>
        <w:kinsoku/>
        <w:wordWrap/>
        <w:overflowPunct/>
        <w:topLinePunct w:val="0"/>
        <w:autoSpaceDE/>
        <w:autoSpaceDN/>
        <w:bidi w:val="0"/>
        <w:adjustRightInd/>
        <w:snapToGrid/>
        <w:spacing w:line="578" w:lineRule="exact"/>
        <w:ind w:firstLine="1700" w:firstLineChars="607"/>
        <w:textAlignment w:val="auto"/>
        <w:rPr>
          <w:rFonts w:ascii="仿宋_GB2312" w:eastAsia="仿宋_GB2312"/>
          <w:bCs/>
          <w:sz w:val="28"/>
          <w:szCs w:val="28"/>
          <w:u w:val="single"/>
        </w:rPr>
      </w:pPr>
      <w:r>
        <w:rPr>
          <w:rFonts w:hint="eastAsia" w:ascii="仿宋_GB2312" w:hAnsi="宋体" w:eastAsia="仿宋_GB2312"/>
          <w:bCs/>
          <w:sz w:val="28"/>
          <w:szCs w:val="28"/>
        </w:rPr>
        <w:t>招标</w:t>
      </w:r>
      <w:r>
        <w:rPr>
          <w:rFonts w:hint="eastAsia" w:ascii="仿宋_GB2312" w:eastAsia="仿宋_GB2312"/>
          <w:bCs/>
          <w:sz w:val="28"/>
          <w:szCs w:val="28"/>
        </w:rPr>
        <w:t>实施机构：</w:t>
      </w:r>
      <w:r>
        <w:rPr>
          <w:rFonts w:hint="eastAsia" w:ascii="仿宋_GB2312" w:eastAsia="仿宋_GB2312"/>
          <w:bCs/>
          <w:sz w:val="28"/>
          <w:szCs w:val="28"/>
          <w:u w:val="single"/>
        </w:rPr>
        <w:t>吉林省财政厅 中国人民银行吉林省分行</w:t>
      </w:r>
    </w:p>
    <w:p>
      <w:pPr>
        <w:keepNext w:val="0"/>
        <w:keepLines w:val="0"/>
        <w:pageBreakBefore w:val="0"/>
        <w:kinsoku/>
        <w:wordWrap/>
        <w:overflowPunct/>
        <w:topLinePunct w:val="0"/>
        <w:autoSpaceDE/>
        <w:autoSpaceDN/>
        <w:bidi w:val="0"/>
        <w:adjustRightInd/>
        <w:snapToGrid/>
        <w:spacing w:line="578" w:lineRule="exact"/>
        <w:ind w:firstLine="1700" w:firstLineChars="607"/>
        <w:textAlignment w:val="auto"/>
        <w:rPr>
          <w:rFonts w:ascii="仿宋_GB2312" w:eastAsia="仿宋_GB2312"/>
          <w:bCs/>
          <w:sz w:val="28"/>
          <w:szCs w:val="28"/>
          <w:u w:val="single"/>
        </w:rPr>
      </w:pPr>
      <w:r>
        <w:rPr>
          <w:rFonts w:hint="eastAsia" w:ascii="仿宋_GB2312" w:hAnsi="宋体" w:eastAsia="仿宋_GB2312"/>
          <w:bCs/>
          <w:sz w:val="28"/>
          <w:szCs w:val="28"/>
        </w:rPr>
        <w:t>招标</w:t>
      </w:r>
      <w:r>
        <w:rPr>
          <w:rFonts w:hint="eastAsia" w:ascii="仿宋_GB2312" w:eastAsia="仿宋_GB2312"/>
          <w:bCs/>
          <w:sz w:val="28"/>
          <w:szCs w:val="28"/>
        </w:rPr>
        <w:t>代理机构：</w:t>
      </w:r>
      <w:r>
        <w:rPr>
          <w:rFonts w:hint="eastAsia" w:ascii="仿宋_GB2312" w:eastAsia="仿宋_GB2312"/>
          <w:bCs/>
          <w:sz w:val="28"/>
          <w:szCs w:val="28"/>
          <w:u w:val="single"/>
        </w:rPr>
        <w:t>中和德汇工程技术有限公司</w:t>
      </w:r>
    </w:p>
    <w:p>
      <w:pPr>
        <w:keepNext w:val="0"/>
        <w:keepLines w:val="0"/>
        <w:pageBreakBefore w:val="0"/>
        <w:kinsoku/>
        <w:wordWrap/>
        <w:overflowPunct/>
        <w:topLinePunct w:val="0"/>
        <w:autoSpaceDE/>
        <w:autoSpaceDN/>
        <w:bidi w:val="0"/>
        <w:adjustRightInd/>
        <w:snapToGrid/>
        <w:spacing w:line="578" w:lineRule="exact"/>
        <w:ind w:firstLine="1700" w:firstLineChars="607"/>
        <w:textAlignment w:val="auto"/>
        <w:rPr>
          <w:rFonts w:ascii="黑体" w:hAnsi="黑体" w:eastAsia="黑体"/>
          <w:sz w:val="32"/>
          <w:szCs w:val="32"/>
        </w:rPr>
      </w:pPr>
      <w:r>
        <w:rPr>
          <w:rFonts w:hint="eastAsia" w:ascii="仿宋_GB2312" w:hAnsi="宋体" w:eastAsia="仿宋_GB2312"/>
          <w:bCs/>
          <w:sz w:val="28"/>
          <w:szCs w:val="28"/>
        </w:rPr>
        <w:t>编制日期</w:t>
      </w:r>
      <w:r>
        <w:rPr>
          <w:rFonts w:hint="eastAsia" w:ascii="仿宋_GB2312" w:eastAsia="仿宋_GB2312"/>
          <w:bCs/>
          <w:sz w:val="28"/>
          <w:szCs w:val="28"/>
        </w:rPr>
        <w:t>：</w:t>
      </w:r>
      <w:r>
        <w:rPr>
          <w:rFonts w:hint="eastAsia" w:ascii="仿宋_GB2312" w:eastAsia="仿宋_GB2312"/>
          <w:bCs/>
          <w:sz w:val="28"/>
          <w:szCs w:val="28"/>
          <w:lang w:val="en-US" w:eastAsia="zh-CN"/>
        </w:rPr>
        <w:t xml:space="preserve">    </w:t>
      </w:r>
      <w:r>
        <w:rPr>
          <w:rFonts w:hint="eastAsia" w:ascii="仿宋_GB2312" w:eastAsia="仿宋_GB2312"/>
          <w:bCs/>
          <w:sz w:val="28"/>
          <w:szCs w:val="28"/>
          <w:u w:val="single"/>
        </w:rPr>
        <w:t>2024年1月</w:t>
      </w:r>
      <w:bookmarkStart w:id="0" w:name="_Toc454462763"/>
    </w:p>
    <w:p>
      <w:pPr>
        <w:keepNext w:val="0"/>
        <w:keepLines w:val="0"/>
        <w:pageBreakBefore w:val="0"/>
        <w:widowControl/>
        <w:kinsoku/>
        <w:wordWrap/>
        <w:overflowPunct/>
        <w:topLinePunct w:val="0"/>
        <w:autoSpaceDE/>
        <w:autoSpaceDN/>
        <w:bidi w:val="0"/>
        <w:adjustRightInd/>
        <w:snapToGrid/>
        <w:spacing w:line="578" w:lineRule="exact"/>
        <w:jc w:val="left"/>
        <w:textAlignment w:val="auto"/>
        <w:rPr>
          <w:rFonts w:ascii="黑体" w:hAnsi="黑体" w:eastAsia="黑体"/>
          <w:sz w:val="32"/>
          <w:szCs w:val="32"/>
        </w:rPr>
      </w:pPr>
      <w:r>
        <w:rPr>
          <w:rFonts w:ascii="黑体" w:hAnsi="黑体" w:eastAsia="黑体"/>
          <w:sz w:val="32"/>
          <w:szCs w:val="32"/>
        </w:rPr>
        <w:br w:type="page"/>
      </w:r>
    </w:p>
    <w:bookmarkEnd w:id="0"/>
    <w:p>
      <w:pPr>
        <w:keepNext w:val="0"/>
        <w:keepLines w:val="0"/>
        <w:pageBreakBefore w:val="0"/>
        <w:kinsoku/>
        <w:wordWrap/>
        <w:overflowPunct/>
        <w:topLinePunct w:val="0"/>
        <w:autoSpaceDE/>
        <w:autoSpaceDN/>
        <w:bidi w:val="0"/>
        <w:adjustRightInd/>
        <w:snapToGrid/>
        <w:spacing w:line="578" w:lineRule="exact"/>
        <w:jc w:val="center"/>
        <w:textAlignment w:val="auto"/>
        <w:rPr>
          <w:rFonts w:ascii="黑体" w:hAnsi="黑体" w:eastAsia="黑体"/>
          <w:sz w:val="32"/>
          <w:szCs w:val="32"/>
        </w:rPr>
      </w:pPr>
      <w:bookmarkStart w:id="1" w:name="_Toc454462764"/>
      <w:r>
        <w:rPr>
          <w:rFonts w:hint="eastAsia" w:ascii="黑体" w:hAnsi="黑体" w:eastAsia="黑体"/>
          <w:sz w:val="32"/>
          <w:szCs w:val="32"/>
        </w:rPr>
        <w:t>第一部分   招标公告</w:t>
      </w:r>
      <w:bookmarkEnd w:id="1"/>
    </w:p>
    <w:p>
      <w:pPr>
        <w:keepNext w:val="0"/>
        <w:keepLines w:val="0"/>
        <w:pageBreakBefore w:val="0"/>
        <w:kinsoku/>
        <w:wordWrap/>
        <w:overflowPunct/>
        <w:topLinePunct w:val="0"/>
        <w:autoSpaceDE/>
        <w:autoSpaceDN/>
        <w:bidi w:val="0"/>
        <w:adjustRightInd/>
        <w:snapToGrid/>
        <w:spacing w:line="578" w:lineRule="exact"/>
        <w:jc w:val="center"/>
        <w:textAlignment w:val="auto"/>
        <w:rPr>
          <w:rFonts w:ascii="仿宋" w:hAnsi="仿宋" w:eastAsia="仿宋"/>
          <w:sz w:val="32"/>
          <w:szCs w:val="32"/>
        </w:rPr>
      </w:pP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仿宋" w:hAnsi="仿宋" w:eastAsia="仿宋" w:cs="仿宋"/>
          <w:sz w:val="32"/>
          <w:szCs w:val="32"/>
        </w:rPr>
      </w:pPr>
      <w:bookmarkStart w:id="2" w:name="_Toc454462765"/>
      <w:r>
        <w:rPr>
          <w:rFonts w:hint="eastAsia" w:ascii="仿宋" w:hAnsi="仿宋" w:eastAsia="仿宋" w:cs="仿宋"/>
          <w:sz w:val="32"/>
          <w:szCs w:val="32"/>
        </w:rPr>
        <w:t>按照《吉林省省级国库现金管理实施细则》有关要求规定，决定对省级国库现金管理商业银行定期存款（第一期）项目进行招标，现将有关事项公告如下：</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一、招标项目概况</w:t>
      </w:r>
    </w:p>
    <w:p>
      <w:pPr>
        <w:keepNext w:val="0"/>
        <w:keepLines w:val="0"/>
        <w:pageBreakBefore w:val="0"/>
        <w:numPr>
          <w:ilvl w:val="0"/>
          <w:numId w:val="1"/>
        </w:numPr>
        <w:kinsoku/>
        <w:wordWrap/>
        <w:overflowPunct/>
        <w:topLinePunct w:val="0"/>
        <w:autoSpaceDE/>
        <w:autoSpaceDN/>
        <w:bidi w:val="0"/>
        <w:adjustRightInd/>
        <w:snapToGrid/>
        <w:spacing w:line="578"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招标编号：JLGKXJ202401</w:t>
      </w:r>
    </w:p>
    <w:p>
      <w:pPr>
        <w:keepNext w:val="0"/>
        <w:keepLines w:val="0"/>
        <w:pageBreakBefore w:val="0"/>
        <w:numPr>
          <w:ilvl w:val="0"/>
          <w:numId w:val="1"/>
        </w:numPr>
        <w:kinsoku/>
        <w:wordWrap/>
        <w:overflowPunct/>
        <w:topLinePunct w:val="0"/>
        <w:autoSpaceDE/>
        <w:autoSpaceDN/>
        <w:bidi w:val="0"/>
        <w:adjustRightInd/>
        <w:snapToGrid/>
        <w:spacing w:line="578"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项目内容</w:t>
      </w:r>
    </w:p>
    <w:p>
      <w:pPr>
        <w:keepNext w:val="0"/>
        <w:keepLines w:val="0"/>
        <w:pageBreakBefore w:val="0"/>
        <w:numPr>
          <w:ilvl w:val="0"/>
          <w:numId w:val="2"/>
        </w:numPr>
        <w:kinsoku/>
        <w:wordWrap/>
        <w:overflowPunct/>
        <w:topLinePunct w:val="0"/>
        <w:autoSpaceDE/>
        <w:autoSpaceDN/>
        <w:bidi w:val="0"/>
        <w:adjustRightInd/>
        <w:snapToGrid/>
        <w:spacing w:line="578"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项目名称和数量：2024年吉林省省级国库现金管理商业银行定期存款（第一期），存款额度为100亿元，操作工具为商业银行定期存款，期限为3个月定期。</w:t>
      </w:r>
    </w:p>
    <w:p>
      <w:pPr>
        <w:keepNext w:val="0"/>
        <w:keepLines w:val="0"/>
        <w:pageBreakBefore w:val="0"/>
        <w:numPr>
          <w:ilvl w:val="0"/>
          <w:numId w:val="2"/>
        </w:numPr>
        <w:kinsoku/>
        <w:wordWrap/>
        <w:overflowPunct/>
        <w:topLinePunct w:val="0"/>
        <w:autoSpaceDE/>
        <w:autoSpaceDN/>
        <w:bidi w:val="0"/>
        <w:adjustRightInd/>
        <w:snapToGrid/>
        <w:spacing w:line="578"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项目实施机构：吉林省财政厅、中国人民银行吉林省分行。</w:t>
      </w:r>
    </w:p>
    <w:p>
      <w:pPr>
        <w:keepNext w:val="0"/>
        <w:keepLines w:val="0"/>
        <w:pageBreakBefore w:val="0"/>
        <w:numPr>
          <w:ilvl w:val="0"/>
          <w:numId w:val="2"/>
        </w:numPr>
        <w:kinsoku/>
        <w:wordWrap/>
        <w:overflowPunct/>
        <w:topLinePunct w:val="0"/>
        <w:autoSpaceDE/>
        <w:autoSpaceDN/>
        <w:bidi w:val="0"/>
        <w:adjustRightInd/>
        <w:snapToGrid/>
        <w:spacing w:line="578"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项目代理机构：中和德汇工程技术有限公司。</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二、投标人资格</w:t>
      </w:r>
    </w:p>
    <w:p>
      <w:pPr>
        <w:keepNext w:val="0"/>
        <w:keepLines w:val="0"/>
        <w:pageBreakBefore w:val="0"/>
        <w:numPr>
          <w:ilvl w:val="0"/>
          <w:numId w:val="3"/>
        </w:numPr>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国有商业银行、</w:t>
      </w:r>
      <w:bookmarkStart w:id="49" w:name="_GoBack"/>
      <w:bookmarkEnd w:id="49"/>
      <w:r>
        <w:rPr>
          <w:rFonts w:hint="eastAsia" w:ascii="仿宋" w:hAnsi="仿宋" w:eastAsia="仿宋" w:cs="仿宋"/>
          <w:sz w:val="32"/>
          <w:szCs w:val="32"/>
        </w:rPr>
        <w:t>股份制商业银行和城市商业银行在长春市内的法人银行或省级分行。</w:t>
      </w:r>
    </w:p>
    <w:p>
      <w:pPr>
        <w:keepNext w:val="0"/>
        <w:keepLines w:val="0"/>
        <w:pageBreakBefore w:val="0"/>
        <w:numPr>
          <w:ilvl w:val="0"/>
          <w:numId w:val="3"/>
        </w:numPr>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依法开展经营活动，近3年内在经营活动中无重大违法记录。</w:t>
      </w:r>
    </w:p>
    <w:p>
      <w:pPr>
        <w:keepNext w:val="0"/>
        <w:keepLines w:val="0"/>
        <w:pageBreakBefore w:val="0"/>
        <w:numPr>
          <w:ilvl w:val="0"/>
          <w:numId w:val="3"/>
        </w:numPr>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财务稳健，资本充足率、不良贷款率、拨备覆盖率、流动性覆盖率、流动性比例等指标符合相关要求。</w:t>
      </w:r>
    </w:p>
    <w:p>
      <w:pPr>
        <w:keepNext w:val="0"/>
        <w:keepLines w:val="0"/>
        <w:pageBreakBefore w:val="0"/>
        <w:numPr>
          <w:ilvl w:val="0"/>
          <w:numId w:val="3"/>
        </w:numPr>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内部管理机制健全，具有较强的风险控制能力，近3年内未发生金融风险及重大违约事件。</w:t>
      </w:r>
    </w:p>
    <w:p>
      <w:pPr>
        <w:keepNext w:val="0"/>
        <w:keepLines w:val="0"/>
        <w:pageBreakBefore w:val="0"/>
        <w:numPr>
          <w:ilvl w:val="0"/>
          <w:numId w:val="3"/>
        </w:numPr>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不能满足要求的为无效投标，本次招标不接受联合体投标。</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三、招标文件信息发布</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招标公告（含招标文件）在“吉林省财政厅网站”、“中国人民银行吉林省分行网站”及“中国政府采购网”公布。有关本次招标的事项若存在变动或修改，请及时关注网站发布的更正公告。</w:t>
      </w:r>
    </w:p>
    <w:p>
      <w:pPr>
        <w:keepNext w:val="0"/>
        <w:keepLines w:val="0"/>
        <w:pageBreakBefore w:val="0"/>
        <w:numPr>
          <w:ilvl w:val="0"/>
          <w:numId w:val="4"/>
        </w:numPr>
        <w:tabs>
          <w:tab w:val="left" w:pos="8280"/>
        </w:tabs>
        <w:kinsoku/>
        <w:wordWrap/>
        <w:overflowPunct/>
        <w:topLinePunct w:val="0"/>
        <w:autoSpaceDE/>
        <w:autoSpaceDN/>
        <w:bidi w:val="0"/>
        <w:adjustRightInd/>
        <w:snapToGrid/>
        <w:spacing w:line="578"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标书获取</w:t>
      </w:r>
    </w:p>
    <w:p>
      <w:pPr>
        <w:keepNext w:val="0"/>
        <w:keepLines w:val="0"/>
        <w:pageBreakBefore w:val="0"/>
        <w:tabs>
          <w:tab w:val="left" w:pos="8280"/>
        </w:tabs>
        <w:kinsoku/>
        <w:wordWrap/>
        <w:overflowPunct/>
        <w:topLinePunct w:val="0"/>
        <w:autoSpaceDE/>
        <w:autoSpaceDN/>
        <w:bidi w:val="0"/>
        <w:adjustRightInd/>
        <w:snapToGrid/>
        <w:spacing w:line="578" w:lineRule="exact"/>
        <w:ind w:firstLine="640" w:firstLineChars="200"/>
        <w:textAlignment w:val="auto"/>
        <w:rPr>
          <w:rFonts w:ascii="黑体" w:hAnsi="黑体" w:eastAsia="黑体" w:cs="黑体"/>
          <w:sz w:val="32"/>
          <w:szCs w:val="32"/>
        </w:rPr>
      </w:pPr>
      <w:r>
        <w:rPr>
          <w:rFonts w:hint="eastAsia" w:ascii="仿宋" w:hAnsi="仿宋" w:eastAsia="仿宋" w:cs="仿宋"/>
          <w:sz w:val="32"/>
          <w:szCs w:val="32"/>
        </w:rPr>
        <w:t>有意愿参加投标者，请及时从“吉林省财政厅网站”、“中国人民银行吉林省分行网站”及“中国政府采购网”下载招标文件，并按文件要求填报相关资料。如未按上述要求执行，自行承担所产生的风险。</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五、投标文件递交</w:t>
      </w:r>
    </w:p>
    <w:p>
      <w:pPr>
        <w:keepNext w:val="0"/>
        <w:keepLines w:val="0"/>
        <w:pageBreakBefore w:val="0"/>
        <w:tabs>
          <w:tab w:val="left" w:pos="8280"/>
        </w:tabs>
        <w:kinsoku/>
        <w:wordWrap/>
        <w:overflowPunct/>
        <w:topLinePunct w:val="0"/>
        <w:autoSpaceDE/>
        <w:autoSpaceDN/>
        <w:bidi w:val="0"/>
        <w:adjustRightInd/>
        <w:snapToGrid/>
        <w:spacing w:line="578" w:lineRule="exact"/>
        <w:ind w:firstLine="643" w:firstLineChars="200"/>
        <w:textAlignment w:val="auto"/>
        <w:rPr>
          <w:rFonts w:ascii="仿宋" w:hAnsi="仿宋" w:eastAsia="仿宋"/>
          <w:sz w:val="32"/>
          <w:szCs w:val="32"/>
        </w:rPr>
      </w:pPr>
      <w:r>
        <w:rPr>
          <w:rFonts w:hint="eastAsia" w:ascii="仿宋" w:hAnsi="仿宋" w:eastAsia="仿宋"/>
          <w:b/>
          <w:sz w:val="32"/>
          <w:szCs w:val="32"/>
        </w:rPr>
        <w:t>投标时间：</w:t>
      </w:r>
      <w:r>
        <w:rPr>
          <w:rFonts w:hint="eastAsia" w:ascii="仿宋" w:hAnsi="仿宋" w:eastAsia="仿宋" w:cs="宋体"/>
          <w:kern w:val="0"/>
          <w:sz w:val="32"/>
          <w:szCs w:val="32"/>
        </w:rPr>
        <w:t>2024年2月6日上午9时00分至</w:t>
      </w:r>
      <w:r>
        <w:rPr>
          <w:rFonts w:ascii="仿宋" w:hAnsi="仿宋" w:eastAsia="仿宋" w:cs="宋体"/>
          <w:kern w:val="0"/>
          <w:sz w:val="32"/>
          <w:szCs w:val="32"/>
        </w:rPr>
        <w:t>9</w:t>
      </w:r>
      <w:r>
        <w:rPr>
          <w:rFonts w:hint="eastAsia" w:ascii="仿宋" w:hAnsi="仿宋" w:eastAsia="仿宋" w:cs="宋体"/>
          <w:kern w:val="0"/>
          <w:sz w:val="32"/>
          <w:szCs w:val="32"/>
        </w:rPr>
        <w:t>时30分</w:t>
      </w:r>
      <w:r>
        <w:rPr>
          <w:rFonts w:hint="eastAsia" w:ascii="仿宋" w:hAnsi="仿宋" w:eastAsia="仿宋"/>
          <w:sz w:val="32"/>
          <w:szCs w:val="32"/>
        </w:rPr>
        <w:t>（北京时间）。</w:t>
      </w:r>
    </w:p>
    <w:p>
      <w:pPr>
        <w:keepNext w:val="0"/>
        <w:keepLines w:val="0"/>
        <w:pageBreakBefore w:val="0"/>
        <w:tabs>
          <w:tab w:val="left" w:pos="8280"/>
        </w:tabs>
        <w:kinsoku/>
        <w:wordWrap/>
        <w:overflowPunct/>
        <w:topLinePunct w:val="0"/>
        <w:autoSpaceDE/>
        <w:autoSpaceDN/>
        <w:bidi w:val="0"/>
        <w:adjustRightInd/>
        <w:snapToGrid/>
        <w:spacing w:line="578" w:lineRule="exact"/>
        <w:ind w:firstLine="643" w:firstLineChars="200"/>
        <w:textAlignment w:val="auto"/>
        <w:rPr>
          <w:rFonts w:ascii="仿宋" w:hAnsi="仿宋" w:eastAsia="仿宋"/>
          <w:sz w:val="32"/>
          <w:szCs w:val="32"/>
        </w:rPr>
      </w:pPr>
      <w:r>
        <w:rPr>
          <w:rFonts w:hint="eastAsia" w:ascii="仿宋" w:hAnsi="仿宋" w:eastAsia="仿宋"/>
          <w:b/>
          <w:bCs/>
          <w:sz w:val="32"/>
          <w:szCs w:val="32"/>
        </w:rPr>
        <w:t>投标截止时间：</w:t>
      </w:r>
      <w:r>
        <w:rPr>
          <w:rFonts w:hint="eastAsia" w:ascii="仿宋" w:hAnsi="仿宋" w:eastAsia="仿宋" w:cs="宋体"/>
          <w:kern w:val="0"/>
          <w:sz w:val="32"/>
          <w:szCs w:val="32"/>
        </w:rPr>
        <w:t>2024年2月6日上午</w:t>
      </w:r>
      <w:r>
        <w:rPr>
          <w:rFonts w:ascii="仿宋" w:hAnsi="仿宋" w:eastAsia="仿宋" w:cs="宋体"/>
          <w:kern w:val="0"/>
          <w:sz w:val="32"/>
          <w:szCs w:val="32"/>
        </w:rPr>
        <w:t>9</w:t>
      </w:r>
      <w:r>
        <w:rPr>
          <w:rFonts w:hint="eastAsia" w:ascii="仿宋" w:hAnsi="仿宋" w:eastAsia="仿宋" w:cs="宋体"/>
          <w:kern w:val="0"/>
          <w:sz w:val="32"/>
          <w:szCs w:val="32"/>
        </w:rPr>
        <w:t>时30分</w:t>
      </w:r>
      <w:r>
        <w:rPr>
          <w:rFonts w:hint="eastAsia" w:ascii="仿宋" w:hAnsi="仿宋" w:eastAsia="仿宋"/>
          <w:sz w:val="32"/>
          <w:szCs w:val="32"/>
        </w:rPr>
        <w:t>（北京时间）。</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六、开标时间及地点</w:t>
      </w:r>
    </w:p>
    <w:p>
      <w:pPr>
        <w:keepNext w:val="0"/>
        <w:keepLines w:val="0"/>
        <w:pageBreakBefore w:val="0"/>
        <w:tabs>
          <w:tab w:val="left" w:pos="8280"/>
        </w:tabs>
        <w:kinsoku/>
        <w:wordWrap/>
        <w:overflowPunct/>
        <w:topLinePunct w:val="0"/>
        <w:autoSpaceDE/>
        <w:autoSpaceDN/>
        <w:bidi w:val="0"/>
        <w:adjustRightInd/>
        <w:snapToGrid/>
        <w:spacing w:line="578" w:lineRule="exact"/>
        <w:ind w:firstLine="643" w:firstLineChars="200"/>
        <w:textAlignment w:val="auto"/>
        <w:rPr>
          <w:rFonts w:ascii="仿宋" w:hAnsi="仿宋" w:eastAsia="仿宋"/>
          <w:sz w:val="32"/>
          <w:szCs w:val="32"/>
        </w:rPr>
      </w:pPr>
      <w:r>
        <w:rPr>
          <w:rFonts w:hint="eastAsia" w:ascii="仿宋" w:hAnsi="仿宋" w:eastAsia="仿宋"/>
          <w:b/>
          <w:sz w:val="32"/>
          <w:szCs w:val="32"/>
        </w:rPr>
        <w:t>开标时间：</w:t>
      </w:r>
      <w:r>
        <w:rPr>
          <w:rFonts w:hint="eastAsia" w:ascii="仿宋" w:hAnsi="仿宋" w:eastAsia="仿宋" w:cs="宋体"/>
          <w:kern w:val="0"/>
          <w:sz w:val="32"/>
          <w:szCs w:val="32"/>
        </w:rPr>
        <w:t>2024年2月6日上午</w:t>
      </w:r>
      <w:r>
        <w:rPr>
          <w:rFonts w:ascii="仿宋" w:hAnsi="仿宋" w:eastAsia="仿宋" w:cs="宋体"/>
          <w:kern w:val="0"/>
          <w:sz w:val="32"/>
          <w:szCs w:val="32"/>
        </w:rPr>
        <w:t>9</w:t>
      </w:r>
      <w:r>
        <w:rPr>
          <w:rFonts w:hint="eastAsia" w:ascii="仿宋" w:hAnsi="仿宋" w:eastAsia="仿宋" w:cs="宋体"/>
          <w:kern w:val="0"/>
          <w:sz w:val="32"/>
          <w:szCs w:val="32"/>
        </w:rPr>
        <w:t>时30分</w:t>
      </w:r>
      <w:r>
        <w:rPr>
          <w:rFonts w:hint="eastAsia" w:ascii="仿宋" w:hAnsi="仿宋" w:eastAsia="仿宋"/>
          <w:sz w:val="32"/>
          <w:szCs w:val="32"/>
        </w:rPr>
        <w:t>（北京时间）。</w:t>
      </w:r>
    </w:p>
    <w:p>
      <w:pPr>
        <w:keepNext w:val="0"/>
        <w:keepLines w:val="0"/>
        <w:pageBreakBefore w:val="0"/>
        <w:kinsoku/>
        <w:wordWrap/>
        <w:overflowPunct/>
        <w:topLinePunct w:val="0"/>
        <w:autoSpaceDE/>
        <w:autoSpaceDN/>
        <w:bidi w:val="0"/>
        <w:adjustRightInd/>
        <w:snapToGrid/>
        <w:spacing w:line="578" w:lineRule="exact"/>
        <w:ind w:firstLine="643" w:firstLineChars="200"/>
        <w:textAlignment w:val="auto"/>
        <w:rPr>
          <w:rFonts w:ascii="仿宋" w:hAnsi="仿宋" w:eastAsia="仿宋"/>
          <w:bCs/>
          <w:sz w:val="32"/>
          <w:szCs w:val="32"/>
        </w:rPr>
      </w:pPr>
      <w:r>
        <w:rPr>
          <w:rFonts w:hint="eastAsia" w:ascii="仿宋" w:hAnsi="仿宋" w:eastAsia="仿宋"/>
          <w:b/>
          <w:sz w:val="32"/>
          <w:szCs w:val="32"/>
        </w:rPr>
        <w:t>开标地点：</w:t>
      </w:r>
      <w:r>
        <w:rPr>
          <w:rFonts w:hint="eastAsia" w:ascii="仿宋" w:hAnsi="仿宋" w:eastAsia="仿宋"/>
          <w:bCs/>
          <w:sz w:val="32"/>
          <w:szCs w:val="32"/>
        </w:rPr>
        <w:t>东北亚国际金融中心（人民大街与谊民路交汇东行100米）3号楼吉利招标公共资源标准化交易平台1楼（从东门进入）第三开标室。</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七、中标信息发布</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在“吉林省财政厅网站”、“中国人民银行吉林省分行网站”及“中国政府采购网”公布。上述安排如有变动，将另行告知，请及时关注网站发布的更正公告。</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八、联系方式</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项目代理机构：中和德汇工程技术有限公司</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仿宋" w:hAnsi="仿宋" w:eastAsia="仿宋"/>
          <w:bCs/>
          <w:sz w:val="32"/>
          <w:szCs w:val="32"/>
        </w:rPr>
      </w:pPr>
      <w:r>
        <w:rPr>
          <w:rFonts w:hint="eastAsia" w:ascii="仿宋" w:hAnsi="仿宋" w:eastAsia="仿宋"/>
          <w:sz w:val="32"/>
          <w:szCs w:val="32"/>
        </w:rPr>
        <w:t>地址：吉林省朝阳区清华路君子大厦三楼</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仿宋" w:hAnsi="仿宋" w:eastAsia="仿宋"/>
          <w:sz w:val="32"/>
          <w:szCs w:val="32"/>
        </w:rPr>
      </w:pPr>
      <w:r>
        <w:rPr>
          <w:rFonts w:hint="eastAsia" w:ascii="仿宋" w:hAnsi="仿宋" w:eastAsia="仿宋"/>
          <w:sz w:val="32"/>
          <w:szCs w:val="32"/>
        </w:rPr>
        <w:t>联系人：杜女士</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仿宋" w:hAnsi="仿宋" w:eastAsia="仿宋"/>
          <w:sz w:val="32"/>
          <w:szCs w:val="32"/>
        </w:rPr>
      </w:pPr>
      <w:r>
        <w:rPr>
          <w:rFonts w:hint="eastAsia" w:ascii="仿宋" w:hAnsi="仿宋" w:eastAsia="仿宋"/>
          <w:sz w:val="32"/>
          <w:szCs w:val="32"/>
        </w:rPr>
        <w:t>电话：0431-84769499</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仿宋" w:hAnsi="仿宋" w:eastAsia="仿宋" w:cs="仿宋"/>
          <w:sz w:val="32"/>
          <w:szCs w:val="32"/>
        </w:rPr>
      </w:pPr>
    </w:p>
    <w:p>
      <w:pPr>
        <w:keepNext w:val="0"/>
        <w:keepLines w:val="0"/>
        <w:pageBreakBefore w:val="0"/>
        <w:tabs>
          <w:tab w:val="left" w:pos="8280"/>
        </w:tabs>
        <w:kinsoku/>
        <w:wordWrap/>
        <w:overflowPunct/>
        <w:topLinePunct w:val="0"/>
        <w:autoSpaceDE/>
        <w:autoSpaceDN/>
        <w:bidi w:val="0"/>
        <w:adjustRightInd/>
        <w:snapToGrid/>
        <w:spacing w:line="578" w:lineRule="exact"/>
        <w:ind w:firstLine="640" w:firstLineChars="200"/>
        <w:textAlignment w:val="auto"/>
        <w:rPr>
          <w:rFonts w:ascii="仿宋" w:hAnsi="仿宋" w:eastAsia="仿宋"/>
          <w:sz w:val="32"/>
          <w:szCs w:val="32"/>
        </w:rPr>
      </w:pPr>
      <w:r>
        <w:rPr>
          <w:rFonts w:ascii="仿宋" w:hAnsi="仿宋" w:eastAsia="仿宋"/>
          <w:sz w:val="32"/>
          <w:szCs w:val="32"/>
        </w:rPr>
        <w:br w:type="page"/>
      </w:r>
    </w:p>
    <w:p>
      <w:pPr>
        <w:keepNext w:val="0"/>
        <w:keepLines w:val="0"/>
        <w:pageBreakBefore w:val="0"/>
        <w:tabs>
          <w:tab w:val="left" w:pos="8280"/>
        </w:tabs>
        <w:kinsoku/>
        <w:wordWrap/>
        <w:overflowPunct/>
        <w:topLinePunct w:val="0"/>
        <w:autoSpaceDE/>
        <w:autoSpaceDN/>
        <w:bidi w:val="0"/>
        <w:adjustRightInd/>
        <w:snapToGrid/>
        <w:spacing w:line="578" w:lineRule="exact"/>
        <w:jc w:val="center"/>
        <w:textAlignment w:val="auto"/>
        <w:rPr>
          <w:rFonts w:ascii="黑体" w:hAnsi="黑体" w:eastAsia="黑体"/>
          <w:sz w:val="32"/>
          <w:szCs w:val="32"/>
        </w:rPr>
      </w:pPr>
      <w:r>
        <w:rPr>
          <w:rFonts w:hint="eastAsia" w:ascii="黑体" w:hAnsi="黑体" w:eastAsia="黑体"/>
          <w:sz w:val="32"/>
          <w:szCs w:val="32"/>
        </w:rPr>
        <w:t>第二部分    投标人须知</w:t>
      </w:r>
      <w:bookmarkEnd w:id="2"/>
    </w:p>
    <w:p>
      <w:pPr>
        <w:keepNext w:val="0"/>
        <w:keepLines w:val="0"/>
        <w:pageBreakBefore w:val="0"/>
        <w:tabs>
          <w:tab w:val="left" w:pos="8280"/>
        </w:tabs>
        <w:kinsoku/>
        <w:wordWrap/>
        <w:overflowPunct/>
        <w:topLinePunct w:val="0"/>
        <w:autoSpaceDE/>
        <w:autoSpaceDN/>
        <w:bidi w:val="0"/>
        <w:adjustRightInd/>
        <w:snapToGrid/>
        <w:spacing w:line="578" w:lineRule="exact"/>
        <w:jc w:val="center"/>
        <w:textAlignment w:val="auto"/>
        <w:rPr>
          <w:rFonts w:ascii="黑体" w:hAnsi="黑体" w:eastAsia="黑体"/>
          <w:b/>
          <w:sz w:val="32"/>
          <w:szCs w:val="32"/>
        </w:rPr>
      </w:pPr>
    </w:p>
    <w:p>
      <w:pPr>
        <w:keepNext w:val="0"/>
        <w:keepLines w:val="0"/>
        <w:pageBreakBefore w:val="0"/>
        <w:tabs>
          <w:tab w:val="left" w:pos="8280"/>
        </w:tabs>
        <w:kinsoku/>
        <w:wordWrap/>
        <w:overflowPunct/>
        <w:topLinePunct w:val="0"/>
        <w:autoSpaceDE/>
        <w:autoSpaceDN/>
        <w:bidi w:val="0"/>
        <w:adjustRightInd/>
        <w:snapToGrid/>
        <w:spacing w:line="578" w:lineRule="exact"/>
        <w:ind w:firstLine="710" w:firstLineChars="221"/>
        <w:textAlignment w:val="auto"/>
        <w:rPr>
          <w:rFonts w:ascii="仿宋" w:hAnsi="仿宋" w:eastAsia="仿宋"/>
          <w:b/>
          <w:sz w:val="32"/>
          <w:szCs w:val="32"/>
        </w:rPr>
      </w:pPr>
      <w:r>
        <w:rPr>
          <w:rFonts w:hint="eastAsia" w:ascii="仿宋" w:hAnsi="仿宋" w:eastAsia="仿宋"/>
          <w:b/>
          <w:sz w:val="32"/>
          <w:szCs w:val="32"/>
        </w:rPr>
        <w:t>一、基本说明</w:t>
      </w:r>
    </w:p>
    <w:p>
      <w:pPr>
        <w:keepNext w:val="0"/>
        <w:keepLines w:val="0"/>
        <w:pageBreakBefore w:val="0"/>
        <w:tabs>
          <w:tab w:val="left" w:pos="8280"/>
        </w:tabs>
        <w:kinsoku/>
        <w:wordWrap/>
        <w:overflowPunct/>
        <w:topLinePunct w:val="0"/>
        <w:autoSpaceDE/>
        <w:autoSpaceDN/>
        <w:bidi w:val="0"/>
        <w:adjustRightInd/>
        <w:snapToGrid/>
        <w:spacing w:line="578" w:lineRule="exact"/>
        <w:ind w:firstLine="707" w:firstLineChars="221"/>
        <w:textAlignment w:val="auto"/>
        <w:rPr>
          <w:rFonts w:ascii="仿宋" w:hAnsi="仿宋" w:eastAsia="仿宋"/>
          <w:sz w:val="32"/>
          <w:szCs w:val="32"/>
        </w:rPr>
      </w:pPr>
      <w:r>
        <w:rPr>
          <w:rFonts w:hint="eastAsia" w:ascii="仿宋" w:hAnsi="仿宋" w:eastAsia="仿宋"/>
          <w:sz w:val="32"/>
          <w:szCs w:val="32"/>
        </w:rPr>
        <w:t>1．“投标人”系指向招标代理机构提交投标文件的各商业银行。</w:t>
      </w:r>
    </w:p>
    <w:p>
      <w:pPr>
        <w:keepNext w:val="0"/>
        <w:keepLines w:val="0"/>
        <w:pageBreakBefore w:val="0"/>
        <w:tabs>
          <w:tab w:val="left" w:pos="8280"/>
        </w:tabs>
        <w:kinsoku/>
        <w:wordWrap/>
        <w:overflowPunct/>
        <w:topLinePunct w:val="0"/>
        <w:autoSpaceDE/>
        <w:autoSpaceDN/>
        <w:bidi w:val="0"/>
        <w:adjustRightInd/>
        <w:snapToGrid/>
        <w:spacing w:line="578" w:lineRule="exact"/>
        <w:ind w:firstLine="707" w:firstLineChars="221"/>
        <w:textAlignment w:val="auto"/>
        <w:rPr>
          <w:rFonts w:ascii="仿宋" w:hAnsi="仿宋" w:eastAsia="仿宋"/>
          <w:sz w:val="32"/>
          <w:szCs w:val="32"/>
        </w:rPr>
      </w:pPr>
      <w:r>
        <w:rPr>
          <w:rFonts w:hint="eastAsia" w:ascii="仿宋" w:hAnsi="仿宋" w:eastAsia="仿宋"/>
          <w:sz w:val="32"/>
          <w:szCs w:val="32"/>
        </w:rPr>
        <w:t>2．投标人必须由法定代表人或法定代表人授权的委托代理人参加开标会，参加投标时法定代表人或法定代表人授权的委托代理人必须携带有效身份证件。评标期间，投标人法定代表人或法定代表人授权的委托代理人不应远离开标现场，以备评委质询；若投标人法定代表人或委托代理人不在现场，由此造成的损失由投标人自负。</w:t>
      </w:r>
    </w:p>
    <w:p>
      <w:pPr>
        <w:keepNext w:val="0"/>
        <w:keepLines w:val="0"/>
        <w:pageBreakBefore w:val="0"/>
        <w:tabs>
          <w:tab w:val="left" w:pos="8280"/>
        </w:tabs>
        <w:kinsoku/>
        <w:wordWrap/>
        <w:overflowPunct/>
        <w:topLinePunct w:val="0"/>
        <w:autoSpaceDE/>
        <w:autoSpaceDN/>
        <w:bidi w:val="0"/>
        <w:adjustRightInd/>
        <w:snapToGrid/>
        <w:spacing w:line="578" w:lineRule="exact"/>
        <w:ind w:firstLine="710" w:firstLineChars="221"/>
        <w:textAlignment w:val="auto"/>
        <w:rPr>
          <w:rFonts w:ascii="仿宋" w:hAnsi="仿宋" w:eastAsia="仿宋"/>
          <w:b/>
          <w:bCs/>
          <w:sz w:val="32"/>
          <w:szCs w:val="32"/>
        </w:rPr>
      </w:pPr>
      <w:r>
        <w:rPr>
          <w:rFonts w:hint="eastAsia" w:ascii="仿宋" w:hAnsi="仿宋" w:eastAsia="仿宋"/>
          <w:b/>
          <w:sz w:val="32"/>
          <w:szCs w:val="32"/>
        </w:rPr>
        <w:t>二、招标文件说明</w:t>
      </w:r>
    </w:p>
    <w:p>
      <w:pPr>
        <w:keepNext w:val="0"/>
        <w:keepLines w:val="0"/>
        <w:pageBreakBefore w:val="0"/>
        <w:tabs>
          <w:tab w:val="left" w:pos="8280"/>
        </w:tabs>
        <w:kinsoku/>
        <w:wordWrap/>
        <w:overflowPunct/>
        <w:topLinePunct w:val="0"/>
        <w:autoSpaceDE/>
        <w:autoSpaceDN/>
        <w:bidi w:val="0"/>
        <w:adjustRightInd/>
        <w:snapToGrid/>
        <w:spacing w:line="578" w:lineRule="exact"/>
        <w:ind w:firstLine="707" w:firstLineChars="221"/>
        <w:textAlignment w:val="auto"/>
        <w:outlineLvl w:val="0"/>
        <w:rPr>
          <w:rFonts w:ascii="仿宋" w:hAnsi="仿宋" w:eastAsia="仿宋"/>
          <w:sz w:val="32"/>
          <w:szCs w:val="32"/>
        </w:rPr>
      </w:pPr>
      <w:bookmarkStart w:id="3" w:name="_Toc454461382"/>
      <w:bookmarkStart w:id="4" w:name="_Toc454462766"/>
      <w:bookmarkStart w:id="5" w:name="_Toc454460848"/>
      <w:r>
        <w:rPr>
          <w:rFonts w:hint="eastAsia" w:ascii="仿宋" w:hAnsi="仿宋" w:eastAsia="仿宋"/>
          <w:sz w:val="32"/>
          <w:szCs w:val="32"/>
        </w:rPr>
        <w:t>投标人应认真阅读招标文件中所有的事项、格式、条款和规范等要求。如果没有按照招标文件要求提交全部资料或者投标文件没有对招标文件做出实质性响应，该投标有可能被拒绝，其风险应由投标人自行承担。</w:t>
      </w:r>
      <w:bookmarkEnd w:id="3"/>
      <w:bookmarkEnd w:id="4"/>
      <w:bookmarkEnd w:id="5"/>
    </w:p>
    <w:p>
      <w:pPr>
        <w:keepNext w:val="0"/>
        <w:keepLines w:val="0"/>
        <w:pageBreakBefore w:val="0"/>
        <w:tabs>
          <w:tab w:val="left" w:pos="8280"/>
        </w:tabs>
        <w:kinsoku/>
        <w:wordWrap/>
        <w:overflowPunct/>
        <w:topLinePunct w:val="0"/>
        <w:autoSpaceDE/>
        <w:autoSpaceDN/>
        <w:bidi w:val="0"/>
        <w:adjustRightInd/>
        <w:snapToGrid/>
        <w:spacing w:line="578" w:lineRule="exact"/>
        <w:ind w:firstLine="707" w:firstLineChars="221"/>
        <w:textAlignment w:val="auto"/>
        <w:rPr>
          <w:rFonts w:ascii="仿宋" w:hAnsi="仿宋" w:eastAsia="仿宋"/>
          <w:sz w:val="32"/>
          <w:szCs w:val="32"/>
        </w:rPr>
      </w:pPr>
      <w:r>
        <w:rPr>
          <w:rFonts w:hint="eastAsia" w:ascii="仿宋" w:hAnsi="仿宋" w:eastAsia="仿宋"/>
          <w:sz w:val="32"/>
          <w:szCs w:val="32"/>
        </w:rPr>
        <w:t>1.招标文件的澄清：任何要求澄清招标文件的投标人，均应在投标截止时间3日前以书面形式通知招标代理机构。招标代理机构将以书面形式予以答复，答复中只包括澄清问题，不包括问题的来源。</w:t>
      </w:r>
    </w:p>
    <w:p>
      <w:pPr>
        <w:pStyle w:val="5"/>
        <w:keepNext w:val="0"/>
        <w:keepLines w:val="0"/>
        <w:pageBreakBefore w:val="0"/>
        <w:kinsoku/>
        <w:wordWrap/>
        <w:overflowPunct/>
        <w:topLinePunct w:val="0"/>
        <w:autoSpaceDE/>
        <w:autoSpaceDN/>
        <w:bidi w:val="0"/>
        <w:adjustRightInd/>
        <w:snapToGrid/>
        <w:spacing w:line="578" w:lineRule="exact"/>
        <w:ind w:firstLine="707" w:firstLineChars="221"/>
        <w:textAlignment w:val="auto"/>
        <w:rPr>
          <w:rFonts w:ascii="仿宋" w:hAnsi="仿宋" w:eastAsia="仿宋"/>
          <w:sz w:val="32"/>
          <w:szCs w:val="32"/>
        </w:rPr>
      </w:pPr>
      <w:r>
        <w:rPr>
          <w:rFonts w:hint="eastAsia" w:ascii="仿宋" w:hAnsi="仿宋" w:eastAsia="仿宋"/>
          <w:sz w:val="32"/>
          <w:szCs w:val="32"/>
        </w:rPr>
        <w:t>2.招标文件的修改</w:t>
      </w:r>
    </w:p>
    <w:p>
      <w:pPr>
        <w:pStyle w:val="5"/>
        <w:keepNext w:val="0"/>
        <w:keepLines w:val="0"/>
        <w:pageBreakBefore w:val="0"/>
        <w:kinsoku/>
        <w:wordWrap/>
        <w:overflowPunct/>
        <w:topLinePunct w:val="0"/>
        <w:autoSpaceDE/>
        <w:autoSpaceDN/>
        <w:bidi w:val="0"/>
        <w:adjustRightInd/>
        <w:snapToGrid/>
        <w:spacing w:line="578" w:lineRule="exact"/>
        <w:ind w:firstLine="707" w:firstLineChars="221"/>
        <w:textAlignment w:val="auto"/>
        <w:rPr>
          <w:rFonts w:ascii="仿宋" w:hAnsi="仿宋" w:eastAsia="仿宋"/>
          <w:sz w:val="32"/>
          <w:szCs w:val="32"/>
        </w:rPr>
      </w:pPr>
      <w:r>
        <w:rPr>
          <w:rFonts w:hint="eastAsia" w:ascii="仿宋" w:hAnsi="仿宋" w:eastAsia="仿宋"/>
          <w:sz w:val="32"/>
          <w:szCs w:val="32"/>
        </w:rPr>
        <w:t>2.1招标截止时间1日前，招标代理机构可对招标文件进行修改。</w:t>
      </w:r>
    </w:p>
    <w:p>
      <w:pPr>
        <w:pStyle w:val="5"/>
        <w:keepNext w:val="0"/>
        <w:keepLines w:val="0"/>
        <w:pageBreakBefore w:val="0"/>
        <w:kinsoku/>
        <w:wordWrap/>
        <w:overflowPunct/>
        <w:topLinePunct w:val="0"/>
        <w:autoSpaceDE/>
        <w:autoSpaceDN/>
        <w:bidi w:val="0"/>
        <w:adjustRightInd/>
        <w:snapToGrid/>
        <w:spacing w:line="578" w:lineRule="exact"/>
        <w:ind w:firstLine="707" w:firstLineChars="221"/>
        <w:textAlignment w:val="auto"/>
        <w:rPr>
          <w:rFonts w:ascii="仿宋" w:hAnsi="仿宋" w:eastAsia="仿宋"/>
          <w:sz w:val="32"/>
          <w:szCs w:val="32"/>
        </w:rPr>
      </w:pPr>
      <w:r>
        <w:rPr>
          <w:rFonts w:hint="eastAsia" w:ascii="仿宋" w:hAnsi="仿宋" w:eastAsia="仿宋"/>
          <w:sz w:val="32"/>
          <w:szCs w:val="32"/>
        </w:rPr>
        <w:t>2.2招标文件的修改将以书面形式通知所有投标人，并对他们具有约束力。</w:t>
      </w:r>
    </w:p>
    <w:p>
      <w:pPr>
        <w:keepNext w:val="0"/>
        <w:keepLines w:val="0"/>
        <w:pageBreakBefore w:val="0"/>
        <w:tabs>
          <w:tab w:val="left" w:pos="8280"/>
        </w:tabs>
        <w:kinsoku/>
        <w:wordWrap/>
        <w:overflowPunct/>
        <w:topLinePunct w:val="0"/>
        <w:autoSpaceDE/>
        <w:autoSpaceDN/>
        <w:bidi w:val="0"/>
        <w:adjustRightInd/>
        <w:snapToGrid/>
        <w:spacing w:line="578" w:lineRule="exact"/>
        <w:ind w:firstLine="707" w:firstLineChars="221"/>
        <w:textAlignment w:val="auto"/>
        <w:outlineLvl w:val="0"/>
        <w:rPr>
          <w:rFonts w:ascii="仿宋" w:hAnsi="仿宋" w:eastAsia="仿宋"/>
          <w:sz w:val="32"/>
          <w:szCs w:val="32"/>
        </w:rPr>
      </w:pPr>
      <w:bookmarkStart w:id="6" w:name="_Toc454460849"/>
      <w:bookmarkStart w:id="7" w:name="_Toc454462767"/>
      <w:bookmarkStart w:id="8" w:name="_Toc454461383"/>
      <w:r>
        <w:rPr>
          <w:rFonts w:hint="eastAsia" w:ascii="仿宋" w:hAnsi="仿宋" w:eastAsia="仿宋"/>
          <w:sz w:val="32"/>
          <w:szCs w:val="32"/>
        </w:rPr>
        <w:t>2.3招标截止时间1日前，招标代理机构可视具体情况，延长投标截止时间和开标日期，并将变更时间通知所有招标文件收受人。</w:t>
      </w:r>
      <w:bookmarkEnd w:id="6"/>
      <w:bookmarkEnd w:id="7"/>
      <w:bookmarkEnd w:id="8"/>
    </w:p>
    <w:p>
      <w:pPr>
        <w:keepNext w:val="0"/>
        <w:keepLines w:val="0"/>
        <w:pageBreakBefore w:val="0"/>
        <w:tabs>
          <w:tab w:val="left" w:pos="8280"/>
        </w:tabs>
        <w:kinsoku/>
        <w:wordWrap/>
        <w:overflowPunct/>
        <w:topLinePunct w:val="0"/>
        <w:autoSpaceDE/>
        <w:autoSpaceDN/>
        <w:bidi w:val="0"/>
        <w:adjustRightInd/>
        <w:snapToGrid/>
        <w:spacing w:line="578" w:lineRule="exact"/>
        <w:ind w:firstLine="710" w:firstLineChars="221"/>
        <w:textAlignment w:val="auto"/>
        <w:rPr>
          <w:rFonts w:ascii="仿宋" w:hAnsi="仿宋" w:eastAsia="仿宋"/>
          <w:b/>
          <w:sz w:val="32"/>
          <w:szCs w:val="32"/>
        </w:rPr>
      </w:pPr>
      <w:r>
        <w:rPr>
          <w:rFonts w:hint="eastAsia" w:ascii="仿宋" w:hAnsi="仿宋" w:eastAsia="仿宋"/>
          <w:b/>
          <w:sz w:val="32"/>
          <w:szCs w:val="32"/>
        </w:rPr>
        <w:t>三、投标文件的编写</w:t>
      </w:r>
    </w:p>
    <w:p>
      <w:pPr>
        <w:keepNext w:val="0"/>
        <w:keepLines w:val="0"/>
        <w:pageBreakBefore w:val="0"/>
        <w:tabs>
          <w:tab w:val="left" w:pos="8280"/>
        </w:tabs>
        <w:kinsoku/>
        <w:wordWrap/>
        <w:overflowPunct/>
        <w:topLinePunct w:val="0"/>
        <w:autoSpaceDE/>
        <w:autoSpaceDN/>
        <w:bidi w:val="0"/>
        <w:adjustRightInd/>
        <w:snapToGrid/>
        <w:spacing w:line="578" w:lineRule="exact"/>
        <w:ind w:firstLine="707" w:firstLineChars="221"/>
        <w:textAlignment w:val="auto"/>
        <w:rPr>
          <w:rFonts w:ascii="仿宋" w:hAnsi="仿宋" w:eastAsia="仿宋"/>
          <w:sz w:val="32"/>
          <w:szCs w:val="32"/>
        </w:rPr>
      </w:pPr>
      <w:r>
        <w:rPr>
          <w:rFonts w:hint="eastAsia" w:ascii="仿宋" w:hAnsi="仿宋" w:eastAsia="仿宋"/>
          <w:sz w:val="32"/>
          <w:szCs w:val="32"/>
        </w:rPr>
        <w:t>1.投标人应仔细阅读招标文件，了解招标文件的要求。在完全了解招标项目的要求以及条件后，再编制投标文件。投标人保证所提交的全部资料的真实性,并使投标对招标文件做出实质性响应。</w:t>
      </w:r>
    </w:p>
    <w:p>
      <w:pPr>
        <w:keepNext w:val="0"/>
        <w:keepLines w:val="0"/>
        <w:pageBreakBefore w:val="0"/>
        <w:tabs>
          <w:tab w:val="left" w:pos="8280"/>
        </w:tabs>
        <w:kinsoku/>
        <w:wordWrap/>
        <w:overflowPunct/>
        <w:topLinePunct w:val="0"/>
        <w:autoSpaceDE/>
        <w:autoSpaceDN/>
        <w:bidi w:val="0"/>
        <w:adjustRightInd/>
        <w:snapToGrid/>
        <w:spacing w:line="578" w:lineRule="exact"/>
        <w:ind w:firstLine="710" w:firstLineChars="221"/>
        <w:textAlignment w:val="auto"/>
        <w:rPr>
          <w:rFonts w:ascii="仿宋" w:hAnsi="仿宋" w:eastAsia="仿宋"/>
          <w:sz w:val="32"/>
          <w:szCs w:val="32"/>
        </w:rPr>
      </w:pPr>
      <w:bookmarkStart w:id="9" w:name="_Toc454462768"/>
      <w:r>
        <w:rPr>
          <w:rStyle w:val="12"/>
          <w:rFonts w:hint="eastAsia" w:ascii="仿宋" w:hAnsi="仿宋" w:eastAsia="仿宋"/>
        </w:rPr>
        <w:t>2.投标文件包含以下内容</w:t>
      </w:r>
      <w:bookmarkEnd w:id="9"/>
      <w:r>
        <w:rPr>
          <w:rFonts w:hint="eastAsia" w:ascii="仿宋" w:hAnsi="仿宋" w:eastAsia="仿宋"/>
          <w:sz w:val="32"/>
          <w:szCs w:val="32"/>
        </w:rPr>
        <w:t>。</w:t>
      </w:r>
    </w:p>
    <w:p>
      <w:pPr>
        <w:keepNext w:val="0"/>
        <w:keepLines w:val="0"/>
        <w:pageBreakBefore w:val="0"/>
        <w:tabs>
          <w:tab w:val="left" w:pos="8280"/>
        </w:tabs>
        <w:kinsoku/>
        <w:wordWrap/>
        <w:overflowPunct/>
        <w:topLinePunct w:val="0"/>
        <w:autoSpaceDE/>
        <w:autoSpaceDN/>
        <w:bidi w:val="0"/>
        <w:adjustRightInd/>
        <w:snapToGrid/>
        <w:spacing w:line="578" w:lineRule="exact"/>
        <w:ind w:firstLine="707" w:firstLineChars="221"/>
        <w:textAlignment w:val="auto"/>
        <w:rPr>
          <w:rFonts w:ascii="仿宋" w:hAnsi="仿宋" w:eastAsia="仿宋"/>
          <w:sz w:val="32"/>
          <w:szCs w:val="32"/>
        </w:rPr>
      </w:pPr>
      <w:r>
        <w:rPr>
          <w:rFonts w:hint="eastAsia" w:ascii="仿宋" w:hAnsi="仿宋" w:eastAsia="仿宋"/>
          <w:sz w:val="32"/>
          <w:szCs w:val="32"/>
        </w:rPr>
        <w:t>2.1投标函（格式附后）</w:t>
      </w:r>
    </w:p>
    <w:p>
      <w:pPr>
        <w:keepNext w:val="0"/>
        <w:keepLines w:val="0"/>
        <w:pageBreakBefore w:val="0"/>
        <w:tabs>
          <w:tab w:val="left" w:pos="8280"/>
        </w:tabs>
        <w:kinsoku/>
        <w:wordWrap/>
        <w:overflowPunct/>
        <w:topLinePunct w:val="0"/>
        <w:autoSpaceDE/>
        <w:autoSpaceDN/>
        <w:bidi w:val="0"/>
        <w:adjustRightInd/>
        <w:snapToGrid/>
        <w:spacing w:line="578" w:lineRule="exact"/>
        <w:ind w:firstLine="707" w:firstLineChars="221"/>
        <w:textAlignment w:val="auto"/>
        <w:rPr>
          <w:rFonts w:ascii="仿宋" w:hAnsi="仿宋" w:eastAsia="仿宋"/>
          <w:sz w:val="32"/>
          <w:szCs w:val="32"/>
        </w:rPr>
      </w:pPr>
      <w:r>
        <w:rPr>
          <w:rFonts w:hint="eastAsia" w:ascii="仿宋" w:hAnsi="仿宋" w:eastAsia="仿宋"/>
          <w:sz w:val="32"/>
          <w:szCs w:val="32"/>
        </w:rPr>
        <w:t>2.2投标人资格证明文件：投标人简介、法人营业执照副本复印件、《金融机构法人许可证》或《金融机构营业许可证》复印件、组织机构代码证复印件和法定代表人授权委托书原件、企业经营信誉及风险控制承诺、有关监管指标等证明资料。</w:t>
      </w:r>
    </w:p>
    <w:p>
      <w:pPr>
        <w:keepNext w:val="0"/>
        <w:keepLines w:val="0"/>
        <w:pageBreakBefore w:val="0"/>
        <w:tabs>
          <w:tab w:val="left" w:pos="8280"/>
        </w:tabs>
        <w:kinsoku/>
        <w:wordWrap/>
        <w:overflowPunct/>
        <w:topLinePunct w:val="0"/>
        <w:autoSpaceDE/>
        <w:autoSpaceDN/>
        <w:bidi w:val="0"/>
        <w:adjustRightInd/>
        <w:snapToGrid/>
        <w:spacing w:line="578" w:lineRule="exact"/>
        <w:ind w:firstLine="704" w:firstLineChars="220"/>
        <w:textAlignment w:val="auto"/>
        <w:rPr>
          <w:rFonts w:ascii="仿宋" w:hAnsi="仿宋" w:eastAsia="仿宋"/>
          <w:sz w:val="32"/>
          <w:szCs w:val="32"/>
        </w:rPr>
      </w:pPr>
      <w:r>
        <w:rPr>
          <w:rFonts w:hint="eastAsia" w:ascii="仿宋" w:hAnsi="仿宋" w:eastAsia="仿宋"/>
          <w:sz w:val="32"/>
          <w:szCs w:val="32"/>
        </w:rPr>
        <w:t>2.3开标一览表（格式附后）</w:t>
      </w:r>
    </w:p>
    <w:p>
      <w:pPr>
        <w:keepNext w:val="0"/>
        <w:keepLines w:val="0"/>
        <w:pageBreakBefore w:val="0"/>
        <w:tabs>
          <w:tab w:val="left" w:pos="8280"/>
        </w:tabs>
        <w:kinsoku/>
        <w:wordWrap/>
        <w:overflowPunct/>
        <w:topLinePunct w:val="0"/>
        <w:autoSpaceDE/>
        <w:autoSpaceDN/>
        <w:bidi w:val="0"/>
        <w:adjustRightInd/>
        <w:snapToGrid/>
        <w:spacing w:line="578" w:lineRule="exact"/>
        <w:ind w:firstLine="704" w:firstLineChars="220"/>
        <w:textAlignment w:val="auto"/>
        <w:rPr>
          <w:rFonts w:ascii="仿宋" w:hAnsi="仿宋" w:eastAsia="仿宋"/>
          <w:sz w:val="32"/>
          <w:szCs w:val="32"/>
        </w:rPr>
      </w:pPr>
      <w:r>
        <w:rPr>
          <w:rFonts w:hint="eastAsia" w:ascii="仿宋" w:hAnsi="仿宋" w:eastAsia="仿宋"/>
          <w:sz w:val="32"/>
          <w:szCs w:val="32"/>
        </w:rPr>
        <w:t>2.3.1投标人（总行）2022年末资本充足率。</w:t>
      </w:r>
    </w:p>
    <w:p>
      <w:pPr>
        <w:keepNext w:val="0"/>
        <w:keepLines w:val="0"/>
        <w:pageBreakBefore w:val="0"/>
        <w:tabs>
          <w:tab w:val="left" w:pos="8280"/>
        </w:tabs>
        <w:kinsoku/>
        <w:wordWrap/>
        <w:overflowPunct/>
        <w:topLinePunct w:val="0"/>
        <w:autoSpaceDE/>
        <w:autoSpaceDN/>
        <w:bidi w:val="0"/>
        <w:adjustRightInd/>
        <w:snapToGrid/>
        <w:spacing w:line="578" w:lineRule="exact"/>
        <w:ind w:firstLine="704" w:firstLineChars="220"/>
        <w:textAlignment w:val="auto"/>
        <w:rPr>
          <w:rFonts w:ascii="仿宋" w:hAnsi="仿宋" w:eastAsia="仿宋"/>
          <w:sz w:val="32"/>
          <w:szCs w:val="32"/>
        </w:rPr>
      </w:pPr>
      <w:r>
        <w:rPr>
          <w:rFonts w:hint="eastAsia" w:ascii="仿宋" w:hAnsi="仿宋" w:eastAsia="仿宋"/>
          <w:sz w:val="32"/>
          <w:szCs w:val="32"/>
        </w:rPr>
        <w:t>2.3.2投标人（总行）2022年末不良贷款率。</w:t>
      </w:r>
    </w:p>
    <w:p>
      <w:pPr>
        <w:keepNext w:val="0"/>
        <w:keepLines w:val="0"/>
        <w:pageBreakBefore w:val="0"/>
        <w:tabs>
          <w:tab w:val="left" w:pos="8280"/>
        </w:tabs>
        <w:kinsoku/>
        <w:wordWrap/>
        <w:overflowPunct/>
        <w:topLinePunct w:val="0"/>
        <w:autoSpaceDE/>
        <w:autoSpaceDN/>
        <w:bidi w:val="0"/>
        <w:adjustRightInd/>
        <w:snapToGrid/>
        <w:spacing w:line="578" w:lineRule="exact"/>
        <w:ind w:firstLine="704" w:firstLineChars="220"/>
        <w:textAlignment w:val="auto"/>
        <w:rPr>
          <w:rFonts w:ascii="仿宋" w:hAnsi="仿宋" w:eastAsia="仿宋"/>
          <w:sz w:val="32"/>
          <w:szCs w:val="32"/>
        </w:rPr>
      </w:pPr>
      <w:r>
        <w:rPr>
          <w:rFonts w:hint="eastAsia" w:ascii="仿宋" w:hAnsi="仿宋" w:eastAsia="仿宋"/>
          <w:sz w:val="32"/>
          <w:szCs w:val="32"/>
        </w:rPr>
        <w:t>2.3.3投标人（总行）2022年末拨备覆盖率。</w:t>
      </w:r>
    </w:p>
    <w:p>
      <w:pPr>
        <w:keepNext w:val="0"/>
        <w:keepLines w:val="0"/>
        <w:pageBreakBefore w:val="0"/>
        <w:tabs>
          <w:tab w:val="left" w:pos="8280"/>
        </w:tabs>
        <w:kinsoku/>
        <w:wordWrap/>
        <w:overflowPunct/>
        <w:topLinePunct w:val="0"/>
        <w:autoSpaceDE/>
        <w:autoSpaceDN/>
        <w:bidi w:val="0"/>
        <w:adjustRightInd/>
        <w:snapToGrid/>
        <w:spacing w:line="578" w:lineRule="exact"/>
        <w:ind w:firstLine="704" w:firstLineChars="220"/>
        <w:textAlignment w:val="auto"/>
        <w:rPr>
          <w:rFonts w:ascii="仿宋" w:hAnsi="仿宋" w:eastAsia="仿宋"/>
          <w:sz w:val="32"/>
          <w:szCs w:val="32"/>
        </w:rPr>
      </w:pPr>
      <w:r>
        <w:rPr>
          <w:rFonts w:hint="eastAsia" w:ascii="仿宋" w:hAnsi="仿宋" w:eastAsia="仿宋"/>
          <w:sz w:val="32"/>
          <w:szCs w:val="32"/>
        </w:rPr>
        <w:t>2.3.4投标人（总行）2022年末流动性覆盖率。</w:t>
      </w:r>
    </w:p>
    <w:p>
      <w:pPr>
        <w:keepNext w:val="0"/>
        <w:keepLines w:val="0"/>
        <w:pageBreakBefore w:val="0"/>
        <w:tabs>
          <w:tab w:val="left" w:pos="8280"/>
        </w:tabs>
        <w:kinsoku/>
        <w:wordWrap/>
        <w:overflowPunct/>
        <w:topLinePunct w:val="0"/>
        <w:autoSpaceDE/>
        <w:autoSpaceDN/>
        <w:bidi w:val="0"/>
        <w:adjustRightInd/>
        <w:snapToGrid/>
        <w:spacing w:line="578" w:lineRule="exact"/>
        <w:ind w:firstLine="704" w:firstLineChars="220"/>
        <w:textAlignment w:val="auto"/>
        <w:rPr>
          <w:rFonts w:ascii="仿宋" w:hAnsi="仿宋" w:eastAsia="仿宋"/>
          <w:sz w:val="32"/>
          <w:szCs w:val="32"/>
        </w:rPr>
      </w:pPr>
      <w:r>
        <w:rPr>
          <w:rFonts w:hint="eastAsia" w:ascii="仿宋" w:hAnsi="仿宋" w:eastAsia="仿宋"/>
          <w:sz w:val="32"/>
          <w:szCs w:val="32"/>
        </w:rPr>
        <w:t>2.3.5投标人（总行）2022年末流动性比例。</w:t>
      </w:r>
    </w:p>
    <w:p>
      <w:pPr>
        <w:keepNext w:val="0"/>
        <w:keepLines w:val="0"/>
        <w:pageBreakBefore w:val="0"/>
        <w:tabs>
          <w:tab w:val="left" w:pos="8280"/>
        </w:tabs>
        <w:kinsoku/>
        <w:wordWrap/>
        <w:overflowPunct/>
        <w:topLinePunct w:val="0"/>
        <w:autoSpaceDE/>
        <w:autoSpaceDN/>
        <w:bidi w:val="0"/>
        <w:adjustRightInd/>
        <w:snapToGrid/>
        <w:spacing w:line="578" w:lineRule="exact"/>
        <w:ind w:firstLine="704" w:firstLineChars="220"/>
        <w:textAlignment w:val="auto"/>
        <w:rPr>
          <w:rFonts w:ascii="仿宋" w:hAnsi="仿宋" w:eastAsia="仿宋"/>
          <w:sz w:val="32"/>
          <w:szCs w:val="32"/>
        </w:rPr>
      </w:pPr>
      <w:r>
        <w:rPr>
          <w:rFonts w:hint="eastAsia" w:ascii="仿宋" w:hAnsi="仿宋" w:eastAsia="仿宋"/>
          <w:sz w:val="32"/>
          <w:szCs w:val="32"/>
        </w:rPr>
        <w:t>2.3.6投标人对本次现金管理定期存款投标利率在同期限人民银行公布的存款基准利率基础上加点数。</w:t>
      </w:r>
    </w:p>
    <w:p>
      <w:pPr>
        <w:keepNext w:val="0"/>
        <w:keepLines w:val="0"/>
        <w:pageBreakBefore w:val="0"/>
        <w:tabs>
          <w:tab w:val="left" w:pos="8280"/>
        </w:tabs>
        <w:kinsoku/>
        <w:wordWrap/>
        <w:overflowPunct/>
        <w:topLinePunct w:val="0"/>
        <w:autoSpaceDE/>
        <w:autoSpaceDN/>
        <w:bidi w:val="0"/>
        <w:adjustRightInd/>
        <w:snapToGrid/>
        <w:spacing w:line="578" w:lineRule="exact"/>
        <w:ind w:firstLine="704" w:firstLineChars="220"/>
        <w:textAlignment w:val="auto"/>
        <w:rPr>
          <w:rFonts w:ascii="仿宋" w:hAnsi="仿宋" w:eastAsia="仿宋"/>
          <w:sz w:val="32"/>
          <w:szCs w:val="32"/>
        </w:rPr>
      </w:pPr>
      <w:r>
        <w:rPr>
          <w:rFonts w:hint="eastAsia" w:ascii="仿宋" w:hAnsi="仿宋" w:eastAsia="仿宋"/>
          <w:sz w:val="32"/>
          <w:szCs w:val="32"/>
        </w:rPr>
        <w:t>2.3.7投标人2022年末在吉林省资产规模,单位为亿元。</w:t>
      </w:r>
    </w:p>
    <w:p>
      <w:pPr>
        <w:keepNext w:val="0"/>
        <w:keepLines w:val="0"/>
        <w:pageBreakBefore w:val="0"/>
        <w:tabs>
          <w:tab w:val="left" w:pos="8280"/>
        </w:tabs>
        <w:kinsoku/>
        <w:wordWrap/>
        <w:overflowPunct/>
        <w:topLinePunct w:val="0"/>
        <w:autoSpaceDE/>
        <w:autoSpaceDN/>
        <w:bidi w:val="0"/>
        <w:adjustRightInd/>
        <w:snapToGrid/>
        <w:spacing w:line="578" w:lineRule="exact"/>
        <w:ind w:firstLine="704" w:firstLineChars="220"/>
        <w:textAlignment w:val="auto"/>
        <w:rPr>
          <w:rFonts w:ascii="仿宋" w:hAnsi="仿宋" w:eastAsia="仿宋"/>
          <w:sz w:val="32"/>
          <w:szCs w:val="32"/>
        </w:rPr>
      </w:pPr>
      <w:r>
        <w:rPr>
          <w:rFonts w:hint="eastAsia" w:ascii="仿宋" w:hAnsi="仿宋" w:eastAsia="仿宋"/>
          <w:sz w:val="32"/>
          <w:szCs w:val="32"/>
        </w:rPr>
        <w:t>2.3.8投标人2022年末在吉林省纳税规模,单位为亿元。</w:t>
      </w:r>
    </w:p>
    <w:p>
      <w:pPr>
        <w:keepNext w:val="0"/>
        <w:keepLines w:val="0"/>
        <w:pageBreakBefore w:val="0"/>
        <w:tabs>
          <w:tab w:val="left" w:pos="8280"/>
        </w:tabs>
        <w:kinsoku/>
        <w:wordWrap/>
        <w:overflowPunct/>
        <w:topLinePunct w:val="0"/>
        <w:autoSpaceDE/>
        <w:autoSpaceDN/>
        <w:bidi w:val="0"/>
        <w:adjustRightInd/>
        <w:snapToGrid/>
        <w:spacing w:line="578" w:lineRule="exact"/>
        <w:ind w:firstLine="704" w:firstLineChars="220"/>
        <w:textAlignment w:val="auto"/>
        <w:rPr>
          <w:rFonts w:ascii="仿宋" w:hAnsi="仿宋" w:eastAsia="仿宋"/>
          <w:sz w:val="32"/>
          <w:szCs w:val="32"/>
        </w:rPr>
      </w:pPr>
      <w:r>
        <w:rPr>
          <w:rFonts w:hint="eastAsia" w:ascii="仿宋" w:hAnsi="仿宋" w:eastAsia="仿宋"/>
          <w:sz w:val="32"/>
          <w:szCs w:val="32"/>
        </w:rPr>
        <w:t>2.3.9投标人2022年末两增口径普惠小微贷款余额,单位为亿元。</w:t>
      </w:r>
    </w:p>
    <w:p>
      <w:pPr>
        <w:keepNext w:val="0"/>
        <w:keepLines w:val="0"/>
        <w:pageBreakBefore w:val="0"/>
        <w:tabs>
          <w:tab w:val="left" w:pos="8280"/>
        </w:tabs>
        <w:kinsoku/>
        <w:wordWrap/>
        <w:overflowPunct/>
        <w:topLinePunct w:val="0"/>
        <w:autoSpaceDE/>
        <w:autoSpaceDN/>
        <w:bidi w:val="0"/>
        <w:adjustRightInd/>
        <w:snapToGrid/>
        <w:spacing w:line="578" w:lineRule="exact"/>
        <w:ind w:firstLine="704" w:firstLineChars="220"/>
        <w:textAlignment w:val="auto"/>
        <w:rPr>
          <w:rFonts w:ascii="仿宋" w:hAnsi="仿宋" w:eastAsia="仿宋"/>
          <w:sz w:val="32"/>
          <w:szCs w:val="32"/>
        </w:rPr>
      </w:pPr>
      <w:r>
        <w:rPr>
          <w:rFonts w:hint="eastAsia" w:ascii="仿宋" w:hAnsi="仿宋" w:eastAsia="仿宋"/>
          <w:sz w:val="32"/>
          <w:szCs w:val="32"/>
        </w:rPr>
        <w:t>2.3.10投标人2023年末制造业贷款余额,单位为亿元。</w:t>
      </w:r>
    </w:p>
    <w:p>
      <w:pPr>
        <w:keepNext w:val="0"/>
        <w:keepLines w:val="0"/>
        <w:pageBreakBefore w:val="0"/>
        <w:tabs>
          <w:tab w:val="left" w:pos="8280"/>
        </w:tabs>
        <w:kinsoku/>
        <w:wordWrap/>
        <w:overflowPunct/>
        <w:topLinePunct w:val="0"/>
        <w:autoSpaceDE/>
        <w:autoSpaceDN/>
        <w:bidi w:val="0"/>
        <w:adjustRightInd/>
        <w:snapToGrid/>
        <w:spacing w:line="578" w:lineRule="exact"/>
        <w:ind w:firstLine="704" w:firstLineChars="220"/>
        <w:textAlignment w:val="auto"/>
        <w:rPr>
          <w:rFonts w:ascii="仿宋" w:hAnsi="仿宋" w:eastAsia="仿宋"/>
          <w:sz w:val="32"/>
          <w:szCs w:val="32"/>
        </w:rPr>
      </w:pPr>
      <w:r>
        <w:rPr>
          <w:rFonts w:hint="eastAsia" w:ascii="仿宋" w:hAnsi="仿宋" w:eastAsia="仿宋"/>
          <w:sz w:val="32"/>
          <w:szCs w:val="32"/>
        </w:rPr>
        <w:t>2.3.11投标人可提供质押的国债和地方债情况。</w:t>
      </w:r>
    </w:p>
    <w:p>
      <w:pPr>
        <w:keepNext w:val="0"/>
        <w:keepLines w:val="0"/>
        <w:pageBreakBefore w:val="0"/>
        <w:tabs>
          <w:tab w:val="left" w:pos="8280"/>
        </w:tabs>
        <w:kinsoku/>
        <w:wordWrap/>
        <w:overflowPunct/>
        <w:topLinePunct w:val="0"/>
        <w:autoSpaceDE/>
        <w:autoSpaceDN/>
        <w:bidi w:val="0"/>
        <w:adjustRightInd/>
        <w:snapToGrid/>
        <w:spacing w:line="578" w:lineRule="exact"/>
        <w:ind w:firstLine="704" w:firstLineChars="220"/>
        <w:textAlignment w:val="auto"/>
        <w:rPr>
          <w:rFonts w:ascii="仿宋" w:hAnsi="仿宋" w:eastAsia="仿宋"/>
          <w:sz w:val="32"/>
          <w:szCs w:val="32"/>
        </w:rPr>
      </w:pPr>
      <w:r>
        <w:rPr>
          <w:rFonts w:hint="eastAsia" w:ascii="仿宋" w:hAnsi="仿宋" w:eastAsia="仿宋"/>
          <w:sz w:val="32"/>
          <w:szCs w:val="32"/>
        </w:rPr>
        <w:t>2.4投标方案</w:t>
      </w:r>
    </w:p>
    <w:p>
      <w:pPr>
        <w:keepNext w:val="0"/>
        <w:keepLines w:val="0"/>
        <w:pageBreakBefore w:val="0"/>
        <w:tabs>
          <w:tab w:val="left" w:pos="8280"/>
        </w:tabs>
        <w:kinsoku/>
        <w:wordWrap/>
        <w:overflowPunct/>
        <w:topLinePunct w:val="0"/>
        <w:autoSpaceDE/>
        <w:autoSpaceDN/>
        <w:bidi w:val="0"/>
        <w:adjustRightInd/>
        <w:snapToGrid/>
        <w:spacing w:line="578" w:lineRule="exact"/>
        <w:ind w:firstLine="707" w:firstLineChars="221"/>
        <w:textAlignment w:val="auto"/>
        <w:rPr>
          <w:rFonts w:ascii="仿宋" w:hAnsi="仿宋" w:eastAsia="仿宋"/>
          <w:sz w:val="32"/>
          <w:szCs w:val="32"/>
        </w:rPr>
      </w:pPr>
      <w:r>
        <w:rPr>
          <w:rFonts w:hint="eastAsia" w:ascii="仿宋" w:hAnsi="仿宋" w:eastAsia="仿宋"/>
          <w:sz w:val="32"/>
          <w:szCs w:val="32"/>
        </w:rPr>
        <w:t>投标方案应包括但不只限于以下内容：投标人基本情况介绍；办理财政日常工作、办理人民银行国库</w:t>
      </w:r>
      <w:r>
        <w:rPr>
          <w:rFonts w:hint="eastAsia" w:ascii="仿宋" w:hAnsi="仿宋" w:eastAsia="仿宋"/>
          <w:sz w:val="32"/>
          <w:szCs w:val="32"/>
          <w:highlight w:val="none"/>
          <w:lang w:eastAsia="zh-CN"/>
        </w:rPr>
        <w:t>经收</w:t>
      </w:r>
      <w:r>
        <w:rPr>
          <w:rFonts w:hint="eastAsia" w:ascii="仿宋" w:hAnsi="仿宋" w:eastAsia="仿宋"/>
          <w:sz w:val="32"/>
          <w:szCs w:val="32"/>
        </w:rPr>
        <w:t>业务情况；保证存款资金安全性的措施；制度建设、内部管理相关情况；其它需要说明的内容。</w:t>
      </w:r>
      <w:bookmarkStart w:id="10" w:name="_Toc454462769"/>
      <w:bookmarkStart w:id="11" w:name="_Toc454461384"/>
    </w:p>
    <w:p>
      <w:pPr>
        <w:keepNext w:val="0"/>
        <w:keepLines w:val="0"/>
        <w:pageBreakBefore w:val="0"/>
        <w:tabs>
          <w:tab w:val="left" w:pos="8280"/>
        </w:tabs>
        <w:kinsoku/>
        <w:wordWrap/>
        <w:overflowPunct/>
        <w:topLinePunct w:val="0"/>
        <w:autoSpaceDE/>
        <w:autoSpaceDN/>
        <w:bidi w:val="0"/>
        <w:adjustRightInd/>
        <w:snapToGrid/>
        <w:spacing w:line="578" w:lineRule="exact"/>
        <w:ind w:firstLine="710" w:firstLineChars="221"/>
        <w:textAlignment w:val="auto"/>
        <w:rPr>
          <w:rFonts w:ascii="仿宋" w:hAnsi="仿宋" w:eastAsia="仿宋"/>
          <w:b/>
          <w:sz w:val="32"/>
          <w:szCs w:val="32"/>
        </w:rPr>
      </w:pPr>
      <w:r>
        <w:rPr>
          <w:rFonts w:hint="eastAsia" w:ascii="仿宋" w:hAnsi="仿宋" w:eastAsia="仿宋"/>
          <w:b/>
          <w:sz w:val="32"/>
          <w:szCs w:val="32"/>
        </w:rPr>
        <w:t>3.投标文件格式</w:t>
      </w:r>
      <w:bookmarkEnd w:id="10"/>
      <w:bookmarkEnd w:id="11"/>
    </w:p>
    <w:p>
      <w:pPr>
        <w:keepNext w:val="0"/>
        <w:keepLines w:val="0"/>
        <w:pageBreakBefore w:val="0"/>
        <w:tabs>
          <w:tab w:val="left" w:pos="8280"/>
        </w:tabs>
        <w:kinsoku/>
        <w:wordWrap/>
        <w:overflowPunct/>
        <w:topLinePunct w:val="0"/>
        <w:autoSpaceDE/>
        <w:autoSpaceDN/>
        <w:bidi w:val="0"/>
        <w:adjustRightInd/>
        <w:snapToGrid/>
        <w:spacing w:line="578" w:lineRule="exact"/>
        <w:ind w:firstLine="707" w:firstLineChars="221"/>
        <w:textAlignment w:val="auto"/>
        <w:rPr>
          <w:rFonts w:ascii="仿宋" w:hAnsi="仿宋" w:eastAsia="仿宋"/>
          <w:sz w:val="32"/>
          <w:szCs w:val="32"/>
        </w:rPr>
      </w:pPr>
      <w:r>
        <w:rPr>
          <w:rFonts w:hint="eastAsia" w:ascii="仿宋" w:hAnsi="仿宋" w:eastAsia="仿宋"/>
          <w:sz w:val="32"/>
          <w:szCs w:val="32"/>
        </w:rPr>
        <w:t>3.1投标文件所有内容须装订成册，投标文件规格幅面（A4），双面打印，按照招标文件所规定的内容顺序，统一编目、编页码装订（投标文件中复印件及宣传资料等均须与投标文件正文一起逐页编排页码）。为方便评标，必须按照招标文件第四部分格式要求制作。由于编排混乱导致投标文件被误读或查找不到，其责任由投标人承担。整个投标文件内容除签名外，必须打印，不得手写。</w:t>
      </w:r>
    </w:p>
    <w:p>
      <w:pPr>
        <w:keepNext w:val="0"/>
        <w:keepLines w:val="0"/>
        <w:pageBreakBefore w:val="0"/>
        <w:tabs>
          <w:tab w:val="left" w:pos="8280"/>
        </w:tabs>
        <w:kinsoku/>
        <w:wordWrap/>
        <w:overflowPunct/>
        <w:topLinePunct w:val="0"/>
        <w:autoSpaceDE/>
        <w:autoSpaceDN/>
        <w:bidi w:val="0"/>
        <w:adjustRightInd/>
        <w:snapToGrid/>
        <w:spacing w:line="578" w:lineRule="exact"/>
        <w:ind w:firstLine="707" w:firstLineChars="221"/>
        <w:textAlignment w:val="auto"/>
        <w:rPr>
          <w:rFonts w:ascii="仿宋" w:hAnsi="仿宋" w:eastAsia="仿宋"/>
          <w:sz w:val="32"/>
          <w:szCs w:val="32"/>
        </w:rPr>
      </w:pPr>
      <w:r>
        <w:rPr>
          <w:rFonts w:hint="eastAsia" w:ascii="仿宋" w:hAnsi="仿宋" w:eastAsia="仿宋"/>
          <w:sz w:val="32"/>
          <w:szCs w:val="32"/>
        </w:rPr>
        <w:t>3.2投标人必须按照本招标文件规定进行投标。投标人不能投两个或两个以上有选择性的投标方案或投标报价，也不能只投招标文件的部分内容，否则为无效投标。</w:t>
      </w:r>
    </w:p>
    <w:p>
      <w:pPr>
        <w:keepNext w:val="0"/>
        <w:keepLines w:val="0"/>
        <w:pageBreakBefore w:val="0"/>
        <w:tabs>
          <w:tab w:val="left" w:pos="8280"/>
        </w:tabs>
        <w:kinsoku/>
        <w:wordWrap/>
        <w:overflowPunct/>
        <w:topLinePunct w:val="0"/>
        <w:autoSpaceDE/>
        <w:autoSpaceDN/>
        <w:bidi w:val="0"/>
        <w:adjustRightInd/>
        <w:snapToGrid/>
        <w:spacing w:line="578" w:lineRule="exact"/>
        <w:ind w:right="-1" w:firstLine="710" w:firstLineChars="221"/>
        <w:textAlignment w:val="auto"/>
        <w:rPr>
          <w:rFonts w:ascii="仿宋" w:hAnsi="仿宋" w:eastAsia="仿宋"/>
          <w:b/>
          <w:bCs/>
          <w:sz w:val="32"/>
          <w:szCs w:val="32"/>
        </w:rPr>
      </w:pPr>
      <w:r>
        <w:rPr>
          <w:rFonts w:hint="eastAsia" w:ascii="仿宋" w:hAnsi="仿宋" w:eastAsia="仿宋"/>
          <w:b/>
          <w:sz w:val="32"/>
          <w:szCs w:val="32"/>
        </w:rPr>
        <w:t>四、</w:t>
      </w:r>
      <w:r>
        <w:rPr>
          <w:rFonts w:hint="eastAsia" w:ascii="仿宋" w:hAnsi="仿宋" w:eastAsia="仿宋"/>
          <w:b/>
          <w:bCs/>
          <w:sz w:val="32"/>
          <w:szCs w:val="32"/>
        </w:rPr>
        <w:t>投标文件的签署及密封</w:t>
      </w:r>
    </w:p>
    <w:p>
      <w:pPr>
        <w:keepNext w:val="0"/>
        <w:keepLines w:val="0"/>
        <w:pageBreakBefore w:val="0"/>
        <w:tabs>
          <w:tab w:val="left" w:pos="8280"/>
        </w:tabs>
        <w:kinsoku/>
        <w:wordWrap/>
        <w:overflowPunct/>
        <w:topLinePunct w:val="0"/>
        <w:autoSpaceDE/>
        <w:autoSpaceDN/>
        <w:bidi w:val="0"/>
        <w:adjustRightInd/>
        <w:snapToGrid/>
        <w:spacing w:line="578" w:lineRule="exact"/>
        <w:ind w:firstLine="707" w:firstLineChars="221"/>
        <w:textAlignment w:val="auto"/>
        <w:rPr>
          <w:rFonts w:ascii="仿宋" w:hAnsi="仿宋" w:eastAsia="仿宋"/>
          <w:sz w:val="32"/>
          <w:szCs w:val="32"/>
        </w:rPr>
      </w:pPr>
      <w:r>
        <w:rPr>
          <w:rFonts w:hint="eastAsia" w:ascii="仿宋" w:hAnsi="仿宋" w:eastAsia="仿宋"/>
          <w:sz w:val="32"/>
          <w:szCs w:val="32"/>
        </w:rPr>
        <w:t>1.投标人按照招标文件要求将投标文件装订成册。投标文件应准备一份正本和六份副本，并注明“正本”或“副本”字样，一旦正本和副本有差异，以正本为准；如一个密封袋装不下时，可分几个袋来装。密封袋标注的文件类别与其内装文件类别应一致。不符合上述要求的为无效投标。</w:t>
      </w:r>
    </w:p>
    <w:p>
      <w:pPr>
        <w:keepNext w:val="0"/>
        <w:keepLines w:val="0"/>
        <w:pageBreakBefore w:val="0"/>
        <w:tabs>
          <w:tab w:val="left" w:pos="8280"/>
        </w:tabs>
        <w:kinsoku/>
        <w:wordWrap/>
        <w:overflowPunct/>
        <w:topLinePunct w:val="0"/>
        <w:autoSpaceDE/>
        <w:autoSpaceDN/>
        <w:bidi w:val="0"/>
        <w:adjustRightInd/>
        <w:snapToGrid/>
        <w:spacing w:line="578" w:lineRule="exact"/>
        <w:ind w:firstLine="707" w:firstLineChars="221"/>
        <w:textAlignment w:val="auto"/>
        <w:rPr>
          <w:rFonts w:ascii="仿宋" w:hAnsi="仿宋" w:eastAsia="仿宋"/>
          <w:sz w:val="32"/>
          <w:szCs w:val="32"/>
        </w:rPr>
      </w:pPr>
      <w:r>
        <w:rPr>
          <w:rFonts w:hint="eastAsia" w:ascii="仿宋" w:hAnsi="仿宋" w:eastAsia="仿宋"/>
          <w:sz w:val="32"/>
          <w:szCs w:val="32"/>
        </w:rPr>
        <w:t>密封袋封面上标明招标编号、投标人名称及投标项目名称，并加盖投标人公章。</w:t>
      </w:r>
    </w:p>
    <w:p>
      <w:pPr>
        <w:keepNext w:val="0"/>
        <w:keepLines w:val="0"/>
        <w:pageBreakBefore w:val="0"/>
        <w:tabs>
          <w:tab w:val="left" w:pos="8280"/>
        </w:tabs>
        <w:kinsoku/>
        <w:wordWrap/>
        <w:overflowPunct/>
        <w:topLinePunct w:val="0"/>
        <w:autoSpaceDE/>
        <w:autoSpaceDN/>
        <w:bidi w:val="0"/>
        <w:adjustRightInd/>
        <w:snapToGrid/>
        <w:spacing w:line="578" w:lineRule="exact"/>
        <w:ind w:firstLine="707" w:firstLineChars="221"/>
        <w:textAlignment w:val="auto"/>
        <w:rPr>
          <w:rFonts w:ascii="仿宋" w:hAnsi="仿宋" w:eastAsia="仿宋"/>
          <w:sz w:val="32"/>
          <w:szCs w:val="32"/>
        </w:rPr>
      </w:pPr>
      <w:r>
        <w:rPr>
          <w:rFonts w:hint="eastAsia" w:ascii="仿宋" w:hAnsi="仿宋" w:eastAsia="仿宋"/>
          <w:sz w:val="32"/>
          <w:szCs w:val="32"/>
        </w:rPr>
        <w:t>投标文件密封处应加盖单位公章、法定代表人（或委托代理人）签字并注明“开标前不得启封”的字样。</w:t>
      </w:r>
    </w:p>
    <w:p>
      <w:pPr>
        <w:keepNext w:val="0"/>
        <w:keepLines w:val="0"/>
        <w:pageBreakBefore w:val="0"/>
        <w:tabs>
          <w:tab w:val="left" w:pos="8280"/>
        </w:tabs>
        <w:kinsoku/>
        <w:wordWrap/>
        <w:overflowPunct/>
        <w:topLinePunct w:val="0"/>
        <w:autoSpaceDE/>
        <w:autoSpaceDN/>
        <w:bidi w:val="0"/>
        <w:adjustRightInd/>
        <w:snapToGrid/>
        <w:spacing w:line="578" w:lineRule="exact"/>
        <w:ind w:right="-1" w:firstLine="707" w:firstLineChars="221"/>
        <w:textAlignment w:val="auto"/>
        <w:rPr>
          <w:rFonts w:ascii="仿宋" w:hAnsi="仿宋" w:eastAsia="仿宋"/>
          <w:sz w:val="32"/>
          <w:szCs w:val="32"/>
        </w:rPr>
      </w:pPr>
      <w:r>
        <w:rPr>
          <w:rFonts w:hint="eastAsia" w:ascii="仿宋" w:hAnsi="仿宋" w:eastAsia="仿宋"/>
          <w:sz w:val="32"/>
          <w:szCs w:val="32"/>
        </w:rPr>
        <w:t>2.投标文件正本的投标书、法定代表人授权委托书等必须由法定代表人或委托代理人签字（或签章）并加盖投标人公章。不符合以上要求为无效投标。投标文件副本可复印，但应加盖投标人公章。</w:t>
      </w:r>
    </w:p>
    <w:p>
      <w:pPr>
        <w:keepNext w:val="0"/>
        <w:keepLines w:val="0"/>
        <w:pageBreakBefore w:val="0"/>
        <w:tabs>
          <w:tab w:val="left" w:pos="8280"/>
        </w:tabs>
        <w:kinsoku/>
        <w:wordWrap/>
        <w:overflowPunct/>
        <w:topLinePunct w:val="0"/>
        <w:autoSpaceDE/>
        <w:autoSpaceDN/>
        <w:bidi w:val="0"/>
        <w:adjustRightInd/>
        <w:snapToGrid/>
        <w:spacing w:line="578" w:lineRule="exact"/>
        <w:ind w:right="-1" w:firstLine="707" w:firstLineChars="221"/>
        <w:textAlignment w:val="auto"/>
        <w:rPr>
          <w:rFonts w:ascii="仿宋" w:hAnsi="仿宋" w:eastAsia="仿宋"/>
          <w:sz w:val="32"/>
          <w:szCs w:val="32"/>
        </w:rPr>
      </w:pPr>
      <w:r>
        <w:rPr>
          <w:rFonts w:hint="eastAsia" w:ascii="仿宋" w:hAnsi="仿宋" w:eastAsia="仿宋"/>
          <w:sz w:val="32"/>
          <w:szCs w:val="32"/>
        </w:rPr>
        <w:t>3.投标文件中不许随意涂改或改写。投标人如对所投文件错处作必要的修改时，修改部分需加盖单位公章。</w:t>
      </w:r>
    </w:p>
    <w:p>
      <w:pPr>
        <w:keepNext w:val="0"/>
        <w:keepLines w:val="0"/>
        <w:pageBreakBefore w:val="0"/>
        <w:tabs>
          <w:tab w:val="left" w:pos="8280"/>
        </w:tabs>
        <w:kinsoku/>
        <w:wordWrap/>
        <w:overflowPunct/>
        <w:topLinePunct w:val="0"/>
        <w:autoSpaceDE/>
        <w:autoSpaceDN/>
        <w:bidi w:val="0"/>
        <w:adjustRightInd/>
        <w:snapToGrid/>
        <w:spacing w:line="578" w:lineRule="exact"/>
        <w:ind w:right="-1" w:firstLine="707" w:firstLineChars="221"/>
        <w:textAlignment w:val="auto"/>
        <w:rPr>
          <w:rFonts w:ascii="仿宋" w:hAnsi="仿宋" w:eastAsia="仿宋"/>
          <w:sz w:val="32"/>
          <w:szCs w:val="32"/>
        </w:rPr>
      </w:pPr>
      <w:r>
        <w:rPr>
          <w:rFonts w:hint="eastAsia" w:ascii="仿宋" w:hAnsi="仿宋" w:eastAsia="仿宋"/>
          <w:sz w:val="32"/>
          <w:szCs w:val="32"/>
        </w:rPr>
        <w:t>4.电报、电话、传真形式的投标概不接受。</w:t>
      </w:r>
    </w:p>
    <w:p>
      <w:pPr>
        <w:keepNext w:val="0"/>
        <w:keepLines w:val="0"/>
        <w:pageBreakBefore w:val="0"/>
        <w:tabs>
          <w:tab w:val="left" w:pos="8280"/>
        </w:tabs>
        <w:kinsoku/>
        <w:wordWrap/>
        <w:overflowPunct/>
        <w:topLinePunct w:val="0"/>
        <w:autoSpaceDE/>
        <w:autoSpaceDN/>
        <w:bidi w:val="0"/>
        <w:adjustRightInd/>
        <w:snapToGrid/>
        <w:spacing w:line="578" w:lineRule="exact"/>
        <w:ind w:right="-1" w:firstLine="707" w:firstLineChars="221"/>
        <w:textAlignment w:val="auto"/>
        <w:rPr>
          <w:rFonts w:ascii="仿宋" w:hAnsi="仿宋" w:eastAsia="仿宋"/>
          <w:sz w:val="32"/>
          <w:szCs w:val="32"/>
        </w:rPr>
      </w:pPr>
      <w:r>
        <w:rPr>
          <w:rFonts w:hint="eastAsia" w:ascii="仿宋" w:hAnsi="仿宋" w:eastAsia="仿宋"/>
          <w:sz w:val="32"/>
          <w:szCs w:val="32"/>
        </w:rPr>
        <w:t>5.投标文件由投标人法定代表人或法定代表人授权的委托代理人按招标文件规定的时间和地址送至招标人。</w:t>
      </w:r>
    </w:p>
    <w:p>
      <w:pPr>
        <w:keepNext w:val="0"/>
        <w:keepLines w:val="0"/>
        <w:pageBreakBefore w:val="0"/>
        <w:tabs>
          <w:tab w:val="left" w:pos="8280"/>
        </w:tabs>
        <w:kinsoku/>
        <w:wordWrap/>
        <w:overflowPunct/>
        <w:topLinePunct w:val="0"/>
        <w:autoSpaceDE/>
        <w:autoSpaceDN/>
        <w:bidi w:val="0"/>
        <w:adjustRightInd/>
        <w:snapToGrid/>
        <w:spacing w:line="578" w:lineRule="exact"/>
        <w:ind w:right="-1" w:firstLine="710" w:firstLineChars="221"/>
        <w:textAlignment w:val="auto"/>
        <w:rPr>
          <w:rFonts w:ascii="仿宋" w:hAnsi="仿宋" w:eastAsia="仿宋"/>
          <w:b/>
          <w:sz w:val="32"/>
          <w:szCs w:val="32"/>
        </w:rPr>
      </w:pPr>
      <w:r>
        <w:rPr>
          <w:rFonts w:hint="eastAsia" w:ascii="仿宋" w:hAnsi="仿宋" w:eastAsia="仿宋"/>
          <w:b/>
          <w:sz w:val="32"/>
          <w:szCs w:val="32"/>
        </w:rPr>
        <w:t>五、无效投标</w:t>
      </w:r>
    </w:p>
    <w:p>
      <w:pPr>
        <w:keepNext w:val="0"/>
        <w:keepLines w:val="0"/>
        <w:pageBreakBefore w:val="0"/>
        <w:tabs>
          <w:tab w:val="left" w:pos="8280"/>
        </w:tabs>
        <w:kinsoku/>
        <w:wordWrap/>
        <w:overflowPunct/>
        <w:topLinePunct w:val="0"/>
        <w:autoSpaceDE/>
        <w:autoSpaceDN/>
        <w:bidi w:val="0"/>
        <w:adjustRightInd/>
        <w:snapToGrid/>
        <w:spacing w:line="578" w:lineRule="exact"/>
        <w:ind w:right="-1" w:firstLine="707" w:firstLineChars="221"/>
        <w:textAlignment w:val="auto"/>
        <w:rPr>
          <w:rFonts w:ascii="仿宋" w:hAnsi="仿宋" w:eastAsia="仿宋"/>
          <w:sz w:val="32"/>
          <w:szCs w:val="32"/>
        </w:rPr>
      </w:pPr>
      <w:r>
        <w:rPr>
          <w:rFonts w:hint="eastAsia" w:ascii="仿宋" w:hAnsi="仿宋" w:eastAsia="仿宋"/>
          <w:sz w:val="32"/>
          <w:szCs w:val="32"/>
        </w:rPr>
        <w:t>除上述已经明确的无效投标条款外，有下列情况之一的亦为无效投标：</w:t>
      </w:r>
    </w:p>
    <w:p>
      <w:pPr>
        <w:keepNext w:val="0"/>
        <w:keepLines w:val="0"/>
        <w:pageBreakBefore w:val="0"/>
        <w:tabs>
          <w:tab w:val="left" w:pos="8280"/>
        </w:tabs>
        <w:kinsoku/>
        <w:wordWrap/>
        <w:overflowPunct/>
        <w:topLinePunct w:val="0"/>
        <w:autoSpaceDE/>
        <w:autoSpaceDN/>
        <w:bidi w:val="0"/>
        <w:adjustRightInd/>
        <w:snapToGrid/>
        <w:spacing w:line="578" w:lineRule="exact"/>
        <w:ind w:right="-1" w:firstLine="707" w:firstLineChars="221"/>
        <w:textAlignment w:val="auto"/>
        <w:rPr>
          <w:rFonts w:ascii="仿宋" w:hAnsi="仿宋" w:eastAsia="仿宋"/>
          <w:sz w:val="32"/>
          <w:szCs w:val="32"/>
        </w:rPr>
      </w:pPr>
      <w:r>
        <w:rPr>
          <w:rFonts w:hint="eastAsia" w:ascii="仿宋" w:hAnsi="仿宋" w:eastAsia="仿宋"/>
          <w:sz w:val="32"/>
          <w:szCs w:val="32"/>
        </w:rPr>
        <w:t>1.未按规定时间递交投标文件的；</w:t>
      </w:r>
    </w:p>
    <w:p>
      <w:pPr>
        <w:keepNext w:val="0"/>
        <w:keepLines w:val="0"/>
        <w:pageBreakBefore w:val="0"/>
        <w:tabs>
          <w:tab w:val="left" w:pos="8280"/>
        </w:tabs>
        <w:kinsoku/>
        <w:wordWrap/>
        <w:overflowPunct/>
        <w:topLinePunct w:val="0"/>
        <w:autoSpaceDE/>
        <w:autoSpaceDN/>
        <w:bidi w:val="0"/>
        <w:adjustRightInd/>
        <w:snapToGrid/>
        <w:spacing w:line="578" w:lineRule="exact"/>
        <w:ind w:right="-1" w:firstLine="707" w:firstLineChars="221"/>
        <w:textAlignment w:val="auto"/>
        <w:rPr>
          <w:rFonts w:ascii="仿宋" w:hAnsi="仿宋" w:eastAsia="仿宋"/>
          <w:sz w:val="32"/>
          <w:szCs w:val="32"/>
        </w:rPr>
      </w:pPr>
      <w:r>
        <w:rPr>
          <w:rFonts w:hint="eastAsia" w:ascii="仿宋" w:hAnsi="仿宋" w:eastAsia="仿宋"/>
          <w:sz w:val="32"/>
          <w:szCs w:val="32"/>
        </w:rPr>
        <w:t>2.投标单位法定代表人既没有到开标现场，又没有委托代理人的或有代理人但无授权委托书的；</w:t>
      </w:r>
    </w:p>
    <w:p>
      <w:pPr>
        <w:keepNext w:val="0"/>
        <w:keepLines w:val="0"/>
        <w:pageBreakBefore w:val="0"/>
        <w:tabs>
          <w:tab w:val="left" w:pos="8280"/>
        </w:tabs>
        <w:kinsoku/>
        <w:wordWrap/>
        <w:overflowPunct/>
        <w:topLinePunct w:val="0"/>
        <w:autoSpaceDE/>
        <w:autoSpaceDN/>
        <w:bidi w:val="0"/>
        <w:adjustRightInd/>
        <w:snapToGrid/>
        <w:spacing w:line="578" w:lineRule="exact"/>
        <w:ind w:right="-1" w:firstLine="707" w:firstLineChars="221"/>
        <w:textAlignment w:val="auto"/>
        <w:rPr>
          <w:rFonts w:ascii="仿宋" w:hAnsi="仿宋" w:eastAsia="仿宋"/>
          <w:sz w:val="32"/>
          <w:szCs w:val="32"/>
        </w:rPr>
      </w:pPr>
      <w:r>
        <w:rPr>
          <w:rFonts w:hint="eastAsia" w:ascii="仿宋" w:hAnsi="仿宋" w:eastAsia="仿宋"/>
          <w:sz w:val="32"/>
          <w:szCs w:val="32"/>
        </w:rPr>
        <w:t>3.投标文件未对招标文件要求做出实质响应的；</w:t>
      </w:r>
    </w:p>
    <w:p>
      <w:pPr>
        <w:keepNext w:val="0"/>
        <w:keepLines w:val="0"/>
        <w:pageBreakBefore w:val="0"/>
        <w:tabs>
          <w:tab w:val="left" w:pos="8280"/>
        </w:tabs>
        <w:kinsoku/>
        <w:wordWrap/>
        <w:overflowPunct/>
        <w:topLinePunct w:val="0"/>
        <w:autoSpaceDE/>
        <w:autoSpaceDN/>
        <w:bidi w:val="0"/>
        <w:adjustRightInd/>
        <w:snapToGrid/>
        <w:spacing w:line="578" w:lineRule="exact"/>
        <w:ind w:right="-1" w:firstLine="707" w:firstLineChars="221"/>
        <w:textAlignment w:val="auto"/>
        <w:rPr>
          <w:rFonts w:ascii="仿宋" w:hAnsi="仿宋" w:eastAsia="仿宋"/>
          <w:sz w:val="32"/>
          <w:szCs w:val="32"/>
        </w:rPr>
      </w:pPr>
      <w:r>
        <w:rPr>
          <w:rFonts w:hint="eastAsia" w:ascii="仿宋" w:hAnsi="仿宋" w:eastAsia="仿宋"/>
          <w:sz w:val="32"/>
          <w:szCs w:val="32"/>
        </w:rPr>
        <w:t>4.其它不符合法律法规的。</w:t>
      </w:r>
    </w:p>
    <w:p>
      <w:pPr>
        <w:keepNext w:val="0"/>
        <w:keepLines w:val="0"/>
        <w:pageBreakBefore w:val="0"/>
        <w:tabs>
          <w:tab w:val="left" w:pos="8280"/>
        </w:tabs>
        <w:kinsoku/>
        <w:wordWrap/>
        <w:overflowPunct/>
        <w:topLinePunct w:val="0"/>
        <w:autoSpaceDE/>
        <w:autoSpaceDN/>
        <w:bidi w:val="0"/>
        <w:adjustRightInd/>
        <w:snapToGrid/>
        <w:spacing w:line="578" w:lineRule="exact"/>
        <w:ind w:right="-1" w:firstLine="710" w:firstLineChars="221"/>
        <w:textAlignment w:val="auto"/>
        <w:rPr>
          <w:rFonts w:ascii="仿宋" w:hAnsi="仿宋" w:eastAsia="仿宋"/>
          <w:b/>
          <w:bCs/>
          <w:sz w:val="32"/>
          <w:szCs w:val="32"/>
        </w:rPr>
      </w:pPr>
      <w:r>
        <w:rPr>
          <w:rFonts w:hint="eastAsia" w:ascii="仿宋" w:hAnsi="仿宋" w:eastAsia="仿宋"/>
          <w:b/>
          <w:bCs/>
          <w:sz w:val="32"/>
          <w:szCs w:val="32"/>
        </w:rPr>
        <w:t>六、开标、评标时注意事项</w:t>
      </w:r>
    </w:p>
    <w:p>
      <w:pPr>
        <w:keepNext w:val="0"/>
        <w:keepLines w:val="0"/>
        <w:pageBreakBefore w:val="0"/>
        <w:tabs>
          <w:tab w:val="left" w:pos="8280"/>
        </w:tabs>
        <w:kinsoku/>
        <w:wordWrap/>
        <w:overflowPunct/>
        <w:topLinePunct w:val="0"/>
        <w:autoSpaceDE/>
        <w:autoSpaceDN/>
        <w:bidi w:val="0"/>
        <w:adjustRightInd/>
        <w:snapToGrid/>
        <w:spacing w:line="578" w:lineRule="exact"/>
        <w:ind w:right="-1" w:firstLine="707" w:firstLineChars="221"/>
        <w:textAlignment w:val="auto"/>
        <w:rPr>
          <w:rFonts w:ascii="仿宋" w:hAnsi="仿宋" w:eastAsia="仿宋"/>
          <w:sz w:val="32"/>
          <w:szCs w:val="32"/>
        </w:rPr>
      </w:pPr>
      <w:r>
        <w:rPr>
          <w:rFonts w:hint="eastAsia" w:ascii="仿宋" w:hAnsi="仿宋" w:eastAsia="仿宋"/>
          <w:sz w:val="32"/>
          <w:szCs w:val="32"/>
        </w:rPr>
        <w:t>1.在开标、评标期间，投标人不得向评委询问情况，不得进行旨在影响评标结果的活动。</w:t>
      </w:r>
    </w:p>
    <w:p>
      <w:pPr>
        <w:keepNext w:val="0"/>
        <w:keepLines w:val="0"/>
        <w:pageBreakBefore w:val="0"/>
        <w:tabs>
          <w:tab w:val="left" w:pos="8280"/>
        </w:tabs>
        <w:kinsoku/>
        <w:wordWrap/>
        <w:overflowPunct/>
        <w:topLinePunct w:val="0"/>
        <w:autoSpaceDE/>
        <w:autoSpaceDN/>
        <w:bidi w:val="0"/>
        <w:adjustRightInd/>
        <w:snapToGrid/>
        <w:spacing w:line="578" w:lineRule="exact"/>
        <w:ind w:right="-1" w:firstLine="707" w:firstLineChars="221"/>
        <w:textAlignment w:val="auto"/>
        <w:rPr>
          <w:rFonts w:ascii="仿宋" w:hAnsi="仿宋" w:eastAsia="仿宋"/>
          <w:sz w:val="32"/>
          <w:szCs w:val="32"/>
        </w:rPr>
      </w:pPr>
      <w:r>
        <w:rPr>
          <w:rFonts w:hint="eastAsia" w:ascii="仿宋" w:hAnsi="仿宋" w:eastAsia="仿宋"/>
          <w:sz w:val="32"/>
          <w:szCs w:val="32"/>
        </w:rPr>
        <w:t>2.在开标、评标过程中，如有投标人的不正当行为，招标人有权终止投标或评标。</w:t>
      </w:r>
    </w:p>
    <w:p>
      <w:pPr>
        <w:keepNext w:val="0"/>
        <w:keepLines w:val="0"/>
        <w:pageBreakBefore w:val="0"/>
        <w:tabs>
          <w:tab w:val="left" w:pos="8280"/>
        </w:tabs>
        <w:kinsoku/>
        <w:wordWrap/>
        <w:overflowPunct/>
        <w:topLinePunct w:val="0"/>
        <w:autoSpaceDE/>
        <w:autoSpaceDN/>
        <w:bidi w:val="0"/>
        <w:adjustRightInd/>
        <w:snapToGrid/>
        <w:spacing w:line="578" w:lineRule="exact"/>
        <w:ind w:right="-1" w:firstLine="707" w:firstLineChars="221"/>
        <w:textAlignment w:val="auto"/>
        <w:rPr>
          <w:rFonts w:ascii="仿宋" w:hAnsi="仿宋" w:eastAsia="仿宋"/>
          <w:sz w:val="32"/>
          <w:szCs w:val="32"/>
        </w:rPr>
      </w:pPr>
      <w:r>
        <w:rPr>
          <w:rFonts w:hint="eastAsia" w:ascii="仿宋" w:hAnsi="仿宋" w:eastAsia="仿宋"/>
          <w:sz w:val="32"/>
          <w:szCs w:val="32"/>
        </w:rPr>
        <w:t>3.当合格投标人少于五家时，该项目招标终止。</w:t>
      </w:r>
    </w:p>
    <w:p>
      <w:pPr>
        <w:keepNext w:val="0"/>
        <w:keepLines w:val="0"/>
        <w:pageBreakBefore w:val="0"/>
        <w:tabs>
          <w:tab w:val="left" w:pos="8280"/>
        </w:tabs>
        <w:kinsoku/>
        <w:wordWrap/>
        <w:overflowPunct/>
        <w:topLinePunct w:val="0"/>
        <w:autoSpaceDE/>
        <w:autoSpaceDN/>
        <w:bidi w:val="0"/>
        <w:adjustRightInd/>
        <w:snapToGrid/>
        <w:spacing w:line="578" w:lineRule="exact"/>
        <w:ind w:right="-1" w:firstLine="707" w:firstLineChars="221"/>
        <w:textAlignment w:val="auto"/>
        <w:rPr>
          <w:rFonts w:ascii="仿宋" w:hAnsi="仿宋" w:eastAsia="仿宋"/>
          <w:sz w:val="32"/>
          <w:szCs w:val="32"/>
        </w:rPr>
      </w:pPr>
      <w:r>
        <w:rPr>
          <w:rFonts w:hint="eastAsia" w:ascii="仿宋" w:hAnsi="仿宋" w:eastAsia="仿宋"/>
          <w:sz w:val="32"/>
          <w:szCs w:val="32"/>
        </w:rPr>
        <w:t>4.中标人应当按照主协议约定履行义务和承担责任，完成中标项目；不得向他人转让中标项目，也不得将中标项目肢解后分别转让他人。</w:t>
      </w:r>
    </w:p>
    <w:p>
      <w:pPr>
        <w:keepNext w:val="0"/>
        <w:keepLines w:val="0"/>
        <w:pageBreakBefore w:val="0"/>
        <w:tabs>
          <w:tab w:val="left" w:pos="8280"/>
        </w:tabs>
        <w:kinsoku/>
        <w:wordWrap/>
        <w:overflowPunct/>
        <w:topLinePunct w:val="0"/>
        <w:autoSpaceDE/>
        <w:autoSpaceDN/>
        <w:bidi w:val="0"/>
        <w:adjustRightInd/>
        <w:snapToGrid/>
        <w:spacing w:line="578" w:lineRule="exact"/>
        <w:ind w:right="-1" w:firstLine="710" w:firstLineChars="221"/>
        <w:textAlignment w:val="auto"/>
        <w:rPr>
          <w:rFonts w:ascii="仿宋" w:hAnsi="仿宋" w:eastAsia="仿宋"/>
          <w:b/>
          <w:sz w:val="32"/>
          <w:szCs w:val="32"/>
        </w:rPr>
      </w:pPr>
      <w:r>
        <w:rPr>
          <w:rFonts w:hint="eastAsia" w:ascii="仿宋" w:hAnsi="仿宋" w:eastAsia="仿宋"/>
          <w:b/>
          <w:sz w:val="32"/>
          <w:szCs w:val="32"/>
        </w:rPr>
        <w:t>七、参加投标的费用</w:t>
      </w:r>
    </w:p>
    <w:p>
      <w:pPr>
        <w:keepNext w:val="0"/>
        <w:keepLines w:val="0"/>
        <w:pageBreakBefore w:val="0"/>
        <w:tabs>
          <w:tab w:val="left" w:pos="8280"/>
        </w:tabs>
        <w:kinsoku/>
        <w:wordWrap/>
        <w:overflowPunct/>
        <w:topLinePunct w:val="0"/>
        <w:autoSpaceDE/>
        <w:autoSpaceDN/>
        <w:bidi w:val="0"/>
        <w:adjustRightInd/>
        <w:snapToGrid/>
        <w:spacing w:line="578" w:lineRule="exact"/>
        <w:ind w:right="-1" w:firstLine="707" w:firstLineChars="221"/>
        <w:textAlignment w:val="auto"/>
        <w:rPr>
          <w:rFonts w:ascii="仿宋" w:hAnsi="仿宋" w:eastAsia="仿宋"/>
          <w:sz w:val="32"/>
          <w:szCs w:val="32"/>
        </w:rPr>
      </w:pPr>
      <w:r>
        <w:rPr>
          <w:rFonts w:hint="eastAsia" w:ascii="仿宋" w:hAnsi="仿宋" w:eastAsia="仿宋"/>
          <w:sz w:val="32"/>
          <w:szCs w:val="32"/>
        </w:rPr>
        <w:t>1.投标人应自行承担所有与参加投标有关的费用。不论最终的结果如何，招标实施机构和招标代理机构在任何情况下均无义务和责任承担这些费用。</w:t>
      </w:r>
    </w:p>
    <w:p>
      <w:pPr>
        <w:keepNext w:val="0"/>
        <w:keepLines w:val="0"/>
        <w:pageBreakBefore w:val="0"/>
        <w:tabs>
          <w:tab w:val="left" w:pos="8280"/>
        </w:tabs>
        <w:kinsoku/>
        <w:wordWrap/>
        <w:overflowPunct/>
        <w:topLinePunct w:val="0"/>
        <w:autoSpaceDE/>
        <w:autoSpaceDN/>
        <w:bidi w:val="0"/>
        <w:adjustRightInd/>
        <w:snapToGrid/>
        <w:spacing w:line="578" w:lineRule="exact"/>
        <w:ind w:right="-1" w:firstLine="707" w:firstLineChars="221"/>
        <w:textAlignment w:val="auto"/>
        <w:rPr>
          <w:rFonts w:ascii="仿宋" w:hAnsi="仿宋" w:eastAsia="仿宋"/>
          <w:sz w:val="32"/>
          <w:szCs w:val="32"/>
        </w:rPr>
      </w:pPr>
      <w:r>
        <w:rPr>
          <w:rFonts w:hint="eastAsia" w:ascii="仿宋" w:hAnsi="仿宋" w:eastAsia="仿宋"/>
          <w:sz w:val="32"/>
          <w:szCs w:val="32"/>
        </w:rPr>
        <w:t>2.招标代理机构不收取本项目招标文件工本费，仅对中标银行收取代理服务费每家银行伍仟元整。</w:t>
      </w:r>
    </w:p>
    <w:p>
      <w:pPr>
        <w:keepNext w:val="0"/>
        <w:keepLines w:val="0"/>
        <w:pageBreakBefore w:val="0"/>
        <w:tabs>
          <w:tab w:val="left" w:pos="8280"/>
        </w:tabs>
        <w:kinsoku/>
        <w:wordWrap/>
        <w:overflowPunct/>
        <w:topLinePunct w:val="0"/>
        <w:autoSpaceDE/>
        <w:autoSpaceDN/>
        <w:bidi w:val="0"/>
        <w:adjustRightInd/>
        <w:snapToGrid/>
        <w:spacing w:line="578" w:lineRule="exact"/>
        <w:ind w:right="-1" w:firstLine="710" w:firstLineChars="221"/>
        <w:textAlignment w:val="auto"/>
        <w:rPr>
          <w:rFonts w:ascii="仿宋" w:hAnsi="仿宋" w:eastAsia="仿宋"/>
          <w:b/>
          <w:sz w:val="32"/>
          <w:szCs w:val="32"/>
        </w:rPr>
      </w:pPr>
      <w:r>
        <w:rPr>
          <w:rFonts w:hint="eastAsia" w:ascii="仿宋" w:hAnsi="仿宋" w:eastAsia="仿宋"/>
          <w:b/>
          <w:sz w:val="32"/>
          <w:szCs w:val="32"/>
        </w:rPr>
        <w:t>八、其他事项</w:t>
      </w:r>
    </w:p>
    <w:p>
      <w:pPr>
        <w:keepNext w:val="0"/>
        <w:keepLines w:val="0"/>
        <w:pageBreakBefore w:val="0"/>
        <w:tabs>
          <w:tab w:val="left" w:pos="8280"/>
        </w:tabs>
        <w:kinsoku/>
        <w:wordWrap/>
        <w:overflowPunct/>
        <w:topLinePunct w:val="0"/>
        <w:autoSpaceDE/>
        <w:autoSpaceDN/>
        <w:bidi w:val="0"/>
        <w:adjustRightInd/>
        <w:snapToGrid/>
        <w:spacing w:line="578" w:lineRule="exact"/>
        <w:ind w:right="-1" w:firstLine="707" w:firstLineChars="221"/>
        <w:textAlignment w:val="auto"/>
        <w:rPr>
          <w:rFonts w:ascii="仿宋" w:hAnsi="仿宋" w:eastAsia="仿宋"/>
          <w:sz w:val="32"/>
          <w:szCs w:val="32"/>
        </w:rPr>
      </w:pPr>
      <w:r>
        <w:rPr>
          <w:rFonts w:hint="eastAsia" w:ascii="仿宋" w:hAnsi="仿宋" w:eastAsia="仿宋"/>
          <w:sz w:val="32"/>
          <w:szCs w:val="32"/>
        </w:rPr>
        <w:t>中标人应按规定时间办理质押手续。</w:t>
      </w:r>
      <w:bookmarkStart w:id="12" w:name="_Toc454462770"/>
    </w:p>
    <w:p>
      <w:pPr>
        <w:keepNext w:val="0"/>
        <w:keepLines w:val="0"/>
        <w:pageBreakBefore w:val="0"/>
        <w:tabs>
          <w:tab w:val="left" w:pos="8280"/>
        </w:tabs>
        <w:kinsoku/>
        <w:wordWrap/>
        <w:overflowPunct/>
        <w:topLinePunct w:val="0"/>
        <w:autoSpaceDE/>
        <w:autoSpaceDN/>
        <w:bidi w:val="0"/>
        <w:adjustRightInd/>
        <w:snapToGrid/>
        <w:spacing w:line="578" w:lineRule="exact"/>
        <w:ind w:right="-1"/>
        <w:textAlignment w:val="auto"/>
        <w:rPr>
          <w:rFonts w:ascii="黑体" w:hAnsi="黑体" w:eastAsia="黑体"/>
          <w:sz w:val="32"/>
          <w:szCs w:val="32"/>
        </w:rPr>
      </w:pPr>
      <w:r>
        <w:rPr>
          <w:rFonts w:ascii="黑体" w:hAnsi="黑体" w:eastAsia="黑体"/>
          <w:sz w:val="32"/>
          <w:szCs w:val="32"/>
        </w:rPr>
        <w:br w:type="page"/>
      </w:r>
    </w:p>
    <w:p>
      <w:pPr>
        <w:keepNext w:val="0"/>
        <w:keepLines w:val="0"/>
        <w:pageBreakBefore w:val="0"/>
        <w:tabs>
          <w:tab w:val="left" w:pos="8280"/>
        </w:tabs>
        <w:kinsoku/>
        <w:wordWrap/>
        <w:overflowPunct/>
        <w:topLinePunct w:val="0"/>
        <w:autoSpaceDE/>
        <w:autoSpaceDN/>
        <w:bidi w:val="0"/>
        <w:adjustRightInd/>
        <w:snapToGrid/>
        <w:spacing w:line="578" w:lineRule="exact"/>
        <w:ind w:right="-1"/>
        <w:textAlignment w:val="auto"/>
        <w:rPr>
          <w:rFonts w:ascii="黑体" w:hAnsi="黑体" w:eastAsia="黑体"/>
          <w:sz w:val="32"/>
          <w:szCs w:val="32"/>
        </w:rPr>
      </w:pPr>
    </w:p>
    <w:p>
      <w:pPr>
        <w:keepNext w:val="0"/>
        <w:keepLines w:val="0"/>
        <w:pageBreakBefore w:val="0"/>
        <w:tabs>
          <w:tab w:val="left" w:pos="8280"/>
        </w:tabs>
        <w:kinsoku/>
        <w:wordWrap/>
        <w:overflowPunct/>
        <w:topLinePunct w:val="0"/>
        <w:autoSpaceDE/>
        <w:autoSpaceDN/>
        <w:bidi w:val="0"/>
        <w:adjustRightInd/>
        <w:snapToGrid/>
        <w:spacing w:line="578" w:lineRule="exact"/>
        <w:ind w:right="-1"/>
        <w:jc w:val="center"/>
        <w:textAlignment w:val="auto"/>
        <w:rPr>
          <w:rFonts w:ascii="黑体" w:hAnsi="黑体" w:eastAsia="黑体"/>
          <w:sz w:val="32"/>
          <w:szCs w:val="32"/>
        </w:rPr>
      </w:pPr>
      <w:r>
        <w:rPr>
          <w:rFonts w:hint="eastAsia" w:ascii="黑体" w:hAnsi="黑体" w:eastAsia="黑体"/>
          <w:sz w:val="32"/>
          <w:szCs w:val="32"/>
        </w:rPr>
        <w:t>第三部分   招标人开标、评标及中标确定</w:t>
      </w:r>
      <w:bookmarkEnd w:id="12"/>
      <w:bookmarkStart w:id="13" w:name="_Toc454462771"/>
    </w:p>
    <w:p>
      <w:pPr>
        <w:keepNext w:val="0"/>
        <w:keepLines w:val="0"/>
        <w:pageBreakBefore w:val="0"/>
        <w:tabs>
          <w:tab w:val="left" w:pos="8280"/>
        </w:tabs>
        <w:kinsoku/>
        <w:wordWrap/>
        <w:overflowPunct/>
        <w:topLinePunct w:val="0"/>
        <w:autoSpaceDE/>
        <w:autoSpaceDN/>
        <w:bidi w:val="0"/>
        <w:adjustRightInd/>
        <w:snapToGrid/>
        <w:spacing w:line="578" w:lineRule="exact"/>
        <w:ind w:right="-1"/>
        <w:jc w:val="center"/>
        <w:textAlignment w:val="auto"/>
        <w:rPr>
          <w:rFonts w:ascii="黑体" w:hAnsi="黑体" w:eastAsia="黑体"/>
          <w:sz w:val="32"/>
          <w:szCs w:val="32"/>
        </w:rPr>
      </w:pPr>
    </w:p>
    <w:p>
      <w:pPr>
        <w:keepNext w:val="0"/>
        <w:keepLines w:val="0"/>
        <w:pageBreakBefore w:val="0"/>
        <w:tabs>
          <w:tab w:val="left" w:pos="8280"/>
        </w:tabs>
        <w:kinsoku/>
        <w:wordWrap/>
        <w:overflowPunct/>
        <w:topLinePunct w:val="0"/>
        <w:autoSpaceDE/>
        <w:autoSpaceDN/>
        <w:bidi w:val="0"/>
        <w:adjustRightInd/>
        <w:snapToGrid/>
        <w:spacing w:line="578" w:lineRule="exact"/>
        <w:ind w:right="-1" w:firstLine="707" w:firstLineChars="220"/>
        <w:textAlignment w:val="auto"/>
        <w:rPr>
          <w:rFonts w:ascii="仿宋" w:hAnsi="仿宋" w:eastAsia="仿宋"/>
          <w:b/>
          <w:sz w:val="32"/>
          <w:szCs w:val="32"/>
        </w:rPr>
      </w:pPr>
      <w:r>
        <w:rPr>
          <w:rFonts w:hint="eastAsia" w:ascii="仿宋" w:hAnsi="仿宋" w:eastAsia="仿宋"/>
          <w:b/>
          <w:sz w:val="32"/>
          <w:szCs w:val="32"/>
        </w:rPr>
        <w:t>1.开标</w:t>
      </w:r>
      <w:bookmarkEnd w:id="13"/>
    </w:p>
    <w:p>
      <w:pPr>
        <w:keepNext w:val="0"/>
        <w:keepLines w:val="0"/>
        <w:pageBreakBefore w:val="0"/>
        <w:tabs>
          <w:tab w:val="left" w:pos="8280"/>
        </w:tabs>
        <w:kinsoku/>
        <w:wordWrap/>
        <w:overflowPunct/>
        <w:topLinePunct w:val="0"/>
        <w:autoSpaceDE/>
        <w:autoSpaceDN/>
        <w:bidi w:val="0"/>
        <w:adjustRightInd/>
        <w:snapToGrid/>
        <w:spacing w:line="578" w:lineRule="exact"/>
        <w:ind w:right="-1" w:firstLine="704" w:firstLineChars="220"/>
        <w:jc w:val="left"/>
        <w:textAlignment w:val="auto"/>
        <w:rPr>
          <w:rFonts w:ascii="仿宋" w:hAnsi="仿宋" w:eastAsia="仿宋"/>
          <w:sz w:val="32"/>
          <w:szCs w:val="32"/>
        </w:rPr>
      </w:pPr>
      <w:r>
        <w:rPr>
          <w:rFonts w:hint="eastAsia" w:ascii="仿宋" w:hAnsi="仿宋" w:eastAsia="仿宋"/>
          <w:sz w:val="32"/>
          <w:szCs w:val="32"/>
        </w:rPr>
        <w:t>1.1 招标人根据招标公告规定的时间、地点，公开开标。</w:t>
      </w:r>
    </w:p>
    <w:p>
      <w:pPr>
        <w:keepNext w:val="0"/>
        <w:keepLines w:val="0"/>
        <w:pageBreakBefore w:val="0"/>
        <w:tabs>
          <w:tab w:val="left" w:pos="8280"/>
        </w:tabs>
        <w:kinsoku/>
        <w:wordWrap/>
        <w:overflowPunct/>
        <w:topLinePunct w:val="0"/>
        <w:autoSpaceDE/>
        <w:autoSpaceDN/>
        <w:bidi w:val="0"/>
        <w:adjustRightInd/>
        <w:snapToGrid/>
        <w:spacing w:line="578" w:lineRule="exact"/>
        <w:ind w:right="-1" w:firstLine="704" w:firstLineChars="220"/>
        <w:jc w:val="left"/>
        <w:textAlignment w:val="auto"/>
        <w:rPr>
          <w:rFonts w:ascii="仿宋" w:hAnsi="仿宋" w:eastAsia="仿宋"/>
          <w:sz w:val="32"/>
          <w:szCs w:val="32"/>
        </w:rPr>
      </w:pPr>
      <w:r>
        <w:rPr>
          <w:rFonts w:hint="eastAsia" w:ascii="仿宋" w:hAnsi="仿宋" w:eastAsia="仿宋"/>
          <w:sz w:val="32"/>
          <w:szCs w:val="32"/>
        </w:rPr>
        <w:t>1.2 开标前，由投标人代表查验投标文件密封情况，确认无误后，宣布投标人名单。</w:t>
      </w:r>
    </w:p>
    <w:p>
      <w:pPr>
        <w:keepNext w:val="0"/>
        <w:keepLines w:val="0"/>
        <w:pageBreakBefore w:val="0"/>
        <w:kinsoku/>
        <w:wordWrap/>
        <w:overflowPunct/>
        <w:topLinePunct w:val="0"/>
        <w:autoSpaceDE/>
        <w:autoSpaceDN/>
        <w:bidi w:val="0"/>
        <w:adjustRightInd/>
        <w:snapToGrid/>
        <w:spacing w:line="578" w:lineRule="exact"/>
        <w:ind w:firstLine="704" w:firstLineChars="220"/>
        <w:textAlignment w:val="auto"/>
        <w:rPr>
          <w:rFonts w:ascii="仿宋" w:hAnsi="仿宋" w:eastAsia="仿宋"/>
          <w:sz w:val="32"/>
          <w:szCs w:val="32"/>
        </w:rPr>
      </w:pPr>
      <w:r>
        <w:rPr>
          <w:rFonts w:hint="eastAsia" w:ascii="仿宋" w:hAnsi="仿宋" w:eastAsia="仿宋"/>
          <w:sz w:val="32"/>
          <w:szCs w:val="32"/>
        </w:rPr>
        <w:t>1.3 投标人名单宣布后,投标文件交评标委员会评审。</w:t>
      </w:r>
      <w:bookmarkStart w:id="14" w:name="_Toc454462772"/>
    </w:p>
    <w:p>
      <w:pPr>
        <w:keepNext w:val="0"/>
        <w:keepLines w:val="0"/>
        <w:pageBreakBefore w:val="0"/>
        <w:kinsoku/>
        <w:wordWrap/>
        <w:overflowPunct/>
        <w:topLinePunct w:val="0"/>
        <w:autoSpaceDE/>
        <w:autoSpaceDN/>
        <w:bidi w:val="0"/>
        <w:adjustRightInd/>
        <w:snapToGrid/>
        <w:spacing w:line="578" w:lineRule="exact"/>
        <w:ind w:firstLine="707" w:firstLineChars="220"/>
        <w:textAlignment w:val="auto"/>
        <w:rPr>
          <w:rFonts w:ascii="仿宋" w:hAnsi="仿宋" w:eastAsia="仿宋"/>
          <w:b/>
          <w:sz w:val="32"/>
          <w:szCs w:val="32"/>
        </w:rPr>
      </w:pPr>
      <w:r>
        <w:rPr>
          <w:rFonts w:hint="eastAsia" w:ascii="仿宋" w:hAnsi="仿宋" w:eastAsia="仿宋"/>
          <w:b/>
          <w:sz w:val="32"/>
          <w:szCs w:val="32"/>
        </w:rPr>
        <w:t>2.评标委员会</w:t>
      </w:r>
      <w:bookmarkEnd w:id="14"/>
    </w:p>
    <w:p>
      <w:pPr>
        <w:keepNext w:val="0"/>
        <w:keepLines w:val="0"/>
        <w:pageBreakBefore w:val="0"/>
        <w:tabs>
          <w:tab w:val="left" w:pos="8280"/>
        </w:tabs>
        <w:kinsoku/>
        <w:wordWrap/>
        <w:overflowPunct/>
        <w:topLinePunct w:val="0"/>
        <w:autoSpaceDE/>
        <w:autoSpaceDN/>
        <w:bidi w:val="0"/>
        <w:adjustRightInd/>
        <w:snapToGrid/>
        <w:spacing w:line="578" w:lineRule="exact"/>
        <w:ind w:right="-1" w:firstLine="704" w:firstLineChars="220"/>
        <w:textAlignment w:val="auto"/>
        <w:rPr>
          <w:rFonts w:ascii="仿宋" w:hAnsi="仿宋" w:eastAsia="仿宋"/>
          <w:sz w:val="32"/>
          <w:szCs w:val="32"/>
          <w:bdr w:val="single" w:color="auto" w:sz="4" w:space="0"/>
        </w:rPr>
      </w:pPr>
      <w:r>
        <w:rPr>
          <w:rFonts w:hint="eastAsia" w:ascii="仿宋" w:hAnsi="仿宋" w:eastAsia="仿宋"/>
          <w:sz w:val="32"/>
          <w:szCs w:val="32"/>
        </w:rPr>
        <w:t>2.1评标委员会专家人员的产生是根据“2024年吉林省省级国库现金管理商业银行定期存款”项目的特点组成，评标委员会成员为</w:t>
      </w:r>
      <w:r>
        <w:rPr>
          <w:rFonts w:hint="eastAsia" w:ascii="仿宋" w:hAnsi="仿宋" w:eastAsia="仿宋" w:cs="仿宋_GB2312"/>
          <w:bCs/>
          <w:sz w:val="32"/>
          <w:szCs w:val="32"/>
        </w:rPr>
        <w:t>招标代理机构</w:t>
      </w:r>
      <w:r>
        <w:rPr>
          <w:rFonts w:hint="eastAsia" w:ascii="仿宋" w:hAnsi="仿宋" w:eastAsia="仿宋"/>
          <w:sz w:val="32"/>
          <w:szCs w:val="32"/>
        </w:rPr>
        <w:t>从评标专家库中随机抽取的专家人员构成。</w:t>
      </w:r>
    </w:p>
    <w:p>
      <w:pPr>
        <w:keepNext w:val="0"/>
        <w:keepLines w:val="0"/>
        <w:pageBreakBefore w:val="0"/>
        <w:tabs>
          <w:tab w:val="left" w:pos="8280"/>
        </w:tabs>
        <w:kinsoku/>
        <w:wordWrap/>
        <w:overflowPunct/>
        <w:topLinePunct w:val="0"/>
        <w:autoSpaceDE/>
        <w:autoSpaceDN/>
        <w:bidi w:val="0"/>
        <w:adjustRightInd/>
        <w:snapToGrid/>
        <w:spacing w:line="578" w:lineRule="exact"/>
        <w:ind w:right="-1" w:firstLine="704" w:firstLineChars="220"/>
        <w:textAlignment w:val="auto"/>
        <w:rPr>
          <w:rFonts w:ascii="仿宋" w:hAnsi="仿宋" w:eastAsia="仿宋"/>
          <w:sz w:val="32"/>
          <w:szCs w:val="32"/>
        </w:rPr>
      </w:pPr>
      <w:r>
        <w:rPr>
          <w:rFonts w:hint="eastAsia" w:ascii="仿宋" w:hAnsi="仿宋" w:eastAsia="仿宋"/>
          <w:sz w:val="32"/>
          <w:szCs w:val="32"/>
        </w:rPr>
        <w:t>2.2评标委员会成员名单在中标结果确定前保密。但在评标质询、澄清过程中投标人如发现评标委员会中有需回避的人员，应及时向招标人提出该评委回避的书面申请。核实后确实符合回避条件的，应及时更换该评委。</w:t>
      </w:r>
    </w:p>
    <w:p>
      <w:pPr>
        <w:keepNext w:val="0"/>
        <w:keepLines w:val="0"/>
        <w:pageBreakBefore w:val="0"/>
        <w:tabs>
          <w:tab w:val="left" w:pos="8280"/>
        </w:tabs>
        <w:kinsoku/>
        <w:wordWrap/>
        <w:overflowPunct/>
        <w:topLinePunct w:val="0"/>
        <w:autoSpaceDE/>
        <w:autoSpaceDN/>
        <w:bidi w:val="0"/>
        <w:adjustRightInd/>
        <w:snapToGrid/>
        <w:spacing w:line="578" w:lineRule="exact"/>
        <w:ind w:right="-1" w:firstLine="704" w:firstLineChars="220"/>
        <w:textAlignment w:val="auto"/>
        <w:rPr>
          <w:rFonts w:ascii="仿宋" w:hAnsi="仿宋" w:eastAsia="仿宋"/>
          <w:sz w:val="32"/>
          <w:szCs w:val="32"/>
        </w:rPr>
      </w:pPr>
      <w:r>
        <w:rPr>
          <w:rFonts w:hint="eastAsia" w:ascii="仿宋" w:hAnsi="仿宋" w:eastAsia="仿宋"/>
          <w:sz w:val="32"/>
          <w:szCs w:val="32"/>
        </w:rPr>
        <w:t>2.3 评标委员会必须按照公开、公平、公正的原则进行评标。</w:t>
      </w:r>
    </w:p>
    <w:p>
      <w:pPr>
        <w:keepNext w:val="0"/>
        <w:keepLines w:val="0"/>
        <w:pageBreakBefore w:val="0"/>
        <w:tabs>
          <w:tab w:val="left" w:pos="8280"/>
        </w:tabs>
        <w:kinsoku/>
        <w:wordWrap/>
        <w:overflowPunct/>
        <w:topLinePunct w:val="0"/>
        <w:autoSpaceDE/>
        <w:autoSpaceDN/>
        <w:bidi w:val="0"/>
        <w:adjustRightInd/>
        <w:snapToGrid/>
        <w:spacing w:line="578" w:lineRule="exact"/>
        <w:ind w:right="-1" w:firstLine="704" w:firstLineChars="220"/>
        <w:textAlignment w:val="auto"/>
        <w:rPr>
          <w:rFonts w:ascii="仿宋" w:hAnsi="仿宋" w:eastAsia="仿宋"/>
          <w:sz w:val="32"/>
          <w:szCs w:val="32"/>
        </w:rPr>
      </w:pPr>
      <w:r>
        <w:rPr>
          <w:rFonts w:hint="eastAsia" w:ascii="仿宋" w:hAnsi="仿宋" w:eastAsia="仿宋"/>
          <w:sz w:val="32"/>
          <w:szCs w:val="32"/>
        </w:rPr>
        <w:t>2.4 评标是招标工作的重要环节，评标工作由评标委员会依据招标文件、招标人提供的资料、投标文件进行。</w:t>
      </w:r>
      <w:bookmarkStart w:id="15" w:name="_Toc454462773"/>
      <w:bookmarkStart w:id="16" w:name="_Toc454460851"/>
      <w:bookmarkStart w:id="17" w:name="_Toc454461386"/>
    </w:p>
    <w:p>
      <w:pPr>
        <w:keepNext w:val="0"/>
        <w:keepLines w:val="0"/>
        <w:pageBreakBefore w:val="0"/>
        <w:tabs>
          <w:tab w:val="left" w:pos="8280"/>
        </w:tabs>
        <w:kinsoku/>
        <w:wordWrap/>
        <w:overflowPunct/>
        <w:topLinePunct w:val="0"/>
        <w:autoSpaceDE/>
        <w:autoSpaceDN/>
        <w:bidi w:val="0"/>
        <w:adjustRightInd/>
        <w:snapToGrid/>
        <w:spacing w:line="578" w:lineRule="exact"/>
        <w:ind w:right="-1" w:firstLine="707" w:firstLineChars="220"/>
        <w:textAlignment w:val="auto"/>
        <w:rPr>
          <w:rFonts w:ascii="仿宋" w:hAnsi="仿宋" w:eastAsia="仿宋"/>
          <w:b/>
          <w:sz w:val="32"/>
          <w:szCs w:val="32"/>
        </w:rPr>
      </w:pPr>
      <w:r>
        <w:rPr>
          <w:rFonts w:hint="eastAsia" w:ascii="仿宋" w:hAnsi="仿宋" w:eastAsia="仿宋"/>
          <w:b/>
          <w:sz w:val="32"/>
          <w:szCs w:val="32"/>
        </w:rPr>
        <w:t>3.评标步骤</w:t>
      </w:r>
      <w:bookmarkEnd w:id="15"/>
      <w:bookmarkEnd w:id="16"/>
      <w:bookmarkEnd w:id="17"/>
    </w:p>
    <w:p>
      <w:pPr>
        <w:keepNext w:val="0"/>
        <w:keepLines w:val="0"/>
        <w:pageBreakBefore w:val="0"/>
        <w:kinsoku/>
        <w:wordWrap/>
        <w:overflowPunct/>
        <w:topLinePunct w:val="0"/>
        <w:autoSpaceDE/>
        <w:autoSpaceDN/>
        <w:bidi w:val="0"/>
        <w:adjustRightInd/>
        <w:snapToGrid/>
        <w:spacing w:line="578" w:lineRule="exact"/>
        <w:ind w:firstLine="704" w:firstLineChars="220"/>
        <w:textAlignment w:val="auto"/>
        <w:rPr>
          <w:rFonts w:ascii="仿宋" w:hAnsi="仿宋" w:eastAsia="仿宋"/>
          <w:sz w:val="32"/>
          <w:szCs w:val="32"/>
        </w:rPr>
      </w:pPr>
      <w:r>
        <w:rPr>
          <w:rFonts w:hint="eastAsia" w:ascii="仿宋" w:hAnsi="仿宋" w:eastAsia="仿宋"/>
          <w:sz w:val="32"/>
          <w:szCs w:val="32"/>
        </w:rPr>
        <w:t>评标依据是招标文件、投标文件及相关的法律法规。</w:t>
      </w:r>
      <w:bookmarkStart w:id="18" w:name="_Toc454462774"/>
      <w:bookmarkStart w:id="19" w:name="_Toc454461387"/>
      <w:bookmarkStart w:id="20" w:name="_Toc454460852"/>
    </w:p>
    <w:bookmarkEnd w:id="18"/>
    <w:bookmarkEnd w:id="19"/>
    <w:bookmarkEnd w:id="20"/>
    <w:p>
      <w:pPr>
        <w:keepNext w:val="0"/>
        <w:keepLines w:val="0"/>
        <w:pageBreakBefore w:val="0"/>
        <w:kinsoku/>
        <w:wordWrap/>
        <w:overflowPunct/>
        <w:topLinePunct w:val="0"/>
        <w:autoSpaceDE/>
        <w:autoSpaceDN/>
        <w:bidi w:val="0"/>
        <w:adjustRightInd/>
        <w:snapToGrid/>
        <w:spacing w:line="578" w:lineRule="exact"/>
        <w:ind w:firstLine="704" w:firstLineChars="220"/>
        <w:textAlignment w:val="auto"/>
        <w:rPr>
          <w:rFonts w:ascii="仿宋" w:hAnsi="仿宋" w:eastAsia="仿宋"/>
          <w:sz w:val="32"/>
          <w:szCs w:val="32"/>
        </w:rPr>
      </w:pPr>
      <w:bookmarkStart w:id="21" w:name="_Toc454462775"/>
      <w:bookmarkStart w:id="22" w:name="_Toc454460853"/>
      <w:bookmarkStart w:id="23" w:name="_Toc454461388"/>
      <w:r>
        <w:rPr>
          <w:rFonts w:hint="eastAsia" w:ascii="仿宋" w:hAnsi="仿宋" w:eastAsia="仿宋"/>
          <w:sz w:val="32"/>
          <w:szCs w:val="32"/>
        </w:rPr>
        <w:t>3.1资质评审。根据招标文件的规定，对各投标人的资质及必须达到的要求证明文件进行评审，对不符合招标文件要求的投标不再进入下一步的评审。</w:t>
      </w:r>
      <w:bookmarkEnd w:id="21"/>
      <w:bookmarkEnd w:id="22"/>
      <w:bookmarkEnd w:id="23"/>
    </w:p>
    <w:p>
      <w:pPr>
        <w:keepNext w:val="0"/>
        <w:keepLines w:val="0"/>
        <w:pageBreakBefore w:val="0"/>
        <w:tabs>
          <w:tab w:val="left" w:pos="8280"/>
        </w:tabs>
        <w:kinsoku/>
        <w:wordWrap/>
        <w:overflowPunct/>
        <w:topLinePunct w:val="0"/>
        <w:autoSpaceDE/>
        <w:autoSpaceDN/>
        <w:bidi w:val="0"/>
        <w:adjustRightInd/>
        <w:snapToGrid/>
        <w:spacing w:line="578" w:lineRule="exact"/>
        <w:ind w:right="-1" w:firstLine="704" w:firstLineChars="220"/>
        <w:textAlignment w:val="auto"/>
        <w:outlineLvl w:val="0"/>
        <w:rPr>
          <w:rFonts w:ascii="仿宋" w:hAnsi="仿宋" w:eastAsia="仿宋"/>
          <w:sz w:val="32"/>
          <w:szCs w:val="32"/>
        </w:rPr>
      </w:pPr>
      <w:bookmarkStart w:id="24" w:name="_Toc454460854"/>
      <w:bookmarkStart w:id="25" w:name="_Toc454462776"/>
      <w:bookmarkStart w:id="26" w:name="_Toc454461389"/>
      <w:r>
        <w:rPr>
          <w:rFonts w:hint="eastAsia" w:ascii="仿宋" w:hAnsi="仿宋" w:eastAsia="仿宋"/>
          <w:sz w:val="32"/>
          <w:szCs w:val="32"/>
        </w:rPr>
        <w:t>3.2 标书评审。按照招标文件的规定，对所有有效投标人的投标文件进行评审、打分；</w:t>
      </w:r>
      <w:bookmarkEnd w:id="24"/>
      <w:bookmarkEnd w:id="25"/>
      <w:bookmarkEnd w:id="26"/>
    </w:p>
    <w:p>
      <w:pPr>
        <w:keepNext w:val="0"/>
        <w:keepLines w:val="0"/>
        <w:pageBreakBefore w:val="0"/>
        <w:tabs>
          <w:tab w:val="left" w:pos="8280"/>
        </w:tabs>
        <w:kinsoku/>
        <w:wordWrap/>
        <w:overflowPunct/>
        <w:topLinePunct w:val="0"/>
        <w:autoSpaceDE/>
        <w:autoSpaceDN/>
        <w:bidi w:val="0"/>
        <w:adjustRightInd/>
        <w:snapToGrid/>
        <w:spacing w:line="578" w:lineRule="exact"/>
        <w:ind w:right="-1" w:firstLine="704" w:firstLineChars="220"/>
        <w:textAlignment w:val="auto"/>
        <w:outlineLvl w:val="0"/>
        <w:rPr>
          <w:rFonts w:ascii="仿宋" w:hAnsi="仿宋" w:eastAsia="仿宋"/>
          <w:sz w:val="32"/>
          <w:szCs w:val="32"/>
        </w:rPr>
      </w:pPr>
      <w:bookmarkStart w:id="27" w:name="_Toc454462777"/>
      <w:bookmarkStart w:id="28" w:name="_Toc454461390"/>
      <w:bookmarkStart w:id="29" w:name="_Toc454460855"/>
      <w:r>
        <w:rPr>
          <w:rFonts w:hint="eastAsia" w:ascii="仿宋" w:hAnsi="仿宋" w:eastAsia="仿宋"/>
          <w:sz w:val="32"/>
          <w:szCs w:val="32"/>
        </w:rPr>
        <w:t>说明：澄清有关问题。为了有助于对投标文件的审查、评估和比较，评标委员会对投标文件中含义不明确、同类问题表述不一致或有明显文字和计算错误的内容，可以书面形式要求投标人做出必要的澄清、说明或者纠正。投标人的澄清、说明或者纠正必须是书面形式，由其法定代表人或授权的委托代理人签字，并不得超出投标文件的范围或者投标文件的实质性内容。</w:t>
      </w:r>
      <w:bookmarkEnd w:id="27"/>
      <w:bookmarkEnd w:id="28"/>
      <w:bookmarkEnd w:id="29"/>
    </w:p>
    <w:p>
      <w:pPr>
        <w:keepNext w:val="0"/>
        <w:keepLines w:val="0"/>
        <w:pageBreakBefore w:val="0"/>
        <w:tabs>
          <w:tab w:val="left" w:pos="8280"/>
        </w:tabs>
        <w:kinsoku/>
        <w:wordWrap/>
        <w:overflowPunct/>
        <w:topLinePunct w:val="0"/>
        <w:autoSpaceDE/>
        <w:autoSpaceDN/>
        <w:bidi w:val="0"/>
        <w:adjustRightInd/>
        <w:snapToGrid/>
        <w:spacing w:line="578" w:lineRule="exact"/>
        <w:ind w:right="-1" w:firstLine="704" w:firstLineChars="220"/>
        <w:textAlignment w:val="auto"/>
        <w:outlineLvl w:val="0"/>
        <w:rPr>
          <w:rFonts w:ascii="仿宋" w:hAnsi="仿宋" w:eastAsia="仿宋"/>
          <w:sz w:val="32"/>
          <w:szCs w:val="32"/>
        </w:rPr>
      </w:pPr>
      <w:bookmarkStart w:id="30" w:name="_Toc454461391"/>
      <w:bookmarkStart w:id="31" w:name="_Toc454460856"/>
      <w:bookmarkStart w:id="32" w:name="_Toc454462778"/>
      <w:r>
        <w:rPr>
          <w:rFonts w:hint="eastAsia" w:ascii="仿宋" w:hAnsi="仿宋" w:eastAsia="仿宋"/>
          <w:sz w:val="32"/>
          <w:szCs w:val="32"/>
        </w:rPr>
        <w:t>3.3中标人的确定方式。</w:t>
      </w:r>
      <w:bookmarkEnd w:id="30"/>
      <w:bookmarkEnd w:id="31"/>
      <w:bookmarkEnd w:id="32"/>
    </w:p>
    <w:p>
      <w:pPr>
        <w:pStyle w:val="4"/>
        <w:keepNext w:val="0"/>
        <w:keepLines w:val="0"/>
        <w:pageBreakBefore w:val="0"/>
        <w:kinsoku/>
        <w:wordWrap/>
        <w:overflowPunct/>
        <w:topLinePunct w:val="0"/>
        <w:autoSpaceDE/>
        <w:autoSpaceDN/>
        <w:bidi w:val="0"/>
        <w:adjustRightInd/>
        <w:snapToGrid/>
        <w:spacing w:line="578" w:lineRule="exact"/>
        <w:ind w:left="0" w:leftChars="0" w:firstLine="704" w:firstLineChars="220"/>
        <w:textAlignment w:val="auto"/>
        <w:rPr>
          <w:rFonts w:ascii="仿宋" w:hAnsi="仿宋" w:eastAsia="仿宋"/>
          <w:b w:val="0"/>
          <w:bCs w:val="0"/>
          <w:sz w:val="32"/>
          <w:szCs w:val="32"/>
        </w:rPr>
      </w:pPr>
      <w:bookmarkStart w:id="33" w:name="_Toc454460857"/>
      <w:bookmarkStart w:id="34" w:name="_Toc454462779"/>
      <w:bookmarkStart w:id="35" w:name="_Toc454461392"/>
      <w:r>
        <w:rPr>
          <w:rFonts w:hint="eastAsia" w:ascii="仿宋" w:hAnsi="仿宋" w:eastAsia="仿宋"/>
          <w:b w:val="0"/>
          <w:bCs w:val="0"/>
          <w:sz w:val="32"/>
          <w:szCs w:val="32"/>
        </w:rPr>
        <w:t>（1）评标专家根据资料进行计算并将评分填入《2024年度（第一期）吉林省省级国库现金管理商业银行定期存款招标评价指标得分表》并签名，评标委员会成员评分表作为招标归档资料保存。</w:t>
      </w:r>
      <w:bookmarkEnd w:id="33"/>
      <w:bookmarkEnd w:id="34"/>
      <w:bookmarkEnd w:id="35"/>
    </w:p>
    <w:p>
      <w:pPr>
        <w:pStyle w:val="4"/>
        <w:keepNext w:val="0"/>
        <w:keepLines w:val="0"/>
        <w:pageBreakBefore w:val="0"/>
        <w:kinsoku/>
        <w:wordWrap/>
        <w:overflowPunct/>
        <w:topLinePunct w:val="0"/>
        <w:autoSpaceDE/>
        <w:autoSpaceDN/>
        <w:bidi w:val="0"/>
        <w:adjustRightInd/>
        <w:snapToGrid/>
        <w:spacing w:line="578" w:lineRule="exact"/>
        <w:ind w:left="0" w:leftChars="0" w:firstLine="704" w:firstLineChars="220"/>
        <w:textAlignment w:val="auto"/>
        <w:rPr>
          <w:rFonts w:ascii="仿宋" w:hAnsi="仿宋" w:eastAsia="仿宋"/>
          <w:b w:val="0"/>
          <w:bCs w:val="0"/>
          <w:sz w:val="32"/>
          <w:szCs w:val="32"/>
        </w:rPr>
      </w:pPr>
      <w:bookmarkStart w:id="36" w:name="_Toc454462780"/>
      <w:bookmarkStart w:id="37" w:name="_Toc454461393"/>
      <w:bookmarkStart w:id="38" w:name="_Toc454460858"/>
      <w:r>
        <w:rPr>
          <w:rFonts w:hint="eastAsia" w:ascii="仿宋" w:hAnsi="仿宋" w:eastAsia="仿宋"/>
          <w:b w:val="0"/>
          <w:bCs w:val="0"/>
          <w:sz w:val="32"/>
          <w:szCs w:val="32"/>
        </w:rPr>
        <w:t>（2）招标代理机构工作人员对评标委员会成员打分汇总。</w:t>
      </w:r>
      <w:bookmarkEnd w:id="36"/>
      <w:bookmarkEnd w:id="37"/>
      <w:bookmarkEnd w:id="38"/>
    </w:p>
    <w:p>
      <w:pPr>
        <w:pStyle w:val="4"/>
        <w:keepNext w:val="0"/>
        <w:keepLines w:val="0"/>
        <w:pageBreakBefore w:val="0"/>
        <w:kinsoku/>
        <w:wordWrap/>
        <w:overflowPunct/>
        <w:topLinePunct w:val="0"/>
        <w:autoSpaceDE/>
        <w:autoSpaceDN/>
        <w:bidi w:val="0"/>
        <w:adjustRightInd/>
        <w:snapToGrid/>
        <w:spacing w:line="578" w:lineRule="exact"/>
        <w:ind w:left="0" w:leftChars="0" w:firstLine="704" w:firstLineChars="220"/>
        <w:textAlignment w:val="auto"/>
        <w:rPr>
          <w:rFonts w:ascii="仿宋" w:hAnsi="仿宋" w:eastAsia="仿宋"/>
          <w:b w:val="0"/>
          <w:bCs w:val="0"/>
          <w:sz w:val="32"/>
          <w:szCs w:val="32"/>
        </w:rPr>
      </w:pPr>
      <w:bookmarkStart w:id="39" w:name="_Toc454460859"/>
      <w:bookmarkStart w:id="40" w:name="_Toc454462781"/>
      <w:bookmarkStart w:id="41" w:name="_Toc454461394"/>
      <w:r>
        <w:rPr>
          <w:rFonts w:hint="eastAsia" w:ascii="仿宋" w:hAnsi="仿宋" w:eastAsia="仿宋"/>
          <w:b w:val="0"/>
          <w:bCs w:val="0"/>
          <w:sz w:val="32"/>
          <w:szCs w:val="32"/>
        </w:rPr>
        <w:t>（3）评分计算保留2位小数,第三位小数四舍五入。</w:t>
      </w:r>
      <w:bookmarkEnd w:id="39"/>
      <w:bookmarkEnd w:id="40"/>
      <w:bookmarkEnd w:id="41"/>
    </w:p>
    <w:p>
      <w:pPr>
        <w:keepNext w:val="0"/>
        <w:keepLines w:val="0"/>
        <w:pageBreakBefore w:val="0"/>
        <w:tabs>
          <w:tab w:val="left" w:pos="8280"/>
        </w:tabs>
        <w:kinsoku/>
        <w:wordWrap/>
        <w:overflowPunct/>
        <w:topLinePunct w:val="0"/>
        <w:autoSpaceDE/>
        <w:autoSpaceDN/>
        <w:bidi w:val="0"/>
        <w:adjustRightInd/>
        <w:snapToGrid/>
        <w:spacing w:line="578" w:lineRule="exact"/>
        <w:ind w:firstLine="704" w:firstLineChars="220"/>
        <w:textAlignment w:val="auto"/>
        <w:rPr>
          <w:rFonts w:ascii="仿宋" w:hAnsi="仿宋" w:eastAsia="仿宋"/>
          <w:sz w:val="32"/>
          <w:szCs w:val="32"/>
        </w:rPr>
      </w:pPr>
      <w:r>
        <w:rPr>
          <w:rFonts w:hint="eastAsia" w:ascii="仿宋" w:hAnsi="仿宋" w:eastAsia="仿宋"/>
          <w:sz w:val="32"/>
          <w:szCs w:val="32"/>
        </w:rPr>
        <w:t>（4）评标委员会成员独立完成打分并对打分承担个人责任。</w:t>
      </w:r>
    </w:p>
    <w:p>
      <w:pPr>
        <w:pStyle w:val="4"/>
        <w:keepNext w:val="0"/>
        <w:keepLines w:val="0"/>
        <w:pageBreakBefore w:val="0"/>
        <w:kinsoku/>
        <w:wordWrap/>
        <w:overflowPunct/>
        <w:topLinePunct w:val="0"/>
        <w:autoSpaceDE/>
        <w:autoSpaceDN/>
        <w:bidi w:val="0"/>
        <w:adjustRightInd/>
        <w:snapToGrid/>
        <w:spacing w:line="578" w:lineRule="exact"/>
        <w:ind w:left="0" w:leftChars="0" w:firstLine="704" w:firstLineChars="220"/>
        <w:textAlignment w:val="auto"/>
        <w:rPr>
          <w:rFonts w:ascii="仿宋" w:hAnsi="仿宋" w:eastAsia="仿宋"/>
          <w:b w:val="0"/>
          <w:bCs w:val="0"/>
          <w:sz w:val="32"/>
          <w:szCs w:val="32"/>
        </w:rPr>
      </w:pPr>
      <w:bookmarkStart w:id="42" w:name="_Toc454460860"/>
      <w:bookmarkStart w:id="43" w:name="_Toc454461395"/>
      <w:bookmarkStart w:id="44" w:name="_Toc454462782"/>
      <w:r>
        <w:rPr>
          <w:rFonts w:hint="eastAsia" w:ascii="仿宋" w:hAnsi="仿宋" w:eastAsia="仿宋"/>
          <w:b w:val="0"/>
          <w:bCs w:val="0"/>
          <w:sz w:val="32"/>
          <w:szCs w:val="32"/>
        </w:rPr>
        <w:t>（5）无效投标的投标人，不予打分。</w:t>
      </w:r>
      <w:bookmarkEnd w:id="42"/>
      <w:bookmarkEnd w:id="43"/>
      <w:bookmarkEnd w:id="44"/>
      <w:bookmarkStart w:id="45" w:name="_Toc454462783"/>
    </w:p>
    <w:p>
      <w:pPr>
        <w:pStyle w:val="4"/>
        <w:keepNext w:val="0"/>
        <w:keepLines w:val="0"/>
        <w:pageBreakBefore w:val="0"/>
        <w:kinsoku/>
        <w:wordWrap/>
        <w:overflowPunct/>
        <w:topLinePunct w:val="0"/>
        <w:autoSpaceDE/>
        <w:autoSpaceDN/>
        <w:bidi w:val="0"/>
        <w:adjustRightInd/>
        <w:snapToGrid/>
        <w:spacing w:line="578" w:lineRule="exact"/>
        <w:ind w:left="0" w:leftChars="0" w:firstLine="707" w:firstLineChars="220"/>
        <w:textAlignment w:val="auto"/>
        <w:rPr>
          <w:rFonts w:ascii="仿宋" w:hAnsi="仿宋" w:eastAsia="仿宋"/>
          <w:b w:val="0"/>
          <w:bCs w:val="0"/>
          <w:sz w:val="32"/>
          <w:szCs w:val="32"/>
        </w:rPr>
      </w:pPr>
      <w:r>
        <w:rPr>
          <w:rFonts w:hint="eastAsia" w:ascii="仿宋" w:hAnsi="仿宋" w:eastAsia="仿宋"/>
          <w:sz w:val="32"/>
          <w:szCs w:val="32"/>
        </w:rPr>
        <w:t>4、评价体系</w:t>
      </w:r>
      <w:bookmarkEnd w:id="45"/>
    </w:p>
    <w:p>
      <w:pPr>
        <w:keepNext w:val="0"/>
        <w:keepLines w:val="0"/>
        <w:pageBreakBefore w:val="0"/>
        <w:kinsoku/>
        <w:wordWrap/>
        <w:overflowPunct/>
        <w:topLinePunct w:val="0"/>
        <w:autoSpaceDE/>
        <w:autoSpaceDN/>
        <w:bidi w:val="0"/>
        <w:adjustRightInd/>
        <w:snapToGrid/>
        <w:spacing w:line="578" w:lineRule="exact"/>
        <w:ind w:firstLine="704" w:firstLineChars="220"/>
        <w:textAlignment w:val="auto"/>
        <w:rPr>
          <w:rFonts w:ascii="仿宋" w:hAnsi="仿宋" w:eastAsia="仿宋"/>
          <w:sz w:val="32"/>
          <w:szCs w:val="32"/>
        </w:rPr>
      </w:pPr>
      <w:r>
        <w:rPr>
          <w:rFonts w:hint="eastAsia" w:ascii="仿宋" w:hAnsi="仿宋" w:eastAsia="仿宋"/>
          <w:sz w:val="32"/>
          <w:szCs w:val="32"/>
        </w:rPr>
        <w:t>评标委员会依据招标文件和投标银行报送的相关数据进行评标，按照吉林省省级国库现金管理综合评价指标体系计算各投标银行的得分。</w:t>
      </w:r>
    </w:p>
    <w:p>
      <w:pPr>
        <w:keepNext w:val="0"/>
        <w:keepLines w:val="0"/>
        <w:pageBreakBefore w:val="0"/>
        <w:kinsoku/>
        <w:wordWrap/>
        <w:overflowPunct/>
        <w:topLinePunct w:val="0"/>
        <w:autoSpaceDE/>
        <w:autoSpaceDN/>
        <w:bidi w:val="0"/>
        <w:adjustRightInd/>
        <w:snapToGrid/>
        <w:spacing w:line="578" w:lineRule="exact"/>
        <w:ind w:firstLine="707" w:firstLineChars="220"/>
        <w:textAlignment w:val="auto"/>
        <w:rPr>
          <w:rFonts w:ascii="仿宋" w:hAnsi="仿宋" w:eastAsia="仿宋"/>
          <w:sz w:val="32"/>
          <w:szCs w:val="32"/>
        </w:rPr>
      </w:pPr>
      <w:r>
        <w:rPr>
          <w:rFonts w:hint="eastAsia" w:ascii="仿宋" w:hAnsi="仿宋" w:eastAsia="仿宋"/>
          <w:b/>
          <w:sz w:val="32"/>
          <w:szCs w:val="32"/>
        </w:rPr>
        <w:t>4.1吉林省省级国库现金管理综合评价指标体系。</w:t>
      </w:r>
      <w:r>
        <w:rPr>
          <w:rFonts w:hint="eastAsia" w:ascii="仿宋" w:hAnsi="仿宋" w:eastAsia="仿宋"/>
          <w:sz w:val="32"/>
          <w:szCs w:val="32"/>
        </w:rPr>
        <w:t>分为安全性、收益性、贡献度3大类指标，权重分别为40%、10%、50%。满分为</w:t>
      </w:r>
      <w:r>
        <w:rPr>
          <w:rFonts w:ascii="仿宋" w:hAnsi="仿宋" w:eastAsia="仿宋"/>
          <w:sz w:val="32"/>
          <w:szCs w:val="32"/>
        </w:rPr>
        <w:t>100</w:t>
      </w:r>
      <w:r>
        <w:rPr>
          <w:rFonts w:hint="eastAsia" w:ascii="仿宋" w:hAnsi="仿宋" w:eastAsia="仿宋"/>
          <w:sz w:val="32"/>
          <w:szCs w:val="32"/>
        </w:rPr>
        <w:t>分。</w:t>
      </w:r>
    </w:p>
    <w:p>
      <w:pPr>
        <w:keepNext w:val="0"/>
        <w:keepLines w:val="0"/>
        <w:pageBreakBefore w:val="0"/>
        <w:kinsoku/>
        <w:wordWrap/>
        <w:overflowPunct/>
        <w:topLinePunct w:val="0"/>
        <w:autoSpaceDE/>
        <w:autoSpaceDN/>
        <w:bidi w:val="0"/>
        <w:adjustRightInd/>
        <w:snapToGrid/>
        <w:spacing w:line="578" w:lineRule="exact"/>
        <w:ind w:firstLine="643" w:firstLineChars="200"/>
        <w:textAlignment w:val="auto"/>
        <w:rPr>
          <w:rFonts w:ascii="仿宋" w:hAnsi="仿宋" w:eastAsia="仿宋"/>
          <w:b/>
          <w:sz w:val="32"/>
          <w:szCs w:val="32"/>
        </w:rPr>
      </w:pPr>
      <w:r>
        <w:rPr>
          <w:rFonts w:hint="eastAsia" w:ascii="仿宋" w:hAnsi="仿宋" w:eastAsia="仿宋"/>
          <w:b/>
          <w:sz w:val="32"/>
          <w:szCs w:val="32"/>
        </w:rPr>
        <w:t>4.2 2024年第一期评分规则</w:t>
      </w:r>
    </w:p>
    <w:p>
      <w:pPr>
        <w:keepNext w:val="0"/>
        <w:keepLines w:val="0"/>
        <w:pageBreakBefore w:val="0"/>
        <w:kinsoku/>
        <w:wordWrap/>
        <w:overflowPunct/>
        <w:topLinePunct w:val="0"/>
        <w:autoSpaceDE/>
        <w:autoSpaceDN/>
        <w:bidi w:val="0"/>
        <w:adjustRightInd/>
        <w:snapToGrid/>
        <w:spacing w:line="578" w:lineRule="exact"/>
        <w:ind w:firstLine="643" w:firstLineChars="200"/>
        <w:textAlignment w:val="auto"/>
        <w:rPr>
          <w:rFonts w:ascii="仿宋" w:hAnsi="仿宋" w:eastAsia="仿宋"/>
          <w:b/>
          <w:sz w:val="32"/>
          <w:szCs w:val="32"/>
        </w:rPr>
      </w:pPr>
      <w:r>
        <w:rPr>
          <w:rFonts w:hint="eastAsia" w:ascii="仿宋" w:hAnsi="仿宋" w:eastAsia="仿宋" w:cs="黑体"/>
          <w:b/>
          <w:sz w:val="32"/>
          <w:szCs w:val="32"/>
        </w:rPr>
        <w:t>4.2.1安全性指标</w:t>
      </w:r>
      <w:r>
        <w:rPr>
          <w:rFonts w:hint="eastAsia" w:ascii="仿宋" w:hAnsi="仿宋" w:eastAsia="仿宋"/>
          <w:b/>
          <w:sz w:val="32"/>
          <w:szCs w:val="32"/>
        </w:rPr>
        <w:t>（满分40分）</w:t>
      </w:r>
    </w:p>
    <w:p>
      <w:pPr>
        <w:keepNext w:val="0"/>
        <w:keepLines w:val="0"/>
        <w:pageBreakBefore w:val="0"/>
        <w:kinsoku/>
        <w:wordWrap/>
        <w:overflowPunct/>
        <w:topLinePunct w:val="0"/>
        <w:autoSpaceDE/>
        <w:autoSpaceDN/>
        <w:bidi w:val="0"/>
        <w:adjustRightInd/>
        <w:snapToGrid/>
        <w:spacing w:line="578" w:lineRule="exact"/>
        <w:ind w:firstLine="643" w:firstLineChars="200"/>
        <w:textAlignment w:val="auto"/>
        <w:rPr>
          <w:rFonts w:ascii="仿宋" w:hAnsi="仿宋" w:eastAsia="仿宋"/>
          <w:sz w:val="32"/>
          <w:szCs w:val="32"/>
        </w:rPr>
      </w:pPr>
      <w:r>
        <w:rPr>
          <w:rFonts w:hint="eastAsia" w:ascii="仿宋" w:hAnsi="仿宋" w:eastAsia="仿宋"/>
          <w:b/>
          <w:bCs/>
          <w:sz w:val="32"/>
          <w:szCs w:val="32"/>
        </w:rPr>
        <w:t>4.2.1.1资本充足率（8分）。</w:t>
      </w:r>
      <w:r>
        <w:rPr>
          <w:rFonts w:hint="eastAsia" w:ascii="仿宋" w:hAnsi="仿宋" w:eastAsia="仿宋"/>
          <w:sz w:val="32"/>
          <w:szCs w:val="32"/>
        </w:rPr>
        <w:t>根据存款银行上一年末资本充足率数据为评分依据。资本充足率达到监管标准，按照资本充足率进行递减排名，第一名得满分，从第二名开始依次递减0.05分，如数值相同，按同档计分。</w:t>
      </w:r>
    </w:p>
    <w:p>
      <w:pPr>
        <w:keepNext w:val="0"/>
        <w:keepLines w:val="0"/>
        <w:pageBreakBefore w:val="0"/>
        <w:kinsoku/>
        <w:wordWrap/>
        <w:overflowPunct/>
        <w:topLinePunct w:val="0"/>
        <w:autoSpaceDE/>
        <w:autoSpaceDN/>
        <w:bidi w:val="0"/>
        <w:adjustRightInd/>
        <w:snapToGrid/>
        <w:spacing w:line="578" w:lineRule="exact"/>
        <w:ind w:firstLine="643" w:firstLineChars="200"/>
        <w:textAlignment w:val="auto"/>
        <w:rPr>
          <w:rFonts w:ascii="仿宋" w:hAnsi="仿宋" w:eastAsia="仿宋"/>
          <w:sz w:val="32"/>
          <w:szCs w:val="32"/>
        </w:rPr>
      </w:pPr>
      <w:r>
        <w:rPr>
          <w:rFonts w:hint="eastAsia" w:ascii="楷体" w:hAnsi="楷体" w:eastAsia="楷体"/>
          <w:b/>
          <w:bCs/>
          <w:sz w:val="32"/>
          <w:szCs w:val="32"/>
        </w:rPr>
        <w:t>4.2.1.2不良贷款率（8分）。</w:t>
      </w:r>
      <w:r>
        <w:rPr>
          <w:rFonts w:hint="eastAsia" w:ascii="仿宋" w:hAnsi="仿宋" w:eastAsia="仿宋"/>
          <w:sz w:val="32"/>
          <w:szCs w:val="32"/>
        </w:rPr>
        <w:t>根据存款银行上一年末不良贷款率数据为评分依据。不良贷款率达到监管标准，按照不良贷款率进行递增排名，第一名得满分，从第二名开始依次递减0.05分，如数值相同，按同档计分。</w:t>
      </w:r>
    </w:p>
    <w:p>
      <w:pPr>
        <w:keepNext w:val="0"/>
        <w:keepLines w:val="0"/>
        <w:pageBreakBefore w:val="0"/>
        <w:kinsoku/>
        <w:wordWrap/>
        <w:overflowPunct/>
        <w:topLinePunct w:val="0"/>
        <w:autoSpaceDE/>
        <w:autoSpaceDN/>
        <w:bidi w:val="0"/>
        <w:adjustRightInd/>
        <w:snapToGrid/>
        <w:spacing w:line="578" w:lineRule="exact"/>
        <w:ind w:firstLine="643" w:firstLineChars="200"/>
        <w:textAlignment w:val="auto"/>
        <w:rPr>
          <w:rFonts w:ascii="仿宋" w:hAnsi="仿宋" w:eastAsia="仿宋"/>
          <w:sz w:val="32"/>
          <w:szCs w:val="32"/>
        </w:rPr>
      </w:pPr>
      <w:r>
        <w:rPr>
          <w:rFonts w:hint="eastAsia" w:ascii="楷体" w:hAnsi="楷体" w:eastAsia="楷体"/>
          <w:b/>
          <w:bCs/>
          <w:sz w:val="32"/>
          <w:szCs w:val="32"/>
        </w:rPr>
        <w:t>4.2.1.3拨备覆盖率（8分）。</w:t>
      </w:r>
      <w:r>
        <w:rPr>
          <w:rFonts w:hint="eastAsia" w:ascii="仿宋" w:hAnsi="仿宋" w:eastAsia="仿宋"/>
          <w:sz w:val="32"/>
          <w:szCs w:val="32"/>
        </w:rPr>
        <w:t>根据存款银行上一年末拨备覆盖率数据为评分依据。拨备覆盖率达到监管标准，按照拨备覆盖率进行递减排名，第一名得满分，从第二名开始依次递减0.05分，如数值相同，按同档计分。</w:t>
      </w:r>
    </w:p>
    <w:p>
      <w:pPr>
        <w:keepNext w:val="0"/>
        <w:keepLines w:val="0"/>
        <w:pageBreakBefore w:val="0"/>
        <w:kinsoku/>
        <w:wordWrap/>
        <w:overflowPunct/>
        <w:topLinePunct w:val="0"/>
        <w:autoSpaceDE/>
        <w:autoSpaceDN/>
        <w:bidi w:val="0"/>
        <w:adjustRightInd/>
        <w:snapToGrid/>
        <w:spacing w:line="578" w:lineRule="exact"/>
        <w:ind w:firstLine="643" w:firstLineChars="200"/>
        <w:textAlignment w:val="auto"/>
        <w:rPr>
          <w:rFonts w:ascii="仿宋" w:hAnsi="仿宋" w:eastAsia="仿宋"/>
          <w:sz w:val="32"/>
          <w:szCs w:val="32"/>
        </w:rPr>
      </w:pPr>
      <w:r>
        <w:rPr>
          <w:rFonts w:hint="eastAsia" w:ascii="楷体" w:hAnsi="楷体" w:eastAsia="楷体"/>
          <w:b/>
          <w:bCs/>
          <w:sz w:val="32"/>
          <w:szCs w:val="32"/>
        </w:rPr>
        <w:t>4.2.1.4流动性覆盖率（8分）。</w:t>
      </w:r>
      <w:r>
        <w:rPr>
          <w:rFonts w:hint="eastAsia" w:ascii="仿宋" w:hAnsi="仿宋" w:eastAsia="仿宋"/>
          <w:sz w:val="32"/>
          <w:szCs w:val="32"/>
        </w:rPr>
        <w:t>根据存款银行上一年末流动性覆盖率数据为评分依据。流动性覆盖率达到监管标准，按照流动性覆盖率进行递减排名，第一名得满分，从第二名开始依次递减0.05分，如数值相同，按同档计分。</w:t>
      </w:r>
    </w:p>
    <w:p>
      <w:pPr>
        <w:keepNext w:val="0"/>
        <w:keepLines w:val="0"/>
        <w:pageBreakBefore w:val="0"/>
        <w:kinsoku/>
        <w:wordWrap/>
        <w:overflowPunct/>
        <w:topLinePunct w:val="0"/>
        <w:autoSpaceDE/>
        <w:autoSpaceDN/>
        <w:bidi w:val="0"/>
        <w:adjustRightInd/>
        <w:snapToGrid/>
        <w:spacing w:line="578" w:lineRule="exact"/>
        <w:ind w:firstLine="643" w:firstLineChars="200"/>
        <w:textAlignment w:val="auto"/>
        <w:rPr>
          <w:rFonts w:ascii="仿宋" w:hAnsi="仿宋" w:eastAsia="仿宋"/>
          <w:sz w:val="32"/>
          <w:szCs w:val="32"/>
        </w:rPr>
      </w:pPr>
      <w:r>
        <w:rPr>
          <w:rFonts w:hint="eastAsia" w:ascii="楷体" w:hAnsi="楷体" w:eastAsia="楷体"/>
          <w:b/>
          <w:bCs/>
          <w:sz w:val="32"/>
          <w:szCs w:val="32"/>
        </w:rPr>
        <w:t>4.2.1.5流动性比例（8分）。</w:t>
      </w:r>
      <w:r>
        <w:rPr>
          <w:rFonts w:hint="eastAsia" w:ascii="仿宋" w:hAnsi="仿宋" w:eastAsia="仿宋"/>
          <w:sz w:val="32"/>
          <w:szCs w:val="32"/>
        </w:rPr>
        <w:t>根据存款银行上一年末流动性比例数据为评分依据。流动性比例达到监管标准，按照流动性比例进行递减排名，第一名得满分，从第二名开始依次递减0.05分，如数值相同，按同档计分。</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仿宋" w:hAnsi="仿宋" w:eastAsia="仿宋"/>
          <w:sz w:val="32"/>
          <w:szCs w:val="32"/>
        </w:rPr>
      </w:pPr>
      <w:r>
        <w:rPr>
          <w:rFonts w:hint="eastAsia" w:ascii="仿宋" w:hAnsi="仿宋" w:eastAsia="仿宋"/>
          <w:sz w:val="32"/>
          <w:szCs w:val="32"/>
        </w:rPr>
        <w:t>由于各家商业银行2023年</w:t>
      </w:r>
      <w:r>
        <w:rPr>
          <w:rFonts w:ascii="仿宋" w:hAnsi="仿宋" w:eastAsia="仿宋"/>
          <w:sz w:val="32"/>
          <w:szCs w:val="32"/>
        </w:rPr>
        <w:t>各项数据</w:t>
      </w:r>
      <w:r>
        <w:rPr>
          <w:rFonts w:hint="eastAsia" w:ascii="仿宋" w:hAnsi="仿宋" w:eastAsia="仿宋"/>
          <w:sz w:val="32"/>
          <w:szCs w:val="32"/>
        </w:rPr>
        <w:t>尚未公布</w:t>
      </w:r>
      <w:r>
        <w:rPr>
          <w:rFonts w:ascii="仿宋" w:hAnsi="仿宋" w:eastAsia="仿宋"/>
          <w:sz w:val="32"/>
          <w:szCs w:val="32"/>
        </w:rPr>
        <w:t>，</w:t>
      </w:r>
      <w:r>
        <w:rPr>
          <w:rFonts w:hint="eastAsia" w:ascii="仿宋" w:hAnsi="仿宋" w:eastAsia="仿宋"/>
          <w:sz w:val="32"/>
          <w:szCs w:val="32"/>
        </w:rPr>
        <w:t>本期国库现金管理</w:t>
      </w:r>
      <w:r>
        <w:rPr>
          <w:rFonts w:ascii="仿宋" w:hAnsi="仿宋" w:eastAsia="仿宋"/>
          <w:sz w:val="32"/>
          <w:szCs w:val="32"/>
        </w:rPr>
        <w:t>安全性指标暂</w:t>
      </w:r>
      <w:r>
        <w:rPr>
          <w:rFonts w:hint="eastAsia" w:ascii="仿宋" w:hAnsi="仿宋" w:eastAsia="仿宋"/>
          <w:sz w:val="32"/>
          <w:szCs w:val="32"/>
        </w:rPr>
        <w:t>按2022年</w:t>
      </w:r>
      <w:r>
        <w:rPr>
          <w:rFonts w:ascii="仿宋" w:hAnsi="仿宋" w:eastAsia="仿宋"/>
          <w:sz w:val="32"/>
          <w:szCs w:val="32"/>
        </w:rPr>
        <w:t>末数据</w:t>
      </w:r>
      <w:r>
        <w:rPr>
          <w:rFonts w:hint="eastAsia" w:ascii="仿宋" w:hAnsi="仿宋" w:eastAsia="仿宋"/>
          <w:sz w:val="32"/>
          <w:szCs w:val="32"/>
        </w:rPr>
        <w:t>进行</w:t>
      </w:r>
      <w:r>
        <w:rPr>
          <w:rFonts w:ascii="仿宋" w:hAnsi="仿宋" w:eastAsia="仿宋"/>
          <w:sz w:val="32"/>
          <w:szCs w:val="32"/>
        </w:rPr>
        <w:t>评分。</w:t>
      </w:r>
    </w:p>
    <w:p>
      <w:pPr>
        <w:keepNext w:val="0"/>
        <w:keepLines w:val="0"/>
        <w:pageBreakBefore w:val="0"/>
        <w:kinsoku/>
        <w:wordWrap/>
        <w:overflowPunct/>
        <w:topLinePunct w:val="0"/>
        <w:autoSpaceDE/>
        <w:autoSpaceDN/>
        <w:bidi w:val="0"/>
        <w:adjustRightInd/>
        <w:snapToGrid/>
        <w:spacing w:line="578" w:lineRule="exact"/>
        <w:ind w:firstLine="630" w:firstLineChars="196"/>
        <w:textAlignment w:val="auto"/>
        <w:rPr>
          <w:rFonts w:ascii="楷体" w:hAnsi="楷体" w:eastAsia="楷体"/>
          <w:b/>
          <w:sz w:val="32"/>
          <w:szCs w:val="32"/>
        </w:rPr>
      </w:pPr>
      <w:r>
        <w:rPr>
          <w:rFonts w:hint="eastAsia" w:ascii="楷体" w:hAnsi="楷体" w:eastAsia="楷体" w:cs="黑体"/>
          <w:b/>
          <w:sz w:val="32"/>
          <w:szCs w:val="32"/>
        </w:rPr>
        <w:t>4.2.2收益性指标</w:t>
      </w:r>
      <w:r>
        <w:rPr>
          <w:rFonts w:hint="eastAsia" w:ascii="楷体" w:hAnsi="楷体" w:eastAsia="楷体"/>
          <w:b/>
          <w:sz w:val="32"/>
          <w:szCs w:val="32"/>
        </w:rPr>
        <w:t>（满分10分）</w:t>
      </w:r>
    </w:p>
    <w:p>
      <w:pPr>
        <w:keepNext w:val="0"/>
        <w:keepLines w:val="0"/>
        <w:pageBreakBefore w:val="0"/>
        <w:kinsoku/>
        <w:wordWrap/>
        <w:overflowPunct/>
        <w:topLinePunct w:val="0"/>
        <w:autoSpaceDE/>
        <w:autoSpaceDN/>
        <w:bidi w:val="0"/>
        <w:adjustRightInd/>
        <w:snapToGrid/>
        <w:spacing w:line="578" w:lineRule="exact"/>
        <w:ind w:firstLine="627" w:firstLineChars="196"/>
        <w:textAlignment w:val="auto"/>
        <w:rPr>
          <w:rFonts w:ascii="仿宋" w:hAnsi="仿宋" w:eastAsia="仿宋"/>
          <w:sz w:val="32"/>
          <w:szCs w:val="32"/>
        </w:rPr>
      </w:pPr>
      <w:r>
        <w:rPr>
          <w:rFonts w:hint="eastAsia" w:ascii="仿宋" w:hAnsi="仿宋" w:eastAsia="仿宋"/>
          <w:sz w:val="32"/>
          <w:szCs w:val="32"/>
        </w:rPr>
        <w:t>财政定期存款投标利率在同期限人民银行公布的存款基准利率基础上最高加25个基点，对加点达到25个基点的金融机构赋满分，对加点在25个基点以下的金融机构赋3分。</w:t>
      </w:r>
    </w:p>
    <w:p>
      <w:pPr>
        <w:keepNext w:val="0"/>
        <w:keepLines w:val="0"/>
        <w:pageBreakBefore w:val="0"/>
        <w:kinsoku/>
        <w:wordWrap/>
        <w:overflowPunct/>
        <w:topLinePunct w:val="0"/>
        <w:autoSpaceDE/>
        <w:autoSpaceDN/>
        <w:bidi w:val="0"/>
        <w:adjustRightInd/>
        <w:snapToGrid/>
        <w:spacing w:line="578" w:lineRule="exact"/>
        <w:ind w:firstLine="630" w:firstLineChars="196"/>
        <w:textAlignment w:val="auto"/>
        <w:rPr>
          <w:rFonts w:ascii="楷体" w:hAnsi="楷体" w:eastAsia="楷体"/>
          <w:b/>
          <w:sz w:val="32"/>
          <w:szCs w:val="32"/>
        </w:rPr>
      </w:pPr>
      <w:r>
        <w:rPr>
          <w:rFonts w:hint="eastAsia" w:ascii="楷体" w:hAnsi="楷体" w:eastAsia="楷体" w:cs="黑体"/>
          <w:b/>
          <w:sz w:val="32"/>
          <w:szCs w:val="32"/>
        </w:rPr>
        <w:t>4.2.3贡献度指标</w:t>
      </w:r>
      <w:r>
        <w:rPr>
          <w:rFonts w:hint="eastAsia" w:ascii="楷体" w:hAnsi="楷体" w:eastAsia="楷体" w:cs="仿宋_GB2312"/>
          <w:b/>
          <w:sz w:val="32"/>
          <w:szCs w:val="32"/>
        </w:rPr>
        <w:t>（满分50分）</w:t>
      </w:r>
    </w:p>
    <w:p>
      <w:pPr>
        <w:keepNext w:val="0"/>
        <w:keepLines w:val="0"/>
        <w:pageBreakBefore w:val="0"/>
        <w:kinsoku/>
        <w:wordWrap/>
        <w:overflowPunct/>
        <w:topLinePunct w:val="0"/>
        <w:autoSpaceDE/>
        <w:autoSpaceDN/>
        <w:bidi w:val="0"/>
        <w:adjustRightInd/>
        <w:snapToGrid/>
        <w:spacing w:line="578" w:lineRule="exact"/>
        <w:ind w:firstLine="643" w:firstLineChars="200"/>
        <w:textAlignment w:val="auto"/>
        <w:rPr>
          <w:rFonts w:ascii="仿宋" w:hAnsi="仿宋" w:eastAsia="仿宋"/>
          <w:b/>
          <w:bCs/>
          <w:sz w:val="32"/>
          <w:szCs w:val="32"/>
        </w:rPr>
      </w:pPr>
      <w:r>
        <w:rPr>
          <w:rFonts w:hint="eastAsia" w:ascii="楷体" w:hAnsi="楷体" w:eastAsia="楷体"/>
          <w:b/>
          <w:bCs/>
          <w:sz w:val="32"/>
          <w:szCs w:val="32"/>
        </w:rPr>
        <w:t>4.2.3.1资产规模（10分）。</w:t>
      </w:r>
      <w:r>
        <w:rPr>
          <w:rFonts w:hint="eastAsia" w:ascii="仿宋" w:hAnsi="仿宋" w:eastAsia="仿宋"/>
          <w:sz w:val="32"/>
          <w:szCs w:val="32"/>
        </w:rPr>
        <w:t>根据存款银行上一年末在吉林省资产规模数据为评分依据。按照资产规模进行递减排名，第一名得满分，从第二名开始依次递减0.05分，如数值相同，按同档计分</w:t>
      </w:r>
      <w:r>
        <w:rPr>
          <w:rFonts w:ascii="仿宋" w:hAnsi="仿宋" w:eastAsia="仿宋"/>
          <w:sz w:val="32"/>
          <w:szCs w:val="32"/>
        </w:rPr>
        <w:t>。</w:t>
      </w:r>
      <w:r>
        <w:rPr>
          <w:rFonts w:hint="eastAsia" w:ascii="仿宋" w:hAnsi="仿宋" w:eastAsia="仿宋"/>
          <w:sz w:val="32"/>
          <w:szCs w:val="32"/>
        </w:rPr>
        <w:t>第一期国库现金管理</w:t>
      </w:r>
      <w:r>
        <w:rPr>
          <w:rFonts w:ascii="仿宋" w:hAnsi="仿宋" w:eastAsia="仿宋"/>
          <w:sz w:val="32"/>
          <w:szCs w:val="32"/>
        </w:rPr>
        <w:t>暂</w:t>
      </w:r>
      <w:r>
        <w:rPr>
          <w:rFonts w:hint="eastAsia" w:ascii="仿宋" w:hAnsi="仿宋" w:eastAsia="仿宋"/>
          <w:sz w:val="32"/>
          <w:szCs w:val="32"/>
        </w:rPr>
        <w:t>按2022年</w:t>
      </w:r>
      <w:r>
        <w:rPr>
          <w:rFonts w:ascii="仿宋" w:hAnsi="仿宋" w:eastAsia="仿宋"/>
          <w:sz w:val="32"/>
          <w:szCs w:val="32"/>
        </w:rPr>
        <w:t>末数据</w:t>
      </w:r>
      <w:r>
        <w:rPr>
          <w:rFonts w:hint="eastAsia" w:ascii="仿宋" w:hAnsi="仿宋" w:eastAsia="仿宋"/>
          <w:sz w:val="32"/>
          <w:szCs w:val="32"/>
        </w:rPr>
        <w:t>进行</w:t>
      </w:r>
      <w:r>
        <w:rPr>
          <w:rFonts w:ascii="仿宋" w:hAnsi="仿宋" w:eastAsia="仿宋"/>
          <w:sz w:val="32"/>
          <w:szCs w:val="32"/>
        </w:rPr>
        <w:t>评分。</w:t>
      </w:r>
    </w:p>
    <w:p>
      <w:pPr>
        <w:keepNext w:val="0"/>
        <w:keepLines w:val="0"/>
        <w:pageBreakBefore w:val="0"/>
        <w:kinsoku/>
        <w:wordWrap/>
        <w:overflowPunct/>
        <w:topLinePunct w:val="0"/>
        <w:autoSpaceDE/>
        <w:autoSpaceDN/>
        <w:bidi w:val="0"/>
        <w:adjustRightInd/>
        <w:snapToGrid/>
        <w:spacing w:line="578" w:lineRule="exact"/>
        <w:ind w:firstLine="643" w:firstLineChars="200"/>
        <w:textAlignment w:val="auto"/>
        <w:rPr>
          <w:rFonts w:ascii="仿宋" w:hAnsi="仿宋" w:eastAsia="仿宋"/>
          <w:sz w:val="32"/>
          <w:szCs w:val="32"/>
        </w:rPr>
      </w:pPr>
      <w:r>
        <w:rPr>
          <w:rFonts w:hint="eastAsia" w:ascii="楷体" w:hAnsi="楷体" w:eastAsia="楷体"/>
          <w:b/>
          <w:bCs/>
          <w:sz w:val="32"/>
          <w:szCs w:val="32"/>
        </w:rPr>
        <w:t>4.2.3.2纳税规模（10分）。</w:t>
      </w:r>
      <w:r>
        <w:rPr>
          <w:rFonts w:hint="eastAsia" w:ascii="仿宋" w:hAnsi="仿宋" w:eastAsia="仿宋"/>
          <w:sz w:val="32"/>
          <w:szCs w:val="32"/>
        </w:rPr>
        <w:t>根据存款银行上一年末在吉林省纳税规模数据为评分依据。按照纳税规模进行递减排名，第一名得满分，从第二名开始依次递减0.05分，如数值相同，按同档计分</w:t>
      </w:r>
      <w:r>
        <w:rPr>
          <w:rFonts w:ascii="仿宋" w:hAnsi="仿宋" w:eastAsia="仿宋"/>
          <w:sz w:val="32"/>
          <w:szCs w:val="32"/>
        </w:rPr>
        <w:t>。</w:t>
      </w:r>
      <w:r>
        <w:rPr>
          <w:rFonts w:hint="eastAsia" w:ascii="仿宋" w:hAnsi="仿宋" w:eastAsia="仿宋"/>
          <w:sz w:val="32"/>
          <w:szCs w:val="32"/>
        </w:rPr>
        <w:t>第一期国库现金管理</w:t>
      </w:r>
      <w:r>
        <w:rPr>
          <w:rFonts w:ascii="仿宋" w:hAnsi="仿宋" w:eastAsia="仿宋"/>
          <w:sz w:val="32"/>
          <w:szCs w:val="32"/>
        </w:rPr>
        <w:t>暂</w:t>
      </w:r>
      <w:r>
        <w:rPr>
          <w:rFonts w:hint="eastAsia" w:ascii="仿宋" w:hAnsi="仿宋" w:eastAsia="仿宋"/>
          <w:sz w:val="32"/>
          <w:szCs w:val="32"/>
        </w:rPr>
        <w:t>按2022年</w:t>
      </w:r>
      <w:r>
        <w:rPr>
          <w:rFonts w:ascii="仿宋" w:hAnsi="仿宋" w:eastAsia="仿宋"/>
          <w:sz w:val="32"/>
          <w:szCs w:val="32"/>
        </w:rPr>
        <w:t>末数据</w:t>
      </w:r>
      <w:r>
        <w:rPr>
          <w:rFonts w:hint="eastAsia" w:ascii="仿宋" w:hAnsi="仿宋" w:eastAsia="仿宋"/>
          <w:sz w:val="32"/>
          <w:szCs w:val="32"/>
        </w:rPr>
        <w:t>进行</w:t>
      </w:r>
      <w:r>
        <w:rPr>
          <w:rFonts w:ascii="仿宋" w:hAnsi="仿宋" w:eastAsia="仿宋"/>
          <w:sz w:val="32"/>
          <w:szCs w:val="32"/>
        </w:rPr>
        <w:t>评分。</w:t>
      </w:r>
    </w:p>
    <w:p>
      <w:pPr>
        <w:keepNext w:val="0"/>
        <w:keepLines w:val="0"/>
        <w:pageBreakBefore w:val="0"/>
        <w:kinsoku/>
        <w:wordWrap/>
        <w:overflowPunct/>
        <w:topLinePunct w:val="0"/>
        <w:autoSpaceDE/>
        <w:autoSpaceDN/>
        <w:bidi w:val="0"/>
        <w:adjustRightInd/>
        <w:snapToGrid/>
        <w:spacing w:line="578" w:lineRule="exact"/>
        <w:ind w:firstLine="643" w:firstLineChars="200"/>
        <w:textAlignment w:val="auto"/>
        <w:rPr>
          <w:rFonts w:ascii="仿宋" w:hAnsi="仿宋" w:eastAsia="仿宋"/>
          <w:sz w:val="32"/>
          <w:szCs w:val="32"/>
        </w:rPr>
      </w:pPr>
      <w:r>
        <w:rPr>
          <w:rFonts w:hint="eastAsia" w:ascii="楷体" w:hAnsi="楷体" w:eastAsia="楷体"/>
          <w:b/>
          <w:bCs/>
          <w:sz w:val="32"/>
          <w:szCs w:val="32"/>
        </w:rPr>
        <w:t>4.2.3.3两增口径普惠小微贷款余额（10分）。</w:t>
      </w:r>
      <w:r>
        <w:rPr>
          <w:rFonts w:hint="eastAsia" w:ascii="仿宋" w:hAnsi="仿宋" w:eastAsia="仿宋"/>
          <w:sz w:val="32"/>
          <w:szCs w:val="32"/>
        </w:rPr>
        <w:t>根据存款银行2022年末两增口径普惠小微贷款余额为评分依据。按照两增口径普惠小微贷款余额进行递减排名，第一名得满分，从第二名开始依次递减0.05分，如数值相同，按同档计分</w:t>
      </w:r>
      <w:r>
        <w:rPr>
          <w:rFonts w:ascii="仿宋" w:hAnsi="仿宋" w:eastAsia="仿宋"/>
          <w:sz w:val="32"/>
          <w:szCs w:val="32"/>
        </w:rPr>
        <w:t>。</w:t>
      </w:r>
      <w:r>
        <w:rPr>
          <w:rFonts w:hint="eastAsia" w:ascii="仿宋" w:hAnsi="仿宋" w:eastAsia="仿宋"/>
          <w:sz w:val="32"/>
          <w:szCs w:val="32"/>
        </w:rPr>
        <w:t>第一期国库现金管理</w:t>
      </w:r>
      <w:r>
        <w:rPr>
          <w:rFonts w:ascii="仿宋" w:hAnsi="仿宋" w:eastAsia="仿宋"/>
          <w:sz w:val="32"/>
          <w:szCs w:val="32"/>
        </w:rPr>
        <w:t>暂</w:t>
      </w:r>
      <w:r>
        <w:rPr>
          <w:rFonts w:hint="eastAsia" w:ascii="仿宋" w:hAnsi="仿宋" w:eastAsia="仿宋"/>
          <w:sz w:val="32"/>
          <w:szCs w:val="32"/>
        </w:rPr>
        <w:t>按2022年</w:t>
      </w:r>
      <w:r>
        <w:rPr>
          <w:rFonts w:ascii="仿宋" w:hAnsi="仿宋" w:eastAsia="仿宋"/>
          <w:sz w:val="32"/>
          <w:szCs w:val="32"/>
        </w:rPr>
        <w:t>末数据</w:t>
      </w:r>
      <w:r>
        <w:rPr>
          <w:rFonts w:hint="eastAsia" w:ascii="仿宋" w:hAnsi="仿宋" w:eastAsia="仿宋"/>
          <w:sz w:val="32"/>
          <w:szCs w:val="32"/>
        </w:rPr>
        <w:t>进行</w:t>
      </w:r>
      <w:r>
        <w:rPr>
          <w:rFonts w:ascii="仿宋" w:hAnsi="仿宋" w:eastAsia="仿宋"/>
          <w:sz w:val="32"/>
          <w:szCs w:val="32"/>
        </w:rPr>
        <w:t>评分。</w:t>
      </w:r>
    </w:p>
    <w:p>
      <w:pPr>
        <w:keepNext w:val="0"/>
        <w:keepLines w:val="0"/>
        <w:pageBreakBefore w:val="0"/>
        <w:kinsoku/>
        <w:wordWrap/>
        <w:overflowPunct/>
        <w:topLinePunct w:val="0"/>
        <w:autoSpaceDE/>
        <w:autoSpaceDN/>
        <w:bidi w:val="0"/>
        <w:adjustRightInd/>
        <w:snapToGrid/>
        <w:spacing w:line="578" w:lineRule="exact"/>
        <w:ind w:firstLine="643" w:firstLineChars="200"/>
        <w:textAlignment w:val="auto"/>
        <w:rPr>
          <w:rFonts w:ascii="仿宋" w:hAnsi="仿宋" w:eastAsia="仿宋"/>
          <w:sz w:val="32"/>
          <w:szCs w:val="32"/>
        </w:rPr>
      </w:pPr>
      <w:r>
        <w:rPr>
          <w:rFonts w:hint="eastAsia" w:ascii="楷体" w:hAnsi="楷体" w:eastAsia="楷体"/>
          <w:b/>
          <w:bCs/>
          <w:sz w:val="32"/>
          <w:szCs w:val="32"/>
        </w:rPr>
        <w:t>4.2.3.4制造业贷款余额（10分）。</w:t>
      </w:r>
      <w:r>
        <w:rPr>
          <w:rFonts w:hint="eastAsia" w:ascii="仿宋" w:hAnsi="仿宋" w:eastAsia="仿宋"/>
          <w:sz w:val="32"/>
          <w:szCs w:val="32"/>
        </w:rPr>
        <w:t>根据存款银行2023年末在吉林省制造业贷款余额为评分依据。按照制造业贷款余额进行递减排名，第一名得满分，从第二名开始依次递减0.05分，如数值相同，按同档计分</w:t>
      </w:r>
      <w:r>
        <w:rPr>
          <w:rFonts w:ascii="仿宋" w:hAnsi="仿宋" w:eastAsia="仿宋"/>
          <w:sz w:val="32"/>
          <w:szCs w:val="32"/>
        </w:rPr>
        <w:t>。</w:t>
      </w:r>
    </w:p>
    <w:p>
      <w:pPr>
        <w:keepNext w:val="0"/>
        <w:keepLines w:val="0"/>
        <w:pageBreakBefore w:val="0"/>
        <w:kinsoku/>
        <w:wordWrap/>
        <w:overflowPunct/>
        <w:topLinePunct w:val="0"/>
        <w:autoSpaceDE/>
        <w:autoSpaceDN/>
        <w:bidi w:val="0"/>
        <w:adjustRightInd/>
        <w:snapToGrid/>
        <w:spacing w:line="578" w:lineRule="exact"/>
        <w:ind w:firstLine="643" w:firstLineChars="200"/>
        <w:textAlignment w:val="auto"/>
        <w:rPr>
          <w:rFonts w:ascii="仿宋" w:hAnsi="仿宋" w:eastAsia="仿宋"/>
          <w:sz w:val="32"/>
          <w:szCs w:val="32"/>
        </w:rPr>
      </w:pPr>
      <w:r>
        <w:rPr>
          <w:rFonts w:hint="eastAsia" w:ascii="楷体" w:hAnsi="楷体" w:eastAsia="楷体"/>
          <w:b/>
          <w:bCs/>
          <w:sz w:val="32"/>
          <w:szCs w:val="32"/>
        </w:rPr>
        <w:t>4.2.3.5评委综合评分（10分）。</w:t>
      </w:r>
      <w:r>
        <w:rPr>
          <w:rFonts w:hint="eastAsia" w:ascii="仿宋" w:hAnsi="仿宋" w:eastAsia="仿宋" w:cs="仿宋"/>
          <w:sz w:val="32"/>
          <w:szCs w:val="32"/>
        </w:rPr>
        <w:t>评委</w:t>
      </w:r>
      <w:r>
        <w:rPr>
          <w:rFonts w:hint="eastAsia" w:ascii="仿宋" w:hAnsi="仿宋" w:eastAsia="仿宋"/>
          <w:sz w:val="32"/>
          <w:szCs w:val="32"/>
        </w:rPr>
        <w:t>根据投标方案对存款银行服务能力和水平进行综合评分。</w:t>
      </w:r>
    </w:p>
    <w:p>
      <w:pPr>
        <w:keepNext w:val="0"/>
        <w:keepLines w:val="0"/>
        <w:pageBreakBefore w:val="0"/>
        <w:kinsoku/>
        <w:wordWrap/>
        <w:overflowPunct/>
        <w:topLinePunct w:val="0"/>
        <w:autoSpaceDE/>
        <w:autoSpaceDN/>
        <w:bidi w:val="0"/>
        <w:adjustRightInd/>
        <w:snapToGrid/>
        <w:spacing w:line="578" w:lineRule="exact"/>
        <w:ind w:firstLine="643" w:firstLineChars="200"/>
        <w:textAlignment w:val="auto"/>
        <w:rPr>
          <w:rFonts w:ascii="楷体" w:hAnsi="楷体" w:eastAsia="楷体"/>
          <w:b/>
          <w:bCs/>
          <w:sz w:val="32"/>
          <w:szCs w:val="32"/>
        </w:rPr>
      </w:pPr>
      <w:r>
        <w:rPr>
          <w:rFonts w:hint="eastAsia" w:ascii="楷体" w:hAnsi="楷体" w:eastAsia="楷体"/>
          <w:b/>
          <w:bCs/>
          <w:sz w:val="32"/>
          <w:szCs w:val="32"/>
        </w:rPr>
        <w:t>5.确定各商业银行存款比例</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仿宋" w:hAnsi="仿宋" w:eastAsia="仿宋"/>
          <w:sz w:val="32"/>
          <w:szCs w:val="32"/>
        </w:rPr>
      </w:pPr>
      <w:r>
        <w:rPr>
          <w:rFonts w:hint="eastAsia" w:ascii="仿宋" w:hAnsi="仿宋" w:eastAsia="仿宋"/>
          <w:sz w:val="32"/>
          <w:szCs w:val="32"/>
        </w:rPr>
        <w:t>经过评委评标，招标代理机构将各参与银行所得分数从高到低顺序排列。总排名不设并列名次，商业银行如有总评分相同的，按</w:t>
      </w:r>
      <w:r>
        <w:rPr>
          <w:rFonts w:hint="eastAsia" w:ascii="仿宋" w:hAnsi="仿宋" w:eastAsia="仿宋" w:cs="仿宋"/>
          <w:sz w:val="32"/>
          <w:szCs w:val="32"/>
        </w:rPr>
        <w:t>纳税规模进行排名，纳税最多的商业银行排名靠前。</w:t>
      </w:r>
      <w:r>
        <w:rPr>
          <w:rFonts w:hint="eastAsia" w:ascii="仿宋" w:hAnsi="仿宋" w:eastAsia="仿宋"/>
          <w:sz w:val="32"/>
          <w:szCs w:val="32"/>
        </w:rPr>
        <w:t>前10名商业银行获得2024年第一期现金管理存放资格。将获得资格的商业银行按排名分成三组，排名1-2名为第一组，存款比例每个商业银行按照存款总额的25%分配；排名3—7名为二组，存款比例每个商业银行按照存款总额的7%分配；排名8—10名为三组，存款比例每个商业银行按照存款总额的5%分配。</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仿宋" w:hAnsi="仿宋" w:eastAsia="仿宋"/>
          <w:sz w:val="32"/>
          <w:szCs w:val="32"/>
        </w:rPr>
      </w:pPr>
      <w:r>
        <w:rPr>
          <w:rFonts w:hint="eastAsia" w:ascii="仿宋" w:hAnsi="仿宋" w:eastAsia="仿宋"/>
          <w:sz w:val="32"/>
          <w:szCs w:val="32"/>
        </w:rPr>
        <w:t>如单一银行的存款额度超出财政部、中国人民银行印发的《地方国库现金管理试点办法》（财库〔2014〕183号）第十三条规定的控制比例或该银行可提供的国债和地方政府债券质押品额度不足及其他原因造成资金剩余，剩余部分由招标代理机构</w:t>
      </w:r>
      <w:r>
        <w:rPr>
          <w:rFonts w:hint="eastAsia" w:ascii="仿宋" w:hAnsi="仿宋" w:eastAsia="仿宋"/>
          <w:sz w:val="32"/>
          <w:szCs w:val="32"/>
          <w:highlight w:val="none"/>
        </w:rPr>
        <w:t>在第</w:t>
      </w:r>
      <w:r>
        <w:rPr>
          <w:rFonts w:hint="eastAsia" w:ascii="仿宋" w:hAnsi="仿宋" w:eastAsia="仿宋"/>
          <w:sz w:val="32"/>
          <w:szCs w:val="32"/>
          <w:highlight w:val="none"/>
          <w:lang w:eastAsia="zh-CN"/>
        </w:rPr>
        <w:t>二</w:t>
      </w:r>
      <w:r>
        <w:rPr>
          <w:rFonts w:hint="eastAsia" w:ascii="仿宋" w:hAnsi="仿宋" w:eastAsia="仿宋"/>
          <w:sz w:val="32"/>
          <w:szCs w:val="32"/>
          <w:highlight w:val="none"/>
        </w:rPr>
        <w:t>组内</w:t>
      </w:r>
      <w:r>
        <w:rPr>
          <w:rFonts w:hint="eastAsia" w:ascii="仿宋" w:hAnsi="仿宋" w:eastAsia="仿宋"/>
          <w:sz w:val="32"/>
          <w:szCs w:val="32"/>
        </w:rPr>
        <w:t>各银行之间平均分配。</w:t>
      </w:r>
      <w:r>
        <w:rPr>
          <w:rFonts w:hint="eastAsia" w:ascii="仿宋" w:hAnsi="仿宋" w:eastAsia="仿宋" w:cs="仿宋"/>
          <w:sz w:val="32"/>
          <w:szCs w:val="32"/>
        </w:rPr>
        <w:t>如有尾差全部分配给该组内纳税规模最多的商业银行。</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黑体" w:hAnsi="黑体" w:eastAsia="黑体"/>
          <w:sz w:val="32"/>
          <w:szCs w:val="32"/>
        </w:rPr>
      </w:pPr>
      <w:r>
        <w:rPr>
          <w:rFonts w:hint="eastAsia" w:ascii="仿宋" w:hAnsi="仿宋" w:eastAsia="仿宋"/>
          <w:sz w:val="32"/>
          <w:szCs w:val="32"/>
        </w:rPr>
        <w:t>6、发布中标结果公告。评标结果确定当日，招标代理机构向中标银行以书面形式发出中标通知书，并同时在吉林省财政厅、中国人民银行吉林省分行网站、中国政府采购网进行公告。</w:t>
      </w:r>
      <w:bookmarkStart w:id="46" w:name="_Toc454462785"/>
      <w:r>
        <w:rPr>
          <w:rFonts w:ascii="黑体" w:hAnsi="黑体" w:eastAsia="黑体"/>
          <w:sz w:val="32"/>
          <w:szCs w:val="32"/>
        </w:rPr>
        <w:br w:type="page"/>
      </w:r>
    </w:p>
    <w:p>
      <w:pPr>
        <w:keepNext w:val="0"/>
        <w:keepLines w:val="0"/>
        <w:pageBreakBefore w:val="0"/>
        <w:kinsoku/>
        <w:wordWrap/>
        <w:overflowPunct/>
        <w:topLinePunct w:val="0"/>
        <w:autoSpaceDE/>
        <w:autoSpaceDN/>
        <w:bidi w:val="0"/>
        <w:adjustRightInd/>
        <w:snapToGrid/>
        <w:spacing w:line="578" w:lineRule="exact"/>
        <w:jc w:val="center"/>
        <w:textAlignment w:val="auto"/>
        <w:rPr>
          <w:rFonts w:ascii="黑体" w:hAnsi="黑体" w:eastAsia="黑体"/>
          <w:sz w:val="32"/>
          <w:szCs w:val="32"/>
        </w:rPr>
      </w:pPr>
    </w:p>
    <w:p>
      <w:pPr>
        <w:keepNext w:val="0"/>
        <w:keepLines w:val="0"/>
        <w:pageBreakBefore w:val="0"/>
        <w:kinsoku/>
        <w:wordWrap/>
        <w:overflowPunct/>
        <w:topLinePunct w:val="0"/>
        <w:autoSpaceDE/>
        <w:autoSpaceDN/>
        <w:bidi w:val="0"/>
        <w:adjustRightInd/>
        <w:snapToGrid/>
        <w:spacing w:line="578" w:lineRule="exact"/>
        <w:jc w:val="center"/>
        <w:textAlignment w:val="auto"/>
        <w:rPr>
          <w:rFonts w:ascii="黑体" w:hAnsi="黑体" w:eastAsia="黑体"/>
          <w:sz w:val="32"/>
          <w:szCs w:val="32"/>
        </w:rPr>
      </w:pPr>
      <w:r>
        <w:rPr>
          <w:rFonts w:hint="eastAsia" w:ascii="黑体" w:hAnsi="黑体" w:eastAsia="黑体"/>
          <w:sz w:val="32"/>
          <w:szCs w:val="32"/>
        </w:rPr>
        <w:t>第四部分  投标文件格式</w:t>
      </w:r>
      <w:bookmarkEnd w:id="46"/>
    </w:p>
    <w:p>
      <w:pPr>
        <w:keepNext w:val="0"/>
        <w:keepLines w:val="0"/>
        <w:pageBreakBefore w:val="0"/>
        <w:kinsoku/>
        <w:wordWrap/>
        <w:overflowPunct/>
        <w:topLinePunct w:val="0"/>
        <w:autoSpaceDE/>
        <w:autoSpaceDN/>
        <w:bidi w:val="0"/>
        <w:adjustRightInd/>
        <w:snapToGrid/>
        <w:spacing w:line="578" w:lineRule="exact"/>
        <w:jc w:val="center"/>
        <w:textAlignment w:val="auto"/>
        <w:rPr>
          <w:rFonts w:ascii="黑体" w:hAnsi="黑体" w:eastAsia="黑体"/>
          <w:sz w:val="32"/>
          <w:szCs w:val="32"/>
        </w:rPr>
      </w:pPr>
    </w:p>
    <w:p>
      <w:pPr>
        <w:keepNext w:val="0"/>
        <w:keepLines w:val="0"/>
        <w:pageBreakBefore w:val="0"/>
        <w:tabs>
          <w:tab w:val="left" w:pos="8280"/>
        </w:tabs>
        <w:kinsoku/>
        <w:wordWrap/>
        <w:overflowPunct/>
        <w:topLinePunct w:val="0"/>
        <w:autoSpaceDE/>
        <w:autoSpaceDN/>
        <w:bidi w:val="0"/>
        <w:adjustRightInd/>
        <w:snapToGrid/>
        <w:spacing w:line="578" w:lineRule="exact"/>
        <w:jc w:val="center"/>
        <w:textAlignment w:val="auto"/>
        <w:rPr>
          <w:rFonts w:ascii="仿宋_GB2312" w:hAnsi="宋体" w:eastAsia="仿宋_GB2312"/>
          <w:bCs/>
          <w:sz w:val="28"/>
          <w:szCs w:val="28"/>
        </w:rPr>
      </w:pPr>
      <w:r>
        <w:rPr>
          <w:rFonts w:hint="eastAsia" w:ascii="仿宋_GB2312" w:hAnsi="宋体" w:eastAsia="仿宋_GB2312"/>
          <w:bCs/>
          <w:sz w:val="28"/>
          <w:szCs w:val="28"/>
        </w:rPr>
        <w:t>投 标 文 件</w:t>
      </w:r>
    </w:p>
    <w:p>
      <w:pPr>
        <w:keepNext w:val="0"/>
        <w:keepLines w:val="0"/>
        <w:pageBreakBefore w:val="0"/>
        <w:tabs>
          <w:tab w:val="left" w:pos="8280"/>
        </w:tabs>
        <w:kinsoku/>
        <w:wordWrap/>
        <w:overflowPunct/>
        <w:topLinePunct w:val="0"/>
        <w:autoSpaceDE/>
        <w:autoSpaceDN/>
        <w:bidi w:val="0"/>
        <w:adjustRightInd/>
        <w:snapToGrid/>
        <w:spacing w:line="578" w:lineRule="exact"/>
        <w:jc w:val="center"/>
        <w:textAlignment w:val="auto"/>
        <w:rPr>
          <w:rFonts w:ascii="仿宋_GB2312" w:hAnsi="宋体" w:eastAsia="仿宋_GB2312"/>
          <w:sz w:val="28"/>
          <w:szCs w:val="28"/>
        </w:rPr>
      </w:pPr>
      <w:r>
        <w:rPr>
          <w:rFonts w:hint="eastAsia" w:ascii="仿宋_GB2312" w:hAnsi="宋体" w:eastAsia="仿宋_GB2312"/>
          <w:sz w:val="28"/>
          <w:szCs w:val="28"/>
        </w:rPr>
        <w:t>正（副）本</w:t>
      </w:r>
    </w:p>
    <w:p>
      <w:pPr>
        <w:keepNext w:val="0"/>
        <w:keepLines w:val="0"/>
        <w:pageBreakBefore w:val="0"/>
        <w:tabs>
          <w:tab w:val="left" w:pos="8280"/>
        </w:tabs>
        <w:kinsoku/>
        <w:wordWrap/>
        <w:overflowPunct/>
        <w:topLinePunct w:val="0"/>
        <w:autoSpaceDE/>
        <w:autoSpaceDN/>
        <w:bidi w:val="0"/>
        <w:adjustRightInd/>
        <w:snapToGrid/>
        <w:spacing w:line="578" w:lineRule="exact"/>
        <w:textAlignment w:val="auto"/>
        <w:rPr>
          <w:rFonts w:ascii="仿宋_GB2312" w:hAnsi="宋体" w:eastAsia="仿宋_GB2312"/>
          <w:sz w:val="28"/>
          <w:szCs w:val="28"/>
        </w:rPr>
      </w:pPr>
    </w:p>
    <w:p>
      <w:pPr>
        <w:keepNext w:val="0"/>
        <w:keepLines w:val="0"/>
        <w:pageBreakBefore w:val="0"/>
        <w:tabs>
          <w:tab w:val="left" w:pos="8280"/>
        </w:tabs>
        <w:kinsoku/>
        <w:wordWrap/>
        <w:overflowPunct/>
        <w:topLinePunct w:val="0"/>
        <w:autoSpaceDE/>
        <w:autoSpaceDN/>
        <w:bidi w:val="0"/>
        <w:adjustRightInd/>
        <w:snapToGrid/>
        <w:spacing w:line="578" w:lineRule="exact"/>
        <w:ind w:left="2772" w:hanging="2772" w:hangingChars="990"/>
        <w:textAlignment w:val="auto"/>
        <w:rPr>
          <w:rFonts w:ascii="仿宋_GB2312" w:hAnsi="宋体" w:eastAsia="仿宋_GB2312"/>
          <w:sz w:val="28"/>
          <w:szCs w:val="28"/>
        </w:rPr>
      </w:pPr>
      <w:r>
        <w:rPr>
          <w:rFonts w:hint="eastAsia" w:ascii="仿宋_GB2312" w:hAnsi="宋体" w:eastAsia="仿宋_GB2312"/>
          <w:sz w:val="28"/>
          <w:szCs w:val="28"/>
        </w:rPr>
        <w:t xml:space="preserve">     项目名称：2024年度吉林省省级国库现金管理商业银行定期存款</w:t>
      </w:r>
    </w:p>
    <w:p>
      <w:pPr>
        <w:keepNext w:val="0"/>
        <w:keepLines w:val="0"/>
        <w:pageBreakBefore w:val="0"/>
        <w:tabs>
          <w:tab w:val="left" w:pos="8280"/>
        </w:tabs>
        <w:kinsoku/>
        <w:wordWrap/>
        <w:overflowPunct/>
        <w:topLinePunct w:val="0"/>
        <w:autoSpaceDE/>
        <w:autoSpaceDN/>
        <w:bidi w:val="0"/>
        <w:adjustRightInd/>
        <w:snapToGrid/>
        <w:spacing w:line="578" w:lineRule="exact"/>
        <w:ind w:left="2772" w:hanging="2772" w:hangingChars="990"/>
        <w:jc w:val="center"/>
        <w:textAlignment w:val="auto"/>
        <w:rPr>
          <w:rFonts w:ascii="仿宋_GB2312" w:hAnsi="宋体" w:eastAsia="仿宋_GB2312"/>
          <w:sz w:val="28"/>
          <w:szCs w:val="28"/>
        </w:rPr>
      </w:pPr>
      <w:r>
        <w:rPr>
          <w:rFonts w:hint="eastAsia" w:ascii="仿宋_GB2312" w:hAnsi="宋体" w:eastAsia="仿宋_GB2312"/>
          <w:sz w:val="28"/>
          <w:szCs w:val="28"/>
        </w:rPr>
        <w:t>（第一期）</w:t>
      </w:r>
    </w:p>
    <w:p>
      <w:pPr>
        <w:keepNext w:val="0"/>
        <w:keepLines w:val="0"/>
        <w:pageBreakBefore w:val="0"/>
        <w:tabs>
          <w:tab w:val="left" w:pos="8280"/>
        </w:tabs>
        <w:kinsoku/>
        <w:wordWrap/>
        <w:overflowPunct/>
        <w:topLinePunct w:val="0"/>
        <w:autoSpaceDE/>
        <w:autoSpaceDN/>
        <w:bidi w:val="0"/>
        <w:adjustRightInd/>
        <w:snapToGrid/>
        <w:spacing w:line="578" w:lineRule="exact"/>
        <w:ind w:firstLine="1400" w:firstLineChars="500"/>
        <w:textAlignment w:val="auto"/>
        <w:rPr>
          <w:rFonts w:ascii="仿宋_GB2312" w:hAnsi="宋体" w:eastAsia="仿宋_GB2312"/>
          <w:sz w:val="28"/>
          <w:szCs w:val="28"/>
        </w:rPr>
      </w:pPr>
    </w:p>
    <w:p>
      <w:pPr>
        <w:keepNext w:val="0"/>
        <w:keepLines w:val="0"/>
        <w:pageBreakBefore w:val="0"/>
        <w:tabs>
          <w:tab w:val="left" w:pos="8280"/>
        </w:tabs>
        <w:kinsoku/>
        <w:wordWrap/>
        <w:overflowPunct/>
        <w:topLinePunct w:val="0"/>
        <w:autoSpaceDE/>
        <w:autoSpaceDN/>
        <w:bidi w:val="0"/>
        <w:adjustRightInd/>
        <w:snapToGrid/>
        <w:spacing w:line="578" w:lineRule="exact"/>
        <w:ind w:firstLine="1400" w:firstLineChars="500"/>
        <w:textAlignment w:val="auto"/>
        <w:rPr>
          <w:rFonts w:ascii="仿宋_GB2312" w:hAnsi="宋体" w:eastAsia="仿宋_GB2312"/>
          <w:sz w:val="28"/>
          <w:szCs w:val="28"/>
        </w:rPr>
      </w:pPr>
    </w:p>
    <w:p>
      <w:pPr>
        <w:keepNext w:val="0"/>
        <w:keepLines w:val="0"/>
        <w:pageBreakBefore w:val="0"/>
        <w:tabs>
          <w:tab w:val="left" w:pos="8280"/>
        </w:tabs>
        <w:kinsoku/>
        <w:wordWrap/>
        <w:overflowPunct/>
        <w:topLinePunct w:val="0"/>
        <w:autoSpaceDE/>
        <w:autoSpaceDN/>
        <w:bidi w:val="0"/>
        <w:adjustRightInd/>
        <w:snapToGrid/>
        <w:spacing w:line="578" w:lineRule="exact"/>
        <w:ind w:firstLine="1400" w:firstLineChars="500"/>
        <w:textAlignment w:val="auto"/>
        <w:rPr>
          <w:rFonts w:ascii="仿宋_GB2312" w:hAnsi="宋体" w:eastAsia="仿宋_GB2312"/>
          <w:sz w:val="28"/>
          <w:szCs w:val="28"/>
        </w:rPr>
      </w:pPr>
    </w:p>
    <w:p>
      <w:pPr>
        <w:keepNext w:val="0"/>
        <w:keepLines w:val="0"/>
        <w:pageBreakBefore w:val="0"/>
        <w:tabs>
          <w:tab w:val="left" w:pos="8280"/>
        </w:tabs>
        <w:kinsoku/>
        <w:wordWrap/>
        <w:overflowPunct/>
        <w:topLinePunct w:val="0"/>
        <w:autoSpaceDE/>
        <w:autoSpaceDN/>
        <w:bidi w:val="0"/>
        <w:adjustRightInd/>
        <w:snapToGrid/>
        <w:spacing w:line="578" w:lineRule="exact"/>
        <w:ind w:firstLine="1400" w:firstLineChars="500"/>
        <w:textAlignment w:val="auto"/>
        <w:rPr>
          <w:rFonts w:ascii="仿宋_GB2312" w:hAnsi="宋体" w:eastAsia="仿宋_GB2312"/>
          <w:sz w:val="28"/>
          <w:szCs w:val="28"/>
        </w:rPr>
      </w:pPr>
    </w:p>
    <w:p>
      <w:pPr>
        <w:keepNext w:val="0"/>
        <w:keepLines w:val="0"/>
        <w:pageBreakBefore w:val="0"/>
        <w:tabs>
          <w:tab w:val="left" w:pos="8280"/>
        </w:tabs>
        <w:kinsoku/>
        <w:wordWrap/>
        <w:overflowPunct/>
        <w:topLinePunct w:val="0"/>
        <w:autoSpaceDE/>
        <w:autoSpaceDN/>
        <w:bidi w:val="0"/>
        <w:adjustRightInd/>
        <w:snapToGrid/>
        <w:spacing w:line="578" w:lineRule="exact"/>
        <w:ind w:firstLine="1400" w:firstLineChars="500"/>
        <w:textAlignment w:val="auto"/>
        <w:rPr>
          <w:rFonts w:ascii="仿宋_GB2312" w:hAnsi="宋体" w:eastAsia="仿宋_GB2312"/>
          <w:sz w:val="28"/>
          <w:szCs w:val="28"/>
        </w:rPr>
      </w:pPr>
    </w:p>
    <w:p>
      <w:pPr>
        <w:keepNext w:val="0"/>
        <w:keepLines w:val="0"/>
        <w:pageBreakBefore w:val="0"/>
        <w:tabs>
          <w:tab w:val="left" w:pos="8280"/>
        </w:tabs>
        <w:kinsoku/>
        <w:wordWrap/>
        <w:overflowPunct/>
        <w:topLinePunct w:val="0"/>
        <w:autoSpaceDE/>
        <w:autoSpaceDN/>
        <w:bidi w:val="0"/>
        <w:adjustRightInd/>
        <w:snapToGrid/>
        <w:spacing w:line="578" w:lineRule="exact"/>
        <w:ind w:firstLine="708" w:firstLineChars="253"/>
        <w:textAlignment w:val="auto"/>
        <w:rPr>
          <w:rFonts w:ascii="仿宋_GB2312" w:hAnsi="宋体" w:eastAsia="仿宋_GB2312"/>
          <w:sz w:val="28"/>
          <w:szCs w:val="28"/>
        </w:rPr>
      </w:pPr>
      <w:r>
        <w:rPr>
          <w:rFonts w:hint="eastAsia" w:ascii="仿宋_GB2312" w:hAnsi="宋体" w:eastAsia="仿宋_GB2312"/>
          <w:sz w:val="28"/>
          <w:szCs w:val="28"/>
        </w:rPr>
        <w:t xml:space="preserve">投标人名称（公章）： </w:t>
      </w:r>
    </w:p>
    <w:p>
      <w:pPr>
        <w:keepNext w:val="0"/>
        <w:keepLines w:val="0"/>
        <w:pageBreakBefore w:val="0"/>
        <w:tabs>
          <w:tab w:val="left" w:pos="8280"/>
        </w:tabs>
        <w:kinsoku/>
        <w:wordWrap/>
        <w:overflowPunct/>
        <w:topLinePunct w:val="0"/>
        <w:autoSpaceDE/>
        <w:autoSpaceDN/>
        <w:bidi w:val="0"/>
        <w:adjustRightInd/>
        <w:snapToGrid/>
        <w:spacing w:line="578" w:lineRule="exact"/>
        <w:ind w:firstLine="708" w:firstLineChars="253"/>
        <w:textAlignment w:val="auto"/>
        <w:rPr>
          <w:rFonts w:ascii="仿宋_GB2312" w:hAnsi="宋体" w:eastAsia="仿宋_GB2312"/>
          <w:sz w:val="28"/>
          <w:szCs w:val="28"/>
        </w:rPr>
      </w:pPr>
      <w:r>
        <w:rPr>
          <w:rFonts w:hint="eastAsia" w:ascii="仿宋_GB2312" w:hAnsi="宋体" w:eastAsia="仿宋_GB2312"/>
          <w:sz w:val="28"/>
          <w:szCs w:val="28"/>
        </w:rPr>
        <w:t>投标日期：</w:t>
      </w:r>
    </w:p>
    <w:p>
      <w:pPr>
        <w:keepNext w:val="0"/>
        <w:keepLines w:val="0"/>
        <w:pageBreakBefore w:val="0"/>
        <w:widowControl/>
        <w:kinsoku/>
        <w:wordWrap/>
        <w:overflowPunct/>
        <w:topLinePunct w:val="0"/>
        <w:autoSpaceDE/>
        <w:autoSpaceDN/>
        <w:bidi w:val="0"/>
        <w:adjustRightInd/>
        <w:snapToGrid/>
        <w:spacing w:line="578" w:lineRule="exact"/>
        <w:jc w:val="left"/>
        <w:textAlignment w:val="auto"/>
        <w:rPr>
          <w:rFonts w:ascii="仿宋_GB2312" w:hAnsi="宋体" w:eastAsia="仿宋_GB2312"/>
          <w:sz w:val="28"/>
          <w:szCs w:val="28"/>
        </w:rPr>
      </w:pPr>
      <w:r>
        <w:rPr>
          <w:rFonts w:ascii="仿宋_GB2312" w:hAnsi="宋体" w:eastAsia="仿宋_GB2312"/>
          <w:sz w:val="28"/>
          <w:szCs w:val="28"/>
        </w:rPr>
        <w:br w:type="page"/>
      </w:r>
    </w:p>
    <w:p>
      <w:pPr>
        <w:keepNext w:val="0"/>
        <w:keepLines w:val="0"/>
        <w:pageBreakBefore w:val="0"/>
        <w:tabs>
          <w:tab w:val="left" w:pos="8280"/>
        </w:tabs>
        <w:kinsoku/>
        <w:wordWrap/>
        <w:overflowPunct/>
        <w:topLinePunct w:val="0"/>
        <w:autoSpaceDE/>
        <w:autoSpaceDN/>
        <w:bidi w:val="0"/>
        <w:adjustRightInd/>
        <w:snapToGrid/>
        <w:spacing w:line="578" w:lineRule="exact"/>
        <w:jc w:val="center"/>
        <w:textAlignment w:val="auto"/>
        <w:rPr>
          <w:rFonts w:ascii="仿宋_GB2312" w:hAnsi="宋体" w:eastAsia="仿宋_GB2312"/>
          <w:sz w:val="28"/>
          <w:szCs w:val="28"/>
        </w:rPr>
      </w:pPr>
      <w:r>
        <w:rPr>
          <w:rFonts w:hint="eastAsia" w:ascii="仿宋_GB2312" w:hAnsi="宋体" w:eastAsia="仿宋_GB2312"/>
          <w:sz w:val="28"/>
          <w:szCs w:val="28"/>
        </w:rPr>
        <w:t>一、投   标   函</w:t>
      </w:r>
    </w:p>
    <w:p>
      <w:pPr>
        <w:keepNext w:val="0"/>
        <w:keepLines w:val="0"/>
        <w:pageBreakBefore w:val="0"/>
        <w:tabs>
          <w:tab w:val="left" w:pos="8280"/>
        </w:tabs>
        <w:kinsoku/>
        <w:wordWrap/>
        <w:overflowPunct/>
        <w:topLinePunct w:val="0"/>
        <w:autoSpaceDE/>
        <w:autoSpaceDN/>
        <w:bidi w:val="0"/>
        <w:adjustRightInd/>
        <w:snapToGrid/>
        <w:spacing w:line="578" w:lineRule="exact"/>
        <w:jc w:val="center"/>
        <w:textAlignment w:val="auto"/>
        <w:rPr>
          <w:rFonts w:ascii="仿宋_GB2312" w:hAnsi="宋体" w:eastAsia="仿宋_GB2312"/>
          <w:sz w:val="28"/>
          <w:szCs w:val="28"/>
        </w:rPr>
      </w:pPr>
    </w:p>
    <w:p>
      <w:pPr>
        <w:keepNext w:val="0"/>
        <w:keepLines w:val="0"/>
        <w:pageBreakBefore w:val="0"/>
        <w:tabs>
          <w:tab w:val="left" w:pos="8280"/>
        </w:tabs>
        <w:kinsoku/>
        <w:wordWrap/>
        <w:overflowPunct/>
        <w:topLinePunct w:val="0"/>
        <w:autoSpaceDE/>
        <w:autoSpaceDN/>
        <w:bidi w:val="0"/>
        <w:adjustRightInd/>
        <w:snapToGrid/>
        <w:spacing w:line="578" w:lineRule="exact"/>
        <w:ind w:right="-1801"/>
        <w:textAlignment w:val="auto"/>
        <w:rPr>
          <w:rFonts w:ascii="仿宋" w:hAnsi="仿宋" w:eastAsia="仿宋"/>
          <w:sz w:val="32"/>
          <w:szCs w:val="32"/>
        </w:rPr>
      </w:pPr>
      <w:r>
        <w:rPr>
          <w:rFonts w:hint="eastAsia" w:ascii="仿宋" w:hAnsi="仿宋" w:eastAsia="仿宋"/>
          <w:sz w:val="32"/>
          <w:szCs w:val="32"/>
        </w:rPr>
        <w:t>吉林省省级国库现金管理招标代理机构：</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仿宋" w:hAnsi="仿宋" w:eastAsia="仿宋"/>
          <w:sz w:val="32"/>
          <w:szCs w:val="32"/>
        </w:rPr>
      </w:pPr>
      <w:r>
        <w:rPr>
          <w:rFonts w:hint="eastAsia" w:ascii="仿宋" w:hAnsi="仿宋" w:eastAsia="仿宋"/>
          <w:sz w:val="32"/>
          <w:szCs w:val="32"/>
        </w:rPr>
        <w:t>根据你方编号为</w:t>
      </w:r>
      <w:r>
        <w:rPr>
          <w:rFonts w:hint="eastAsia" w:ascii="仿宋" w:hAnsi="仿宋" w:eastAsia="仿宋"/>
          <w:sz w:val="32"/>
          <w:szCs w:val="32"/>
          <w:u w:val="single"/>
        </w:rPr>
        <w:t>　　　</w:t>
      </w:r>
      <w:r>
        <w:rPr>
          <w:rFonts w:hint="eastAsia" w:ascii="仿宋" w:hAnsi="仿宋" w:eastAsia="仿宋"/>
          <w:sz w:val="32"/>
          <w:szCs w:val="32"/>
        </w:rPr>
        <w:t>的</w:t>
      </w:r>
      <w:r>
        <w:rPr>
          <w:rFonts w:hint="eastAsia" w:ascii="仿宋" w:hAnsi="仿宋" w:eastAsia="仿宋"/>
          <w:sz w:val="32"/>
          <w:szCs w:val="32"/>
          <w:u w:val="single"/>
        </w:rPr>
        <w:t>2024年度吉林省省级国库现金管理商业银行定期存款（第一期）</w:t>
      </w:r>
      <w:r>
        <w:rPr>
          <w:rFonts w:hint="eastAsia" w:ascii="仿宋" w:hAnsi="仿宋" w:eastAsia="仿宋"/>
          <w:sz w:val="32"/>
          <w:szCs w:val="32"/>
        </w:rPr>
        <w:t>项目的招标文件，我方已详细阅读全部内容，决定参加该项目的投标。代理人（全名、职务）经正式授权并代表投标人（投标人名称、地址）郑重声明如下几点，并对之负法律责任。</w:t>
      </w:r>
    </w:p>
    <w:p>
      <w:pPr>
        <w:keepNext w:val="0"/>
        <w:keepLines w:val="0"/>
        <w:pageBreakBefore w:val="0"/>
        <w:kinsoku/>
        <w:wordWrap/>
        <w:overflowPunct/>
        <w:topLinePunct w:val="0"/>
        <w:autoSpaceDE/>
        <w:autoSpaceDN/>
        <w:bidi w:val="0"/>
        <w:adjustRightInd/>
        <w:snapToGrid/>
        <w:spacing w:line="578" w:lineRule="exact"/>
        <w:ind w:right="-154" w:firstLine="555"/>
        <w:jc w:val="left"/>
        <w:textAlignment w:val="auto"/>
        <w:rPr>
          <w:rFonts w:ascii="仿宋" w:hAnsi="仿宋" w:eastAsia="仿宋"/>
          <w:sz w:val="32"/>
          <w:szCs w:val="32"/>
        </w:rPr>
      </w:pPr>
      <w:r>
        <w:rPr>
          <w:rFonts w:hint="eastAsia" w:ascii="仿宋" w:hAnsi="仿宋" w:eastAsia="仿宋"/>
          <w:sz w:val="32"/>
          <w:szCs w:val="32"/>
        </w:rPr>
        <w:t>1、向招标人提交投标文件正本</w:t>
      </w:r>
      <w:r>
        <w:rPr>
          <w:rFonts w:hint="eastAsia" w:ascii="仿宋" w:hAnsi="仿宋" w:eastAsia="仿宋"/>
          <w:sz w:val="32"/>
          <w:szCs w:val="32"/>
          <w:u w:val="single"/>
        </w:rPr>
        <w:t xml:space="preserve">   </w:t>
      </w:r>
      <w:r>
        <w:rPr>
          <w:rFonts w:hint="eastAsia" w:ascii="仿宋" w:hAnsi="仿宋" w:eastAsia="仿宋"/>
          <w:sz w:val="32"/>
          <w:szCs w:val="32"/>
        </w:rPr>
        <w:t>份和副本</w:t>
      </w:r>
      <w:r>
        <w:rPr>
          <w:rFonts w:hint="eastAsia" w:ascii="仿宋" w:hAnsi="仿宋" w:eastAsia="仿宋"/>
          <w:sz w:val="32"/>
          <w:szCs w:val="32"/>
          <w:u w:val="single"/>
        </w:rPr>
        <w:t xml:space="preserve"> 　</w:t>
      </w:r>
      <w:r>
        <w:rPr>
          <w:rFonts w:hint="eastAsia" w:ascii="仿宋" w:hAnsi="仿宋" w:eastAsia="仿宋"/>
          <w:sz w:val="32"/>
          <w:szCs w:val="32"/>
        </w:rPr>
        <w:t>份。</w:t>
      </w:r>
    </w:p>
    <w:p>
      <w:pPr>
        <w:keepNext w:val="0"/>
        <w:keepLines w:val="0"/>
        <w:pageBreakBefore w:val="0"/>
        <w:kinsoku/>
        <w:wordWrap/>
        <w:overflowPunct/>
        <w:topLinePunct w:val="0"/>
        <w:autoSpaceDE/>
        <w:autoSpaceDN/>
        <w:bidi w:val="0"/>
        <w:adjustRightInd/>
        <w:snapToGrid/>
        <w:spacing w:line="578" w:lineRule="exact"/>
        <w:ind w:right="-154" w:firstLine="555"/>
        <w:jc w:val="left"/>
        <w:textAlignment w:val="auto"/>
        <w:rPr>
          <w:rFonts w:ascii="仿宋" w:hAnsi="仿宋" w:eastAsia="仿宋"/>
          <w:sz w:val="32"/>
          <w:szCs w:val="32"/>
        </w:rPr>
      </w:pPr>
      <w:r>
        <w:rPr>
          <w:rFonts w:hint="eastAsia" w:ascii="仿宋" w:hAnsi="仿宋" w:eastAsia="仿宋"/>
          <w:sz w:val="32"/>
          <w:szCs w:val="32"/>
        </w:rPr>
        <w:t>2、我方的投标文件自投标截止起有效期为90天。</w:t>
      </w:r>
    </w:p>
    <w:p>
      <w:pPr>
        <w:keepNext w:val="0"/>
        <w:keepLines w:val="0"/>
        <w:pageBreakBefore w:val="0"/>
        <w:kinsoku/>
        <w:wordWrap/>
        <w:overflowPunct/>
        <w:topLinePunct w:val="0"/>
        <w:autoSpaceDE/>
        <w:autoSpaceDN/>
        <w:bidi w:val="0"/>
        <w:adjustRightInd/>
        <w:snapToGrid/>
        <w:spacing w:line="578" w:lineRule="exact"/>
        <w:ind w:right="-154" w:firstLine="555"/>
        <w:jc w:val="left"/>
        <w:textAlignment w:val="auto"/>
        <w:rPr>
          <w:rFonts w:ascii="仿宋" w:hAnsi="仿宋" w:eastAsia="仿宋"/>
          <w:sz w:val="32"/>
          <w:szCs w:val="32"/>
        </w:rPr>
      </w:pPr>
      <w:r>
        <w:rPr>
          <w:rFonts w:hint="eastAsia" w:ascii="仿宋" w:hAnsi="仿宋" w:eastAsia="仿宋"/>
          <w:sz w:val="32"/>
          <w:szCs w:val="32"/>
        </w:rPr>
        <w:t>3、我方同意提供可能要求的与本次招标有关的一切数据或资料，并对其真实性负责。</w:t>
      </w:r>
    </w:p>
    <w:p>
      <w:pPr>
        <w:keepNext w:val="0"/>
        <w:keepLines w:val="0"/>
        <w:pageBreakBefore w:val="0"/>
        <w:kinsoku/>
        <w:wordWrap/>
        <w:overflowPunct/>
        <w:topLinePunct w:val="0"/>
        <w:autoSpaceDE/>
        <w:autoSpaceDN/>
        <w:bidi w:val="0"/>
        <w:adjustRightInd/>
        <w:snapToGrid/>
        <w:spacing w:line="578" w:lineRule="exact"/>
        <w:ind w:right="-154" w:firstLine="555"/>
        <w:jc w:val="left"/>
        <w:textAlignment w:val="auto"/>
        <w:rPr>
          <w:rFonts w:ascii="仿宋" w:hAnsi="仿宋" w:eastAsia="仿宋"/>
          <w:sz w:val="32"/>
          <w:szCs w:val="32"/>
        </w:rPr>
      </w:pPr>
      <w:r>
        <w:rPr>
          <w:rFonts w:hint="eastAsia" w:ascii="仿宋" w:hAnsi="仿宋" w:eastAsia="仿宋"/>
          <w:sz w:val="32"/>
          <w:szCs w:val="32"/>
        </w:rPr>
        <w:t>4、与本投标有关的一切正式往来请按下列地址和方式联系：</w:t>
      </w:r>
    </w:p>
    <w:p>
      <w:pPr>
        <w:keepNext w:val="0"/>
        <w:keepLines w:val="0"/>
        <w:pageBreakBefore w:val="0"/>
        <w:tabs>
          <w:tab w:val="left" w:pos="8280"/>
        </w:tabs>
        <w:kinsoku/>
        <w:wordWrap/>
        <w:overflowPunct/>
        <w:topLinePunct w:val="0"/>
        <w:autoSpaceDE/>
        <w:autoSpaceDN/>
        <w:bidi w:val="0"/>
        <w:adjustRightInd/>
        <w:snapToGrid/>
        <w:spacing w:line="578" w:lineRule="exact"/>
        <w:ind w:right="-1801" w:firstLine="480"/>
        <w:textAlignment w:val="auto"/>
        <w:rPr>
          <w:rFonts w:ascii="仿宋" w:hAnsi="仿宋" w:eastAsia="仿宋"/>
          <w:sz w:val="32"/>
          <w:szCs w:val="32"/>
        </w:rPr>
      </w:pPr>
      <w:r>
        <w:rPr>
          <w:rFonts w:hint="eastAsia" w:ascii="仿宋" w:hAnsi="仿宋" w:eastAsia="仿宋"/>
          <w:sz w:val="32"/>
          <w:szCs w:val="32"/>
        </w:rPr>
        <w:t xml:space="preserve">      地址：                       邮编：</w:t>
      </w:r>
    </w:p>
    <w:p>
      <w:pPr>
        <w:keepNext w:val="0"/>
        <w:keepLines w:val="0"/>
        <w:pageBreakBefore w:val="0"/>
        <w:tabs>
          <w:tab w:val="left" w:pos="8280"/>
        </w:tabs>
        <w:kinsoku/>
        <w:wordWrap/>
        <w:overflowPunct/>
        <w:topLinePunct w:val="0"/>
        <w:autoSpaceDE/>
        <w:autoSpaceDN/>
        <w:bidi w:val="0"/>
        <w:adjustRightInd/>
        <w:snapToGrid/>
        <w:spacing w:line="578" w:lineRule="exact"/>
        <w:ind w:right="-1801" w:firstLine="1440" w:firstLineChars="450"/>
        <w:textAlignment w:val="auto"/>
        <w:rPr>
          <w:rFonts w:ascii="仿宋" w:hAnsi="仿宋" w:eastAsia="仿宋"/>
          <w:sz w:val="32"/>
          <w:szCs w:val="32"/>
        </w:rPr>
      </w:pPr>
      <w:r>
        <w:rPr>
          <w:rFonts w:hint="eastAsia" w:ascii="仿宋" w:hAnsi="仿宋" w:eastAsia="仿宋"/>
          <w:sz w:val="32"/>
          <w:szCs w:val="32"/>
        </w:rPr>
        <w:t>电话：                       传真：</w:t>
      </w:r>
    </w:p>
    <w:p>
      <w:pPr>
        <w:keepNext w:val="0"/>
        <w:keepLines w:val="0"/>
        <w:pageBreakBefore w:val="0"/>
        <w:tabs>
          <w:tab w:val="left" w:pos="8280"/>
        </w:tabs>
        <w:kinsoku/>
        <w:wordWrap/>
        <w:overflowPunct/>
        <w:topLinePunct w:val="0"/>
        <w:autoSpaceDE/>
        <w:autoSpaceDN/>
        <w:bidi w:val="0"/>
        <w:adjustRightInd/>
        <w:snapToGrid/>
        <w:spacing w:line="578" w:lineRule="exact"/>
        <w:ind w:right="-1801" w:firstLine="1411" w:firstLineChars="441"/>
        <w:textAlignment w:val="auto"/>
        <w:rPr>
          <w:rFonts w:ascii="仿宋" w:hAnsi="仿宋" w:eastAsia="仿宋"/>
          <w:sz w:val="32"/>
          <w:szCs w:val="32"/>
        </w:rPr>
      </w:pPr>
      <w:r>
        <w:rPr>
          <w:rFonts w:hint="eastAsia" w:ascii="仿宋" w:hAnsi="仿宋" w:eastAsia="仿宋"/>
          <w:sz w:val="32"/>
          <w:szCs w:val="32"/>
        </w:rPr>
        <w:t>投标单位名称（公章）：</w:t>
      </w:r>
    </w:p>
    <w:p>
      <w:pPr>
        <w:keepNext w:val="0"/>
        <w:keepLines w:val="0"/>
        <w:pageBreakBefore w:val="0"/>
        <w:tabs>
          <w:tab w:val="left" w:pos="8280"/>
        </w:tabs>
        <w:kinsoku/>
        <w:wordWrap/>
        <w:overflowPunct/>
        <w:topLinePunct w:val="0"/>
        <w:autoSpaceDE/>
        <w:autoSpaceDN/>
        <w:bidi w:val="0"/>
        <w:adjustRightInd/>
        <w:snapToGrid/>
        <w:spacing w:line="578" w:lineRule="exact"/>
        <w:ind w:right="-1801" w:firstLine="1411" w:firstLineChars="441"/>
        <w:textAlignment w:val="auto"/>
        <w:rPr>
          <w:rFonts w:ascii="仿宋" w:hAnsi="仿宋" w:eastAsia="仿宋"/>
          <w:sz w:val="32"/>
          <w:szCs w:val="32"/>
        </w:rPr>
      </w:pPr>
      <w:r>
        <w:rPr>
          <w:rFonts w:hint="eastAsia" w:ascii="仿宋" w:hAnsi="仿宋" w:eastAsia="仿宋"/>
          <w:sz w:val="32"/>
          <w:szCs w:val="32"/>
        </w:rPr>
        <w:t>法定代表人或代理人（签字或印鉴）：</w:t>
      </w:r>
    </w:p>
    <w:p>
      <w:pPr>
        <w:keepNext w:val="0"/>
        <w:keepLines w:val="0"/>
        <w:pageBreakBefore w:val="0"/>
        <w:tabs>
          <w:tab w:val="left" w:pos="8280"/>
        </w:tabs>
        <w:kinsoku/>
        <w:wordWrap/>
        <w:overflowPunct/>
        <w:topLinePunct w:val="0"/>
        <w:autoSpaceDE/>
        <w:autoSpaceDN/>
        <w:bidi w:val="0"/>
        <w:adjustRightInd/>
        <w:snapToGrid/>
        <w:spacing w:line="578" w:lineRule="exact"/>
        <w:ind w:right="-1801"/>
        <w:textAlignment w:val="auto"/>
        <w:rPr>
          <w:rFonts w:ascii="仿宋" w:hAnsi="仿宋" w:eastAsia="仿宋"/>
          <w:sz w:val="32"/>
          <w:szCs w:val="32"/>
        </w:rPr>
      </w:pPr>
      <w:r>
        <w:rPr>
          <w:rFonts w:hint="eastAsia" w:ascii="仿宋" w:hAnsi="仿宋" w:eastAsia="仿宋"/>
          <w:sz w:val="32"/>
          <w:szCs w:val="32"/>
        </w:rPr>
        <w:t xml:space="preserve">         日期：     年    月    日      </w:t>
      </w:r>
    </w:p>
    <w:p>
      <w:pPr>
        <w:keepNext w:val="0"/>
        <w:keepLines w:val="0"/>
        <w:pageBreakBefore w:val="0"/>
        <w:kinsoku/>
        <w:wordWrap/>
        <w:overflowPunct/>
        <w:topLinePunct w:val="0"/>
        <w:autoSpaceDE/>
        <w:autoSpaceDN/>
        <w:bidi w:val="0"/>
        <w:adjustRightInd/>
        <w:snapToGrid/>
        <w:spacing w:line="578" w:lineRule="exact"/>
        <w:ind w:right="-222"/>
        <w:jc w:val="center"/>
        <w:textAlignment w:val="auto"/>
        <w:outlineLvl w:val="0"/>
        <w:rPr>
          <w:rFonts w:ascii="仿宋_GB2312" w:hAnsi="宋体" w:eastAsia="仿宋_GB2312"/>
          <w:sz w:val="28"/>
          <w:szCs w:val="28"/>
        </w:rPr>
      </w:pPr>
      <w:r>
        <w:rPr>
          <w:rFonts w:hint="eastAsia" w:ascii="仿宋" w:hAnsi="仿宋" w:eastAsia="仿宋"/>
          <w:sz w:val="32"/>
          <w:szCs w:val="32"/>
        </w:rPr>
        <w:br w:type="page"/>
      </w:r>
      <w:bookmarkStart w:id="47" w:name="_Toc454462786"/>
      <w:r>
        <w:rPr>
          <w:rFonts w:hint="eastAsia" w:ascii="仿宋_GB2312" w:hAnsi="宋体" w:eastAsia="仿宋_GB2312"/>
          <w:sz w:val="28"/>
          <w:szCs w:val="28"/>
        </w:rPr>
        <w:t>二、法定代表人授权委托书</w:t>
      </w:r>
      <w:bookmarkEnd w:id="47"/>
    </w:p>
    <w:p>
      <w:pPr>
        <w:keepNext w:val="0"/>
        <w:keepLines w:val="0"/>
        <w:pageBreakBefore w:val="0"/>
        <w:tabs>
          <w:tab w:val="left" w:pos="8280"/>
        </w:tabs>
        <w:kinsoku/>
        <w:wordWrap/>
        <w:overflowPunct/>
        <w:topLinePunct w:val="0"/>
        <w:autoSpaceDE/>
        <w:autoSpaceDN/>
        <w:bidi w:val="0"/>
        <w:adjustRightInd/>
        <w:snapToGrid/>
        <w:spacing w:line="578" w:lineRule="exact"/>
        <w:textAlignment w:val="auto"/>
        <w:rPr>
          <w:rFonts w:ascii="仿宋" w:hAnsi="仿宋" w:eastAsia="仿宋"/>
          <w:sz w:val="32"/>
          <w:szCs w:val="32"/>
        </w:rPr>
      </w:pPr>
      <w:r>
        <w:rPr>
          <w:rFonts w:hint="eastAsia" w:ascii="仿宋" w:hAnsi="仿宋" w:eastAsia="仿宋" w:cs="仿宋"/>
          <w:sz w:val="32"/>
          <w:szCs w:val="32"/>
        </w:rPr>
        <w:t>吉林省财政厅、中国人民银行吉林省分行</w:t>
      </w:r>
      <w:r>
        <w:rPr>
          <w:rFonts w:hint="eastAsia" w:ascii="仿宋" w:hAnsi="仿宋" w:eastAsia="仿宋"/>
          <w:sz w:val="32"/>
          <w:szCs w:val="32"/>
        </w:rPr>
        <w:t>：</w:t>
      </w:r>
    </w:p>
    <w:p>
      <w:pPr>
        <w:keepNext w:val="0"/>
        <w:keepLines w:val="0"/>
        <w:pageBreakBefore w:val="0"/>
        <w:tabs>
          <w:tab w:val="left" w:pos="8280"/>
        </w:tabs>
        <w:kinsoku/>
        <w:wordWrap/>
        <w:overflowPunct/>
        <w:topLinePunct w:val="0"/>
        <w:autoSpaceDE/>
        <w:autoSpaceDN/>
        <w:bidi w:val="0"/>
        <w:adjustRightInd/>
        <w:snapToGrid/>
        <w:spacing w:line="578" w:lineRule="exact"/>
        <w:ind w:firstLine="480"/>
        <w:textAlignment w:val="auto"/>
        <w:rPr>
          <w:rFonts w:ascii="仿宋" w:hAnsi="仿宋" w:eastAsia="仿宋"/>
          <w:sz w:val="32"/>
          <w:szCs w:val="32"/>
        </w:rPr>
      </w:pPr>
      <w:r>
        <w:rPr>
          <w:rFonts w:hint="eastAsia" w:ascii="仿宋" w:hAnsi="仿宋" w:eastAsia="仿宋"/>
          <w:sz w:val="32"/>
          <w:szCs w:val="32"/>
        </w:rPr>
        <w:t>兹委托</w:t>
      </w:r>
      <w:r>
        <w:rPr>
          <w:rFonts w:hint="eastAsia" w:ascii="仿宋" w:hAnsi="仿宋" w:eastAsia="仿宋"/>
          <w:sz w:val="32"/>
          <w:szCs w:val="32"/>
          <w:u w:val="single"/>
        </w:rPr>
        <w:t>（代理人姓名）</w:t>
      </w:r>
      <w:r>
        <w:rPr>
          <w:rFonts w:hint="eastAsia" w:ascii="仿宋" w:hAnsi="仿宋" w:eastAsia="仿宋"/>
          <w:sz w:val="32"/>
          <w:szCs w:val="32"/>
        </w:rPr>
        <w:t>参加你方组织的</w:t>
      </w:r>
      <w:r>
        <w:rPr>
          <w:rFonts w:hint="eastAsia" w:ascii="仿宋" w:hAnsi="仿宋" w:eastAsia="仿宋"/>
          <w:sz w:val="32"/>
          <w:szCs w:val="32"/>
          <w:u w:val="single"/>
        </w:rPr>
        <w:t>　　　　　　　</w:t>
      </w:r>
      <w:r>
        <w:rPr>
          <w:rFonts w:hint="eastAsia" w:ascii="仿宋" w:hAnsi="仿宋" w:eastAsia="仿宋"/>
          <w:sz w:val="32"/>
          <w:szCs w:val="32"/>
        </w:rPr>
        <w:t>项目的招标活动，全权代表我方处理与本次投标有关的事宜，所签署的相关文件，我方均予以承认。</w:t>
      </w:r>
    </w:p>
    <w:p>
      <w:pPr>
        <w:keepNext w:val="0"/>
        <w:keepLines w:val="0"/>
        <w:pageBreakBefore w:val="0"/>
        <w:tabs>
          <w:tab w:val="left" w:pos="8280"/>
        </w:tabs>
        <w:kinsoku/>
        <w:wordWrap/>
        <w:overflowPunct/>
        <w:topLinePunct w:val="0"/>
        <w:autoSpaceDE/>
        <w:autoSpaceDN/>
        <w:bidi w:val="0"/>
        <w:adjustRightInd/>
        <w:snapToGrid/>
        <w:spacing w:line="578" w:lineRule="exact"/>
        <w:textAlignment w:val="auto"/>
        <w:rPr>
          <w:rFonts w:ascii="仿宋" w:hAnsi="仿宋" w:eastAsia="仿宋"/>
          <w:sz w:val="32"/>
          <w:szCs w:val="32"/>
        </w:rPr>
      </w:pPr>
    </w:p>
    <w:p>
      <w:pPr>
        <w:keepNext w:val="0"/>
        <w:keepLines w:val="0"/>
        <w:pageBreakBefore w:val="0"/>
        <w:tabs>
          <w:tab w:val="left" w:pos="8280"/>
        </w:tabs>
        <w:kinsoku/>
        <w:wordWrap/>
        <w:overflowPunct/>
        <w:topLinePunct w:val="0"/>
        <w:autoSpaceDE/>
        <w:autoSpaceDN/>
        <w:bidi w:val="0"/>
        <w:adjustRightInd/>
        <w:snapToGrid/>
        <w:spacing w:line="578" w:lineRule="exact"/>
        <w:textAlignment w:val="auto"/>
        <w:rPr>
          <w:rFonts w:ascii="仿宋" w:hAnsi="仿宋" w:eastAsia="仿宋"/>
          <w:sz w:val="32"/>
          <w:szCs w:val="32"/>
        </w:rPr>
      </w:pPr>
      <w:r>
        <w:rPr>
          <w:rFonts w:hint="eastAsia" w:ascii="仿宋" w:hAnsi="仿宋" w:eastAsia="仿宋"/>
          <w:sz w:val="32"/>
          <w:szCs w:val="32"/>
        </w:rPr>
        <w:t>附代理人情况：</w:t>
      </w:r>
    </w:p>
    <w:p>
      <w:pPr>
        <w:keepNext w:val="0"/>
        <w:keepLines w:val="0"/>
        <w:pageBreakBefore w:val="0"/>
        <w:tabs>
          <w:tab w:val="left" w:pos="8280"/>
        </w:tabs>
        <w:kinsoku/>
        <w:wordWrap/>
        <w:overflowPunct/>
        <w:topLinePunct w:val="0"/>
        <w:autoSpaceDE/>
        <w:autoSpaceDN/>
        <w:bidi w:val="0"/>
        <w:adjustRightInd/>
        <w:snapToGrid/>
        <w:spacing w:line="578" w:lineRule="exact"/>
        <w:textAlignment w:val="auto"/>
        <w:rPr>
          <w:rFonts w:ascii="仿宋" w:hAnsi="仿宋" w:eastAsia="仿宋"/>
          <w:sz w:val="32"/>
          <w:szCs w:val="32"/>
          <w:u w:val="single"/>
        </w:rPr>
      </w:pPr>
      <w:r>
        <w:rPr>
          <w:rFonts w:hint="eastAsia" w:ascii="仿宋" w:hAnsi="仿宋" w:eastAsia="仿宋"/>
          <w:sz w:val="32"/>
          <w:szCs w:val="32"/>
        </w:rPr>
        <w:t>姓名： 性别：年龄：职务：</w:t>
      </w:r>
    </w:p>
    <w:p>
      <w:pPr>
        <w:keepNext w:val="0"/>
        <w:keepLines w:val="0"/>
        <w:pageBreakBefore w:val="0"/>
        <w:tabs>
          <w:tab w:val="left" w:pos="8280"/>
        </w:tabs>
        <w:kinsoku/>
        <w:wordWrap/>
        <w:overflowPunct/>
        <w:topLinePunct w:val="0"/>
        <w:autoSpaceDE/>
        <w:autoSpaceDN/>
        <w:bidi w:val="0"/>
        <w:adjustRightInd/>
        <w:snapToGrid/>
        <w:spacing w:line="578" w:lineRule="exact"/>
        <w:textAlignment w:val="auto"/>
        <w:rPr>
          <w:rFonts w:ascii="仿宋" w:hAnsi="仿宋" w:eastAsia="仿宋"/>
          <w:sz w:val="32"/>
          <w:szCs w:val="32"/>
        </w:rPr>
      </w:pPr>
      <w:r>
        <w:rPr>
          <w:rFonts w:hint="eastAsia" w:ascii="仿宋" w:hAnsi="仿宋" w:eastAsia="仿宋"/>
          <w:sz w:val="32"/>
          <w:szCs w:val="32"/>
        </w:rPr>
        <w:t>身份证号码：</w:t>
      </w:r>
    </w:p>
    <w:p>
      <w:pPr>
        <w:keepNext w:val="0"/>
        <w:keepLines w:val="0"/>
        <w:pageBreakBefore w:val="0"/>
        <w:tabs>
          <w:tab w:val="left" w:pos="8280"/>
        </w:tabs>
        <w:kinsoku/>
        <w:wordWrap/>
        <w:overflowPunct/>
        <w:topLinePunct w:val="0"/>
        <w:autoSpaceDE/>
        <w:autoSpaceDN/>
        <w:bidi w:val="0"/>
        <w:adjustRightInd/>
        <w:snapToGrid/>
        <w:spacing w:line="578" w:lineRule="exact"/>
        <w:textAlignment w:val="auto"/>
        <w:rPr>
          <w:rFonts w:ascii="仿宋" w:hAnsi="仿宋" w:eastAsia="仿宋"/>
          <w:sz w:val="32"/>
          <w:szCs w:val="32"/>
        </w:rPr>
      </w:pPr>
      <w:r>
        <w:rPr>
          <w:rFonts w:hint="eastAsia" w:ascii="仿宋" w:hAnsi="仿宋" w:eastAsia="仿宋"/>
          <w:sz w:val="32"/>
          <w:szCs w:val="32"/>
        </w:rPr>
        <w:t xml:space="preserve">通讯地址： </w:t>
      </w:r>
    </w:p>
    <w:p>
      <w:pPr>
        <w:keepNext w:val="0"/>
        <w:keepLines w:val="0"/>
        <w:pageBreakBefore w:val="0"/>
        <w:tabs>
          <w:tab w:val="left" w:pos="8280"/>
        </w:tabs>
        <w:kinsoku/>
        <w:wordWrap/>
        <w:overflowPunct/>
        <w:topLinePunct w:val="0"/>
        <w:autoSpaceDE/>
        <w:autoSpaceDN/>
        <w:bidi w:val="0"/>
        <w:adjustRightInd/>
        <w:snapToGrid/>
        <w:spacing w:line="578" w:lineRule="exact"/>
        <w:textAlignment w:val="auto"/>
        <w:rPr>
          <w:rFonts w:ascii="仿宋" w:hAnsi="仿宋" w:eastAsia="仿宋"/>
          <w:sz w:val="32"/>
          <w:szCs w:val="32"/>
        </w:rPr>
      </w:pPr>
      <w:r>
        <w:rPr>
          <w:rFonts w:hint="eastAsia" w:ascii="仿宋" w:hAnsi="仿宋" w:eastAsia="仿宋"/>
          <w:sz w:val="32"/>
          <w:szCs w:val="32"/>
        </w:rPr>
        <w:t>邮政编码：</w:t>
      </w:r>
    </w:p>
    <w:p>
      <w:pPr>
        <w:keepNext w:val="0"/>
        <w:keepLines w:val="0"/>
        <w:pageBreakBefore w:val="0"/>
        <w:tabs>
          <w:tab w:val="left" w:pos="8280"/>
        </w:tabs>
        <w:kinsoku/>
        <w:wordWrap/>
        <w:overflowPunct/>
        <w:topLinePunct w:val="0"/>
        <w:autoSpaceDE/>
        <w:autoSpaceDN/>
        <w:bidi w:val="0"/>
        <w:adjustRightInd/>
        <w:snapToGrid/>
        <w:spacing w:line="578" w:lineRule="exact"/>
        <w:textAlignment w:val="auto"/>
        <w:rPr>
          <w:rFonts w:ascii="仿宋" w:hAnsi="仿宋" w:eastAsia="仿宋"/>
          <w:sz w:val="32"/>
          <w:szCs w:val="32"/>
        </w:rPr>
      </w:pPr>
      <w:r>
        <w:rPr>
          <w:rFonts w:hint="eastAsia" w:ascii="仿宋" w:hAnsi="仿宋" w:eastAsia="仿宋"/>
          <w:sz w:val="32"/>
          <w:szCs w:val="32"/>
        </w:rPr>
        <w:t>电话：传真：</w:t>
      </w:r>
    </w:p>
    <w:p>
      <w:pPr>
        <w:keepNext w:val="0"/>
        <w:keepLines w:val="0"/>
        <w:pageBreakBefore w:val="0"/>
        <w:tabs>
          <w:tab w:val="left" w:pos="8280"/>
        </w:tabs>
        <w:kinsoku/>
        <w:wordWrap/>
        <w:overflowPunct/>
        <w:topLinePunct w:val="0"/>
        <w:autoSpaceDE/>
        <w:autoSpaceDN/>
        <w:bidi w:val="0"/>
        <w:adjustRightInd/>
        <w:snapToGrid/>
        <w:spacing w:line="578" w:lineRule="exact"/>
        <w:textAlignment w:val="auto"/>
        <w:rPr>
          <w:rFonts w:ascii="仿宋" w:hAnsi="仿宋" w:eastAsia="仿宋"/>
          <w:sz w:val="32"/>
          <w:szCs w:val="32"/>
        </w:rPr>
      </w:pPr>
    </w:p>
    <w:p>
      <w:pPr>
        <w:keepNext w:val="0"/>
        <w:keepLines w:val="0"/>
        <w:pageBreakBefore w:val="0"/>
        <w:tabs>
          <w:tab w:val="left" w:pos="8280"/>
        </w:tabs>
        <w:kinsoku/>
        <w:wordWrap/>
        <w:overflowPunct/>
        <w:topLinePunct w:val="0"/>
        <w:autoSpaceDE/>
        <w:autoSpaceDN/>
        <w:bidi w:val="0"/>
        <w:adjustRightInd/>
        <w:snapToGrid/>
        <w:spacing w:line="578" w:lineRule="exact"/>
        <w:textAlignment w:val="auto"/>
        <w:rPr>
          <w:rFonts w:ascii="仿宋" w:hAnsi="仿宋" w:eastAsia="仿宋"/>
          <w:sz w:val="32"/>
          <w:szCs w:val="32"/>
        </w:rPr>
      </w:pPr>
      <w:r>
        <w:rPr>
          <w:rFonts w:hint="eastAsia" w:ascii="仿宋" w:hAnsi="仿宋" w:eastAsia="仿宋"/>
          <w:sz w:val="32"/>
          <w:szCs w:val="32"/>
        </w:rPr>
        <w:t>投标单位名称（公章）             法定代表人（签字或印鉴）</w:t>
      </w:r>
    </w:p>
    <w:p>
      <w:pPr>
        <w:keepNext w:val="0"/>
        <w:keepLines w:val="0"/>
        <w:pageBreakBefore w:val="0"/>
        <w:tabs>
          <w:tab w:val="left" w:pos="8280"/>
        </w:tabs>
        <w:kinsoku/>
        <w:wordWrap/>
        <w:overflowPunct/>
        <w:topLinePunct w:val="0"/>
        <w:autoSpaceDE/>
        <w:autoSpaceDN/>
        <w:bidi w:val="0"/>
        <w:adjustRightInd/>
        <w:snapToGrid/>
        <w:spacing w:line="578" w:lineRule="exact"/>
        <w:ind w:firstLine="960" w:firstLineChars="300"/>
        <w:textAlignment w:val="auto"/>
        <w:rPr>
          <w:rFonts w:ascii="仿宋" w:hAnsi="仿宋" w:eastAsia="仿宋"/>
          <w:sz w:val="32"/>
          <w:szCs w:val="32"/>
        </w:rPr>
      </w:pPr>
      <w:r>
        <w:rPr>
          <w:rFonts w:hint="eastAsia" w:ascii="仿宋" w:hAnsi="仿宋" w:eastAsia="仿宋"/>
          <w:sz w:val="32"/>
          <w:szCs w:val="32"/>
        </w:rPr>
        <w:t xml:space="preserve">年   月   日                     年   月    日  </w:t>
      </w:r>
    </w:p>
    <w:p>
      <w:pPr>
        <w:keepNext w:val="0"/>
        <w:keepLines w:val="0"/>
        <w:pageBreakBefore w:val="0"/>
        <w:tabs>
          <w:tab w:val="left" w:pos="8280"/>
        </w:tabs>
        <w:kinsoku/>
        <w:wordWrap/>
        <w:overflowPunct/>
        <w:topLinePunct w:val="0"/>
        <w:autoSpaceDE/>
        <w:autoSpaceDN/>
        <w:bidi w:val="0"/>
        <w:adjustRightInd/>
        <w:snapToGrid/>
        <w:spacing w:line="578" w:lineRule="exact"/>
        <w:textAlignment w:val="auto"/>
        <w:rPr>
          <w:rFonts w:ascii="仿宋" w:hAnsi="仿宋" w:eastAsia="仿宋"/>
          <w:sz w:val="32"/>
          <w:szCs w:val="32"/>
        </w:rPr>
      </w:pPr>
    </w:p>
    <w:p>
      <w:pPr>
        <w:keepNext w:val="0"/>
        <w:keepLines w:val="0"/>
        <w:pageBreakBefore w:val="0"/>
        <w:tabs>
          <w:tab w:val="left" w:pos="8280"/>
        </w:tabs>
        <w:kinsoku/>
        <w:wordWrap/>
        <w:overflowPunct/>
        <w:topLinePunct w:val="0"/>
        <w:autoSpaceDE/>
        <w:autoSpaceDN/>
        <w:bidi w:val="0"/>
        <w:adjustRightInd/>
        <w:snapToGrid/>
        <w:spacing w:line="578" w:lineRule="exact"/>
        <w:textAlignment w:val="auto"/>
        <w:rPr>
          <w:rFonts w:ascii="仿宋" w:hAnsi="仿宋" w:eastAsia="仿宋"/>
          <w:sz w:val="32"/>
          <w:szCs w:val="32"/>
        </w:rPr>
      </w:pPr>
    </w:p>
    <w:p>
      <w:pPr>
        <w:keepNext w:val="0"/>
        <w:keepLines w:val="0"/>
        <w:pageBreakBefore w:val="0"/>
        <w:tabs>
          <w:tab w:val="left" w:pos="8280"/>
        </w:tabs>
        <w:kinsoku/>
        <w:wordWrap/>
        <w:overflowPunct/>
        <w:topLinePunct w:val="0"/>
        <w:autoSpaceDE/>
        <w:autoSpaceDN/>
        <w:bidi w:val="0"/>
        <w:adjustRightInd/>
        <w:snapToGrid/>
        <w:spacing w:line="578" w:lineRule="exact"/>
        <w:textAlignment w:val="auto"/>
        <w:rPr>
          <w:rFonts w:ascii="仿宋" w:hAnsi="仿宋" w:eastAsia="仿宋"/>
          <w:sz w:val="32"/>
          <w:szCs w:val="32"/>
        </w:rPr>
      </w:pPr>
      <w:r>
        <w:rPr>
          <w:rFonts w:hint="eastAsia" w:ascii="仿宋" w:hAnsi="仿宋" w:eastAsia="仿宋"/>
          <w:sz w:val="32"/>
          <w:szCs w:val="32"/>
        </w:rPr>
        <w:t>代理人身份证复印件（正反面）  法定代表人身份证复印件（正反面）</w:t>
      </w:r>
    </w:p>
    <w:p>
      <w:pPr>
        <w:keepNext w:val="0"/>
        <w:keepLines w:val="0"/>
        <w:pageBreakBefore w:val="0"/>
        <w:tabs>
          <w:tab w:val="left" w:pos="8280"/>
        </w:tabs>
        <w:kinsoku/>
        <w:wordWrap/>
        <w:overflowPunct/>
        <w:topLinePunct w:val="0"/>
        <w:autoSpaceDE/>
        <w:autoSpaceDN/>
        <w:bidi w:val="0"/>
        <w:adjustRightInd/>
        <w:snapToGrid/>
        <w:spacing w:line="578" w:lineRule="exact"/>
        <w:ind w:firstLine="1120"/>
        <w:textAlignment w:val="auto"/>
        <w:rPr>
          <w:rFonts w:ascii="仿宋" w:hAnsi="仿宋" w:eastAsia="仿宋"/>
          <w:sz w:val="32"/>
          <w:szCs w:val="32"/>
        </w:rPr>
      </w:pPr>
      <w:r>
        <w:rPr>
          <w:rFonts w:hint="eastAsia" w:ascii="仿宋" w:hAnsi="仿宋" w:eastAsia="仿宋"/>
          <w:sz w:val="32"/>
          <w:szCs w:val="32"/>
        </w:rPr>
        <w:t xml:space="preserve">（用A4纸复印附后）     （用A4纸复印附后） </w:t>
      </w:r>
      <w:r>
        <w:rPr>
          <w:rFonts w:hint="eastAsia" w:ascii="仿宋" w:hAnsi="仿宋" w:eastAsia="仿宋"/>
          <w:sz w:val="32"/>
          <w:szCs w:val="32"/>
        </w:rPr>
        <w:br w:type="page"/>
      </w:r>
    </w:p>
    <w:p>
      <w:pPr>
        <w:keepNext w:val="0"/>
        <w:keepLines w:val="0"/>
        <w:pageBreakBefore w:val="0"/>
        <w:kinsoku/>
        <w:wordWrap/>
        <w:overflowPunct/>
        <w:topLinePunct w:val="0"/>
        <w:autoSpaceDE/>
        <w:autoSpaceDN/>
        <w:bidi w:val="0"/>
        <w:adjustRightInd/>
        <w:snapToGrid/>
        <w:spacing w:line="578" w:lineRule="exact"/>
        <w:ind w:right="-222"/>
        <w:jc w:val="center"/>
        <w:textAlignment w:val="auto"/>
        <w:outlineLvl w:val="0"/>
        <w:rPr>
          <w:rFonts w:ascii="仿宋_GB2312" w:hAnsi="宋体" w:eastAsia="仿宋_GB2312"/>
          <w:sz w:val="28"/>
          <w:szCs w:val="28"/>
        </w:rPr>
      </w:pPr>
      <w:bookmarkStart w:id="48" w:name="_Toc454462787"/>
      <w:r>
        <w:rPr>
          <w:rFonts w:hint="eastAsia" w:ascii="仿宋_GB2312" w:hAnsi="宋体" w:eastAsia="仿宋_GB2312"/>
          <w:sz w:val="28"/>
          <w:szCs w:val="28"/>
        </w:rPr>
        <w:t>三、企业经营信誉及风险控制承诺书</w:t>
      </w:r>
      <w:bookmarkEnd w:id="48"/>
    </w:p>
    <w:p>
      <w:pPr>
        <w:keepNext w:val="0"/>
        <w:keepLines w:val="0"/>
        <w:pageBreakBefore w:val="0"/>
        <w:tabs>
          <w:tab w:val="left" w:pos="8280"/>
        </w:tabs>
        <w:kinsoku/>
        <w:wordWrap/>
        <w:overflowPunct/>
        <w:topLinePunct w:val="0"/>
        <w:autoSpaceDE/>
        <w:autoSpaceDN/>
        <w:bidi w:val="0"/>
        <w:adjustRightInd/>
        <w:snapToGrid/>
        <w:spacing w:line="578" w:lineRule="exact"/>
        <w:textAlignment w:val="auto"/>
        <w:rPr>
          <w:rFonts w:ascii="仿宋_GB2312" w:hAnsi="宋体" w:eastAsia="仿宋_GB2312"/>
          <w:sz w:val="28"/>
          <w:szCs w:val="28"/>
        </w:rPr>
      </w:pPr>
    </w:p>
    <w:p>
      <w:pPr>
        <w:keepNext w:val="0"/>
        <w:keepLines w:val="0"/>
        <w:pageBreakBefore w:val="0"/>
        <w:tabs>
          <w:tab w:val="left" w:pos="8280"/>
        </w:tabs>
        <w:kinsoku/>
        <w:wordWrap/>
        <w:overflowPunct/>
        <w:topLinePunct w:val="0"/>
        <w:autoSpaceDE/>
        <w:autoSpaceDN/>
        <w:bidi w:val="0"/>
        <w:adjustRightInd/>
        <w:snapToGrid/>
        <w:spacing w:line="578" w:lineRule="exact"/>
        <w:textAlignment w:val="auto"/>
        <w:rPr>
          <w:rFonts w:ascii="仿宋" w:hAnsi="仿宋" w:eastAsia="仿宋"/>
          <w:sz w:val="32"/>
          <w:szCs w:val="32"/>
        </w:rPr>
      </w:pPr>
      <w:r>
        <w:rPr>
          <w:rFonts w:hint="eastAsia" w:ascii="仿宋" w:hAnsi="仿宋" w:eastAsia="仿宋" w:cs="仿宋"/>
          <w:sz w:val="32"/>
          <w:szCs w:val="32"/>
        </w:rPr>
        <w:t>吉林省财政厅、中国人民银行吉林省分行</w:t>
      </w:r>
      <w:r>
        <w:rPr>
          <w:rFonts w:hint="eastAsia" w:ascii="仿宋" w:hAnsi="仿宋" w:eastAsia="仿宋"/>
          <w:sz w:val="32"/>
          <w:szCs w:val="32"/>
        </w:rPr>
        <w:t>：</w:t>
      </w:r>
    </w:p>
    <w:p>
      <w:pPr>
        <w:keepNext w:val="0"/>
        <w:keepLines w:val="0"/>
        <w:pageBreakBefore w:val="0"/>
        <w:kinsoku/>
        <w:wordWrap/>
        <w:overflowPunct/>
        <w:topLinePunct w:val="0"/>
        <w:autoSpaceDE/>
        <w:autoSpaceDN/>
        <w:bidi w:val="0"/>
        <w:adjustRightInd/>
        <w:snapToGrid/>
        <w:spacing w:line="578" w:lineRule="exact"/>
        <w:ind w:right="-153" w:rightChars="-73" w:firstLine="640" w:firstLineChars="200"/>
        <w:textAlignment w:val="auto"/>
        <w:rPr>
          <w:rFonts w:ascii="仿宋" w:hAnsi="仿宋" w:eastAsia="仿宋"/>
          <w:sz w:val="32"/>
          <w:szCs w:val="32"/>
        </w:rPr>
      </w:pPr>
      <w:r>
        <w:rPr>
          <w:rFonts w:hint="eastAsia" w:ascii="仿宋" w:hAnsi="仿宋" w:eastAsia="仿宋"/>
          <w:sz w:val="32"/>
          <w:szCs w:val="32"/>
        </w:rPr>
        <w:t>根据《</w:t>
      </w:r>
      <w:r>
        <w:rPr>
          <w:rFonts w:hint="eastAsia" w:ascii="仿宋" w:hAnsi="仿宋" w:eastAsia="仿宋"/>
          <w:sz w:val="32"/>
          <w:szCs w:val="32"/>
          <w:u w:val="single"/>
        </w:rPr>
        <w:t>2024年度吉林省省级国库现金管理商业银行定期存款（第一期）</w:t>
      </w:r>
      <w:r>
        <w:rPr>
          <w:rFonts w:hint="eastAsia" w:ascii="仿宋" w:hAnsi="仿宋" w:eastAsia="仿宋"/>
          <w:sz w:val="32"/>
          <w:szCs w:val="32"/>
        </w:rPr>
        <w:t>项目招标文件》（招标编号：</w:t>
      </w:r>
      <w:r>
        <w:rPr>
          <w:rFonts w:hint="eastAsia" w:ascii="仿宋" w:hAnsi="仿宋" w:eastAsia="仿宋"/>
          <w:sz w:val="32"/>
          <w:szCs w:val="32"/>
          <w:u w:val="single"/>
        </w:rPr>
        <w:t>　　　　</w:t>
      </w:r>
      <w:r>
        <w:rPr>
          <w:rFonts w:hint="eastAsia" w:ascii="仿宋" w:hAnsi="仿宋" w:eastAsia="仿宋"/>
          <w:sz w:val="32"/>
          <w:szCs w:val="32"/>
        </w:rPr>
        <w:t>）的相关规定，</w:t>
      </w:r>
      <w:r>
        <w:rPr>
          <w:rFonts w:hint="eastAsia" w:ascii="仿宋" w:hAnsi="仿宋" w:eastAsia="仿宋"/>
          <w:sz w:val="32"/>
          <w:szCs w:val="32"/>
          <w:u w:val="single"/>
        </w:rPr>
        <w:t>（投标人名称）</w:t>
      </w:r>
      <w:r>
        <w:rPr>
          <w:rFonts w:hint="eastAsia" w:ascii="仿宋" w:hAnsi="仿宋" w:eastAsia="仿宋"/>
          <w:sz w:val="32"/>
          <w:szCs w:val="32"/>
        </w:rPr>
        <w:t>特向你方郑重承诺：本机构依法开展经营活动，近3年内在经营活动中无重大违法违规记录，法定代表人、财务及其他部门负责人、专职人员在近3年内无重大违反金融财经法律法规的行为。本机构内部管理规范、内控制度健全、具有严格的操作规程和措施，具有良好的经营信誉、风险控制能力及履行协议的能力，近3年内未发生金融风险及重大违约事件。</w:t>
      </w:r>
    </w:p>
    <w:p>
      <w:pPr>
        <w:keepNext w:val="0"/>
        <w:keepLines w:val="0"/>
        <w:pageBreakBefore w:val="0"/>
        <w:tabs>
          <w:tab w:val="left" w:pos="8280"/>
        </w:tabs>
        <w:kinsoku/>
        <w:wordWrap/>
        <w:overflowPunct/>
        <w:topLinePunct w:val="0"/>
        <w:autoSpaceDE/>
        <w:autoSpaceDN/>
        <w:bidi w:val="0"/>
        <w:adjustRightInd/>
        <w:snapToGrid/>
        <w:spacing w:line="578" w:lineRule="exact"/>
        <w:ind w:firstLine="640" w:firstLineChars="200"/>
        <w:textAlignment w:val="auto"/>
        <w:rPr>
          <w:rFonts w:ascii="仿宋" w:hAnsi="仿宋" w:eastAsia="仿宋"/>
          <w:sz w:val="32"/>
          <w:szCs w:val="32"/>
        </w:rPr>
      </w:pPr>
      <w:r>
        <w:rPr>
          <w:rFonts w:hint="eastAsia" w:ascii="仿宋" w:hAnsi="仿宋" w:eastAsia="仿宋"/>
          <w:sz w:val="32"/>
          <w:szCs w:val="32"/>
        </w:rPr>
        <w:t>特此承诺。</w:t>
      </w:r>
    </w:p>
    <w:p>
      <w:pPr>
        <w:keepNext w:val="0"/>
        <w:keepLines w:val="0"/>
        <w:pageBreakBefore w:val="0"/>
        <w:tabs>
          <w:tab w:val="left" w:pos="8280"/>
        </w:tabs>
        <w:kinsoku/>
        <w:wordWrap/>
        <w:overflowPunct/>
        <w:topLinePunct w:val="0"/>
        <w:autoSpaceDE/>
        <w:autoSpaceDN/>
        <w:bidi w:val="0"/>
        <w:adjustRightInd/>
        <w:snapToGrid/>
        <w:spacing w:line="578" w:lineRule="exact"/>
        <w:ind w:firstLine="640" w:firstLineChars="200"/>
        <w:textAlignment w:val="auto"/>
        <w:rPr>
          <w:rFonts w:ascii="仿宋" w:hAnsi="仿宋" w:eastAsia="仿宋"/>
          <w:sz w:val="32"/>
          <w:szCs w:val="32"/>
          <w:u w:val="single"/>
        </w:rPr>
      </w:pPr>
      <w:r>
        <w:rPr>
          <w:rFonts w:hint="eastAsia" w:ascii="仿宋" w:hAnsi="仿宋" w:eastAsia="仿宋"/>
          <w:sz w:val="32"/>
          <w:szCs w:val="32"/>
        </w:rPr>
        <w:t>（投标人可自行增加有关企业经营信誉承诺的内容。）</w:t>
      </w:r>
    </w:p>
    <w:p>
      <w:pPr>
        <w:keepNext w:val="0"/>
        <w:keepLines w:val="0"/>
        <w:pageBreakBefore w:val="0"/>
        <w:tabs>
          <w:tab w:val="left" w:pos="8280"/>
        </w:tabs>
        <w:kinsoku/>
        <w:wordWrap/>
        <w:overflowPunct/>
        <w:topLinePunct w:val="0"/>
        <w:autoSpaceDE/>
        <w:autoSpaceDN/>
        <w:bidi w:val="0"/>
        <w:adjustRightInd/>
        <w:snapToGrid/>
        <w:spacing w:line="578" w:lineRule="exact"/>
        <w:textAlignment w:val="auto"/>
        <w:rPr>
          <w:rFonts w:ascii="仿宋" w:hAnsi="仿宋" w:eastAsia="仿宋"/>
          <w:sz w:val="32"/>
          <w:szCs w:val="32"/>
        </w:rPr>
      </w:pPr>
    </w:p>
    <w:p>
      <w:pPr>
        <w:keepNext w:val="0"/>
        <w:keepLines w:val="0"/>
        <w:pageBreakBefore w:val="0"/>
        <w:tabs>
          <w:tab w:val="left" w:pos="8280"/>
        </w:tabs>
        <w:kinsoku/>
        <w:wordWrap/>
        <w:overflowPunct/>
        <w:topLinePunct w:val="0"/>
        <w:autoSpaceDE/>
        <w:autoSpaceDN/>
        <w:bidi w:val="0"/>
        <w:adjustRightInd/>
        <w:snapToGrid/>
        <w:spacing w:line="578" w:lineRule="exact"/>
        <w:textAlignment w:val="auto"/>
        <w:rPr>
          <w:rFonts w:ascii="仿宋" w:hAnsi="仿宋" w:eastAsia="仿宋"/>
          <w:sz w:val="32"/>
          <w:szCs w:val="32"/>
        </w:rPr>
      </w:pPr>
    </w:p>
    <w:p>
      <w:pPr>
        <w:keepNext w:val="0"/>
        <w:keepLines w:val="0"/>
        <w:pageBreakBefore w:val="0"/>
        <w:kinsoku/>
        <w:wordWrap/>
        <w:overflowPunct/>
        <w:topLinePunct w:val="0"/>
        <w:autoSpaceDE/>
        <w:autoSpaceDN/>
        <w:bidi w:val="0"/>
        <w:adjustRightInd/>
        <w:snapToGrid/>
        <w:spacing w:line="578" w:lineRule="exact"/>
        <w:ind w:firstLine="2880" w:firstLineChars="900"/>
        <w:textAlignment w:val="auto"/>
        <w:rPr>
          <w:rFonts w:ascii="仿宋" w:hAnsi="仿宋" w:eastAsia="仿宋" w:cs="宋体"/>
          <w:kern w:val="0"/>
          <w:sz w:val="32"/>
          <w:szCs w:val="32"/>
        </w:rPr>
      </w:pPr>
    </w:p>
    <w:p>
      <w:pPr>
        <w:keepNext w:val="0"/>
        <w:keepLines w:val="0"/>
        <w:pageBreakBefore w:val="0"/>
        <w:kinsoku/>
        <w:wordWrap/>
        <w:overflowPunct/>
        <w:topLinePunct w:val="0"/>
        <w:autoSpaceDE/>
        <w:autoSpaceDN/>
        <w:bidi w:val="0"/>
        <w:adjustRightInd/>
        <w:snapToGrid/>
        <w:spacing w:line="578" w:lineRule="exact"/>
        <w:ind w:firstLine="2880" w:firstLineChars="900"/>
        <w:textAlignment w:val="auto"/>
        <w:rPr>
          <w:rFonts w:ascii="仿宋" w:hAnsi="仿宋" w:eastAsia="仿宋" w:cs="宋体"/>
          <w:kern w:val="0"/>
          <w:sz w:val="32"/>
          <w:szCs w:val="32"/>
        </w:rPr>
      </w:pPr>
    </w:p>
    <w:p>
      <w:pPr>
        <w:keepNext w:val="0"/>
        <w:keepLines w:val="0"/>
        <w:pageBreakBefore w:val="0"/>
        <w:kinsoku/>
        <w:wordWrap/>
        <w:overflowPunct/>
        <w:topLinePunct w:val="0"/>
        <w:autoSpaceDE/>
        <w:autoSpaceDN/>
        <w:bidi w:val="0"/>
        <w:adjustRightInd/>
        <w:snapToGrid/>
        <w:spacing w:line="578" w:lineRule="exact"/>
        <w:ind w:firstLine="2544" w:firstLineChars="795"/>
        <w:textAlignment w:val="auto"/>
        <w:rPr>
          <w:rFonts w:ascii="仿宋" w:hAnsi="仿宋" w:eastAsia="仿宋" w:cs="宋体"/>
          <w:kern w:val="0"/>
          <w:sz w:val="32"/>
          <w:szCs w:val="32"/>
        </w:rPr>
      </w:pPr>
      <w:r>
        <w:rPr>
          <w:rFonts w:hint="eastAsia" w:ascii="仿宋" w:hAnsi="仿宋" w:eastAsia="仿宋" w:cs="宋体"/>
          <w:kern w:val="0"/>
          <w:sz w:val="32"/>
          <w:szCs w:val="32"/>
        </w:rPr>
        <w:t xml:space="preserve">         投标人名称（公章）：</w:t>
      </w:r>
    </w:p>
    <w:p>
      <w:pPr>
        <w:keepNext w:val="0"/>
        <w:keepLines w:val="0"/>
        <w:pageBreakBefore w:val="0"/>
        <w:tabs>
          <w:tab w:val="left" w:pos="8280"/>
        </w:tabs>
        <w:kinsoku/>
        <w:wordWrap/>
        <w:overflowPunct/>
        <w:topLinePunct w:val="0"/>
        <w:autoSpaceDE/>
        <w:autoSpaceDN/>
        <w:bidi w:val="0"/>
        <w:adjustRightInd/>
        <w:snapToGrid/>
        <w:spacing w:line="578" w:lineRule="exact"/>
        <w:ind w:right="-1801" w:firstLine="1411" w:firstLineChars="441"/>
        <w:textAlignment w:val="auto"/>
        <w:rPr>
          <w:rFonts w:ascii="仿宋" w:hAnsi="仿宋" w:eastAsia="仿宋"/>
          <w:sz w:val="32"/>
          <w:szCs w:val="32"/>
        </w:rPr>
      </w:pPr>
      <w:r>
        <w:rPr>
          <w:rFonts w:hint="eastAsia" w:ascii="仿宋" w:hAnsi="仿宋" w:eastAsia="仿宋"/>
          <w:sz w:val="32"/>
          <w:szCs w:val="32"/>
        </w:rPr>
        <w:t xml:space="preserve">法定代表人或代理人（签字或印鉴）：         </w:t>
      </w:r>
    </w:p>
    <w:p>
      <w:pPr>
        <w:keepNext w:val="0"/>
        <w:keepLines w:val="0"/>
        <w:pageBreakBefore w:val="0"/>
        <w:kinsoku/>
        <w:wordWrap/>
        <w:overflowPunct/>
        <w:topLinePunct w:val="0"/>
        <w:autoSpaceDE/>
        <w:autoSpaceDN/>
        <w:bidi w:val="0"/>
        <w:adjustRightInd/>
        <w:snapToGrid/>
        <w:spacing w:line="578" w:lineRule="exact"/>
        <w:ind w:firstLine="2880" w:firstLineChars="900"/>
        <w:textAlignment w:val="auto"/>
        <w:rPr>
          <w:rFonts w:ascii="仿宋" w:hAnsi="仿宋" w:eastAsia="仿宋" w:cs="宋体"/>
          <w:kern w:val="0"/>
          <w:sz w:val="32"/>
          <w:szCs w:val="32"/>
        </w:rPr>
      </w:pPr>
      <w:r>
        <w:rPr>
          <w:rFonts w:hint="eastAsia" w:ascii="仿宋" w:hAnsi="仿宋" w:eastAsia="仿宋" w:cs="宋体"/>
          <w:kern w:val="0"/>
          <w:sz w:val="32"/>
          <w:szCs w:val="32"/>
        </w:rPr>
        <w:t xml:space="preserve">             年   月   日</w:t>
      </w:r>
    </w:p>
    <w:p>
      <w:pPr>
        <w:keepNext w:val="0"/>
        <w:keepLines w:val="0"/>
        <w:pageBreakBefore w:val="0"/>
        <w:kinsoku/>
        <w:wordWrap/>
        <w:overflowPunct/>
        <w:topLinePunct w:val="0"/>
        <w:autoSpaceDE/>
        <w:autoSpaceDN/>
        <w:bidi w:val="0"/>
        <w:adjustRightInd/>
        <w:snapToGrid/>
        <w:spacing w:line="578" w:lineRule="exact"/>
        <w:ind w:firstLine="2520" w:firstLineChars="900"/>
        <w:textAlignment w:val="auto"/>
        <w:rPr>
          <w:rFonts w:ascii="仿宋_GB2312" w:hAnsi="宋体" w:eastAsia="仿宋_GB2312" w:cs="宋体"/>
          <w:kern w:val="0"/>
          <w:sz w:val="28"/>
          <w:szCs w:val="28"/>
        </w:rPr>
        <w:sectPr>
          <w:footerReference r:id="rId5" w:type="first"/>
          <w:footerReference r:id="rId3" w:type="default"/>
          <w:footerReference r:id="rId4" w:type="even"/>
          <w:pgSz w:w="11907" w:h="16839"/>
          <w:pgMar w:top="2098" w:right="1531" w:bottom="1984" w:left="1531" w:header="851" w:footer="992" w:gutter="0"/>
          <w:pgNumType w:start="1"/>
          <w:cols w:space="720" w:num="1"/>
          <w:docGrid w:type="lines" w:linePitch="312" w:charSpace="0"/>
        </w:sectPr>
      </w:pPr>
    </w:p>
    <w:p>
      <w:pPr>
        <w:keepNext w:val="0"/>
        <w:keepLines w:val="0"/>
        <w:pageBreakBefore w:val="0"/>
        <w:kinsoku/>
        <w:wordWrap/>
        <w:overflowPunct/>
        <w:topLinePunct w:val="0"/>
        <w:autoSpaceDE/>
        <w:autoSpaceDN/>
        <w:bidi w:val="0"/>
        <w:adjustRightInd/>
        <w:snapToGrid/>
        <w:spacing w:line="578" w:lineRule="exact"/>
        <w:ind w:firstLine="2912" w:firstLineChars="1040"/>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rPr>
        <w:t>四、开标一览表（格式）</w:t>
      </w:r>
    </w:p>
    <w:p>
      <w:pPr>
        <w:keepNext w:val="0"/>
        <w:keepLines w:val="0"/>
        <w:pageBreakBefore w:val="0"/>
        <w:kinsoku/>
        <w:wordWrap/>
        <w:overflowPunct/>
        <w:topLinePunct w:val="0"/>
        <w:autoSpaceDE/>
        <w:autoSpaceDN/>
        <w:bidi w:val="0"/>
        <w:adjustRightInd/>
        <w:snapToGrid/>
        <w:spacing w:line="578" w:lineRule="exact"/>
        <w:ind w:firstLine="176" w:firstLineChars="98"/>
        <w:textAlignment w:val="auto"/>
        <w:rPr>
          <w:rFonts w:ascii="宋体" w:hAnsi="宋体" w:cs="宋体"/>
          <w:kern w:val="0"/>
          <w:sz w:val="18"/>
          <w:szCs w:val="18"/>
        </w:rPr>
      </w:pPr>
      <w:r>
        <w:rPr>
          <w:rFonts w:hint="eastAsia" w:ascii="宋体" w:hAnsi="宋体" w:cs="宋体"/>
          <w:kern w:val="0"/>
          <w:sz w:val="18"/>
          <w:szCs w:val="18"/>
        </w:rPr>
        <w:t xml:space="preserve">银行名称（公章）：                                </w:t>
      </w:r>
    </w:p>
    <w:tbl>
      <w:tblPr>
        <w:tblStyle w:val="11"/>
        <w:tblpPr w:leftFromText="180" w:rightFromText="180" w:vertAnchor="text" w:horzAnchor="page" w:tblpX="1013" w:tblpY="43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898"/>
        <w:gridCol w:w="2551"/>
        <w:gridCol w:w="3260"/>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770" w:type="dxa"/>
            <w:vMerge w:val="restart"/>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ascii="宋体" w:hAnsi="宋体" w:cs="宋体"/>
                <w:kern w:val="0"/>
                <w:sz w:val="18"/>
                <w:szCs w:val="18"/>
              </w:rPr>
            </w:pPr>
            <w:r>
              <w:rPr>
                <w:rFonts w:hint="eastAsia" w:ascii="宋体" w:hAnsi="宋体" w:cs="宋体"/>
                <w:kern w:val="0"/>
                <w:sz w:val="18"/>
                <w:szCs w:val="18"/>
              </w:rPr>
              <w:t>序号</w:t>
            </w:r>
          </w:p>
        </w:tc>
        <w:tc>
          <w:tcPr>
            <w:tcW w:w="3449" w:type="dxa"/>
            <w:gridSpan w:val="2"/>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ascii="宋体" w:hAnsi="宋体" w:cs="宋体"/>
                <w:kern w:val="0"/>
                <w:sz w:val="18"/>
                <w:szCs w:val="18"/>
              </w:rPr>
            </w:pPr>
            <w:r>
              <w:rPr>
                <w:rFonts w:hint="eastAsia" w:ascii="宋体" w:hAnsi="宋体" w:cs="宋体"/>
                <w:kern w:val="0"/>
                <w:sz w:val="18"/>
                <w:szCs w:val="18"/>
              </w:rPr>
              <w:t>评审内容</w:t>
            </w:r>
          </w:p>
        </w:tc>
        <w:tc>
          <w:tcPr>
            <w:tcW w:w="3260" w:type="dxa"/>
            <w:vMerge w:val="restart"/>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ascii="宋体" w:hAnsi="宋体" w:cs="宋体"/>
                <w:kern w:val="0"/>
                <w:sz w:val="18"/>
                <w:szCs w:val="18"/>
              </w:rPr>
            </w:pPr>
            <w:r>
              <w:rPr>
                <w:rFonts w:hint="eastAsia" w:ascii="宋体" w:hAnsi="宋体" w:cs="宋体"/>
                <w:kern w:val="0"/>
                <w:sz w:val="18"/>
                <w:szCs w:val="18"/>
              </w:rPr>
              <w:t>数据</w:t>
            </w:r>
          </w:p>
        </w:tc>
        <w:tc>
          <w:tcPr>
            <w:tcW w:w="2127" w:type="dxa"/>
            <w:vMerge w:val="restart"/>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ascii="宋体" w:hAnsi="宋体" w:cs="宋体"/>
                <w:kern w:val="0"/>
                <w:sz w:val="18"/>
                <w:szCs w:val="18"/>
              </w:rPr>
            </w:pPr>
            <w:r>
              <w:rPr>
                <w:rFonts w:hint="eastAsia" w:ascii="宋体" w:hAnsi="宋体" w:cs="宋体"/>
                <w:kern w:val="0"/>
                <w:sz w:val="18"/>
                <w:szCs w:val="1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770" w:type="dxa"/>
            <w:vMerge w:val="continue"/>
            <w:vAlign w:val="center"/>
          </w:tcPr>
          <w:p>
            <w:pPr>
              <w:keepNext w:val="0"/>
              <w:keepLines w:val="0"/>
              <w:pageBreakBefore w:val="0"/>
              <w:widowControl/>
              <w:kinsoku/>
              <w:wordWrap/>
              <w:overflowPunct/>
              <w:topLinePunct w:val="0"/>
              <w:autoSpaceDE/>
              <w:autoSpaceDN/>
              <w:bidi w:val="0"/>
              <w:adjustRightInd/>
              <w:snapToGrid/>
              <w:spacing w:line="578" w:lineRule="exact"/>
              <w:jc w:val="left"/>
              <w:textAlignment w:val="auto"/>
              <w:rPr>
                <w:rFonts w:ascii="宋体" w:hAnsi="宋体" w:cs="宋体"/>
                <w:kern w:val="0"/>
                <w:sz w:val="18"/>
                <w:szCs w:val="18"/>
              </w:rPr>
            </w:pPr>
          </w:p>
        </w:tc>
        <w:tc>
          <w:tcPr>
            <w:tcW w:w="898" w:type="dxa"/>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ascii="宋体" w:hAnsi="宋体" w:cs="宋体"/>
                <w:kern w:val="0"/>
                <w:sz w:val="18"/>
                <w:szCs w:val="18"/>
              </w:rPr>
            </w:pPr>
            <w:r>
              <w:rPr>
                <w:rFonts w:hint="eastAsia" w:ascii="宋体" w:hAnsi="宋体" w:cs="宋体"/>
                <w:kern w:val="0"/>
                <w:sz w:val="18"/>
                <w:szCs w:val="18"/>
              </w:rPr>
              <w:t>一级指标</w:t>
            </w:r>
          </w:p>
        </w:tc>
        <w:tc>
          <w:tcPr>
            <w:tcW w:w="2551" w:type="dxa"/>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ascii="宋体" w:hAnsi="宋体" w:cs="宋体"/>
                <w:kern w:val="0"/>
                <w:sz w:val="18"/>
                <w:szCs w:val="18"/>
              </w:rPr>
            </w:pPr>
            <w:r>
              <w:rPr>
                <w:rFonts w:hint="eastAsia" w:ascii="宋体" w:hAnsi="宋体" w:cs="宋体"/>
                <w:kern w:val="0"/>
                <w:sz w:val="18"/>
                <w:szCs w:val="18"/>
              </w:rPr>
              <w:t>二级指标</w:t>
            </w:r>
          </w:p>
        </w:tc>
        <w:tc>
          <w:tcPr>
            <w:tcW w:w="3260" w:type="dxa"/>
            <w:vMerge w:val="continue"/>
            <w:vAlign w:val="center"/>
          </w:tcPr>
          <w:p>
            <w:pPr>
              <w:keepNext w:val="0"/>
              <w:keepLines w:val="0"/>
              <w:pageBreakBefore w:val="0"/>
              <w:widowControl/>
              <w:kinsoku/>
              <w:wordWrap/>
              <w:overflowPunct/>
              <w:topLinePunct w:val="0"/>
              <w:autoSpaceDE/>
              <w:autoSpaceDN/>
              <w:bidi w:val="0"/>
              <w:adjustRightInd/>
              <w:snapToGrid/>
              <w:spacing w:line="578" w:lineRule="exact"/>
              <w:jc w:val="left"/>
              <w:textAlignment w:val="auto"/>
              <w:rPr>
                <w:rFonts w:ascii="宋体" w:hAnsi="宋体" w:cs="宋体"/>
                <w:kern w:val="0"/>
                <w:sz w:val="18"/>
                <w:szCs w:val="18"/>
              </w:rPr>
            </w:pPr>
          </w:p>
        </w:tc>
        <w:tc>
          <w:tcPr>
            <w:tcW w:w="2127" w:type="dxa"/>
            <w:vMerge w:val="continue"/>
            <w:vAlign w:val="center"/>
          </w:tcPr>
          <w:p>
            <w:pPr>
              <w:keepNext w:val="0"/>
              <w:keepLines w:val="0"/>
              <w:pageBreakBefore w:val="0"/>
              <w:widowControl/>
              <w:kinsoku/>
              <w:wordWrap/>
              <w:overflowPunct/>
              <w:topLinePunct w:val="0"/>
              <w:autoSpaceDE/>
              <w:autoSpaceDN/>
              <w:bidi w:val="0"/>
              <w:adjustRightInd/>
              <w:snapToGrid/>
              <w:spacing w:line="578" w:lineRule="exact"/>
              <w:jc w:val="left"/>
              <w:textAlignment w:val="auto"/>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770" w:type="dxa"/>
            <w:vMerge w:val="restart"/>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ascii="宋体" w:hAnsi="宋体" w:cs="宋体"/>
                <w:kern w:val="0"/>
                <w:sz w:val="18"/>
                <w:szCs w:val="18"/>
              </w:rPr>
            </w:pPr>
            <w:r>
              <w:rPr>
                <w:rFonts w:hint="eastAsia" w:ascii="宋体" w:hAnsi="宋体" w:cs="宋体"/>
                <w:kern w:val="0"/>
                <w:sz w:val="18"/>
                <w:szCs w:val="18"/>
              </w:rPr>
              <w:t>1</w:t>
            </w:r>
          </w:p>
        </w:tc>
        <w:tc>
          <w:tcPr>
            <w:tcW w:w="898" w:type="dxa"/>
            <w:vMerge w:val="restart"/>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ascii="宋体" w:hAnsi="宋体" w:cs="宋体"/>
                <w:kern w:val="0"/>
                <w:sz w:val="18"/>
                <w:szCs w:val="18"/>
              </w:rPr>
            </w:pPr>
            <w:r>
              <w:rPr>
                <w:rFonts w:hint="eastAsia" w:ascii="宋体" w:hAnsi="宋体" w:cs="宋体"/>
                <w:kern w:val="0"/>
                <w:sz w:val="18"/>
                <w:szCs w:val="18"/>
              </w:rPr>
              <w:t>安全性</w:t>
            </w:r>
          </w:p>
        </w:tc>
        <w:tc>
          <w:tcPr>
            <w:tcW w:w="2551" w:type="dxa"/>
            <w:vAlign w:val="center"/>
          </w:tcPr>
          <w:p>
            <w:pPr>
              <w:keepNext w:val="0"/>
              <w:keepLines w:val="0"/>
              <w:pageBreakBefore w:val="0"/>
              <w:widowControl/>
              <w:kinsoku/>
              <w:wordWrap/>
              <w:overflowPunct/>
              <w:topLinePunct w:val="0"/>
              <w:autoSpaceDE/>
              <w:autoSpaceDN/>
              <w:bidi w:val="0"/>
              <w:adjustRightInd/>
              <w:snapToGrid/>
              <w:spacing w:line="578" w:lineRule="exact"/>
              <w:jc w:val="left"/>
              <w:textAlignment w:val="auto"/>
              <w:rPr>
                <w:rFonts w:ascii="宋体" w:hAnsi="宋体" w:cs="宋体"/>
                <w:kern w:val="0"/>
                <w:sz w:val="18"/>
                <w:szCs w:val="18"/>
              </w:rPr>
            </w:pPr>
            <w:r>
              <w:rPr>
                <w:rFonts w:hint="eastAsia" w:ascii="宋体" w:hAnsi="宋体" w:cs="宋体"/>
                <w:kern w:val="0"/>
                <w:sz w:val="18"/>
                <w:szCs w:val="18"/>
              </w:rPr>
              <w:t>资本充足率（%）</w:t>
            </w:r>
          </w:p>
        </w:tc>
        <w:tc>
          <w:tcPr>
            <w:tcW w:w="3260" w:type="dxa"/>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ascii="宋体" w:hAnsi="宋体" w:cs="宋体"/>
                <w:kern w:val="0"/>
                <w:sz w:val="18"/>
                <w:szCs w:val="18"/>
              </w:rPr>
            </w:pPr>
          </w:p>
        </w:tc>
        <w:tc>
          <w:tcPr>
            <w:tcW w:w="2127" w:type="dxa"/>
            <w:vAlign w:val="center"/>
          </w:tcPr>
          <w:p>
            <w:pPr>
              <w:keepNext w:val="0"/>
              <w:keepLines w:val="0"/>
              <w:pageBreakBefore w:val="0"/>
              <w:widowControl/>
              <w:kinsoku/>
              <w:wordWrap/>
              <w:overflowPunct/>
              <w:topLinePunct w:val="0"/>
              <w:autoSpaceDE/>
              <w:autoSpaceDN/>
              <w:bidi w:val="0"/>
              <w:adjustRightInd/>
              <w:snapToGrid/>
              <w:spacing w:line="578" w:lineRule="exact"/>
              <w:jc w:val="left"/>
              <w:textAlignment w:val="auto"/>
              <w:rPr>
                <w:rFonts w:ascii="宋体" w:hAnsi="宋体" w:cs="宋体"/>
                <w:kern w:val="0"/>
                <w:sz w:val="18"/>
                <w:szCs w:val="18"/>
              </w:rPr>
            </w:pPr>
            <w:r>
              <w:rPr>
                <w:rFonts w:hint="eastAsia" w:ascii="宋体" w:hAnsi="宋体" w:cs="宋体"/>
                <w:kern w:val="0"/>
                <w:sz w:val="18"/>
                <w:szCs w:val="18"/>
              </w:rPr>
              <w:t>总行2022年末数据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770" w:type="dxa"/>
            <w:vMerge w:val="continue"/>
            <w:vAlign w:val="center"/>
          </w:tcPr>
          <w:p>
            <w:pPr>
              <w:keepNext w:val="0"/>
              <w:keepLines w:val="0"/>
              <w:pageBreakBefore w:val="0"/>
              <w:widowControl/>
              <w:kinsoku/>
              <w:wordWrap/>
              <w:overflowPunct/>
              <w:topLinePunct w:val="0"/>
              <w:autoSpaceDE/>
              <w:autoSpaceDN/>
              <w:bidi w:val="0"/>
              <w:adjustRightInd/>
              <w:snapToGrid/>
              <w:spacing w:line="578" w:lineRule="exact"/>
              <w:jc w:val="left"/>
              <w:textAlignment w:val="auto"/>
              <w:rPr>
                <w:rFonts w:ascii="宋体" w:hAnsi="宋体" w:cs="宋体"/>
                <w:kern w:val="0"/>
                <w:sz w:val="18"/>
                <w:szCs w:val="18"/>
              </w:rPr>
            </w:pPr>
          </w:p>
        </w:tc>
        <w:tc>
          <w:tcPr>
            <w:tcW w:w="898" w:type="dxa"/>
            <w:vMerge w:val="continue"/>
            <w:vAlign w:val="center"/>
          </w:tcPr>
          <w:p>
            <w:pPr>
              <w:keepNext w:val="0"/>
              <w:keepLines w:val="0"/>
              <w:pageBreakBefore w:val="0"/>
              <w:widowControl/>
              <w:kinsoku/>
              <w:wordWrap/>
              <w:overflowPunct/>
              <w:topLinePunct w:val="0"/>
              <w:autoSpaceDE/>
              <w:autoSpaceDN/>
              <w:bidi w:val="0"/>
              <w:adjustRightInd/>
              <w:snapToGrid/>
              <w:spacing w:line="578" w:lineRule="exact"/>
              <w:jc w:val="left"/>
              <w:textAlignment w:val="auto"/>
              <w:rPr>
                <w:rFonts w:ascii="宋体" w:hAnsi="宋体" w:cs="宋体"/>
                <w:kern w:val="0"/>
                <w:sz w:val="18"/>
                <w:szCs w:val="18"/>
              </w:rPr>
            </w:pPr>
          </w:p>
        </w:tc>
        <w:tc>
          <w:tcPr>
            <w:tcW w:w="2551" w:type="dxa"/>
            <w:vAlign w:val="center"/>
          </w:tcPr>
          <w:p>
            <w:pPr>
              <w:keepNext w:val="0"/>
              <w:keepLines w:val="0"/>
              <w:pageBreakBefore w:val="0"/>
              <w:widowControl/>
              <w:kinsoku/>
              <w:wordWrap/>
              <w:overflowPunct/>
              <w:topLinePunct w:val="0"/>
              <w:autoSpaceDE/>
              <w:autoSpaceDN/>
              <w:bidi w:val="0"/>
              <w:adjustRightInd/>
              <w:snapToGrid/>
              <w:spacing w:line="578" w:lineRule="exact"/>
              <w:jc w:val="left"/>
              <w:textAlignment w:val="auto"/>
              <w:rPr>
                <w:rFonts w:ascii="宋体" w:hAnsi="宋体" w:cs="宋体"/>
                <w:kern w:val="0"/>
                <w:sz w:val="18"/>
                <w:szCs w:val="18"/>
              </w:rPr>
            </w:pPr>
            <w:r>
              <w:rPr>
                <w:rFonts w:hint="eastAsia" w:ascii="宋体" w:hAnsi="宋体" w:cs="宋体"/>
                <w:kern w:val="0"/>
                <w:sz w:val="18"/>
                <w:szCs w:val="18"/>
              </w:rPr>
              <w:t>不良贷款率（%）</w:t>
            </w:r>
          </w:p>
        </w:tc>
        <w:tc>
          <w:tcPr>
            <w:tcW w:w="3260" w:type="dxa"/>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ascii="宋体" w:hAnsi="宋体" w:cs="宋体"/>
                <w:kern w:val="0"/>
                <w:sz w:val="18"/>
                <w:szCs w:val="18"/>
              </w:rPr>
            </w:pPr>
          </w:p>
        </w:tc>
        <w:tc>
          <w:tcPr>
            <w:tcW w:w="2127" w:type="dxa"/>
            <w:vAlign w:val="center"/>
          </w:tcPr>
          <w:p>
            <w:pPr>
              <w:keepNext w:val="0"/>
              <w:keepLines w:val="0"/>
              <w:pageBreakBefore w:val="0"/>
              <w:widowControl/>
              <w:kinsoku/>
              <w:wordWrap/>
              <w:overflowPunct/>
              <w:topLinePunct w:val="0"/>
              <w:autoSpaceDE/>
              <w:autoSpaceDN/>
              <w:bidi w:val="0"/>
              <w:adjustRightInd/>
              <w:snapToGrid/>
              <w:spacing w:line="578" w:lineRule="exact"/>
              <w:jc w:val="left"/>
              <w:textAlignment w:val="auto"/>
              <w:rPr>
                <w:rFonts w:ascii="宋体" w:hAnsi="宋体" w:cs="宋体"/>
                <w:kern w:val="0"/>
                <w:sz w:val="18"/>
                <w:szCs w:val="18"/>
              </w:rPr>
            </w:pPr>
            <w:r>
              <w:rPr>
                <w:rFonts w:hint="eastAsia" w:ascii="宋体" w:hAnsi="宋体" w:cs="宋体"/>
                <w:kern w:val="0"/>
                <w:sz w:val="18"/>
                <w:szCs w:val="18"/>
              </w:rPr>
              <w:t>总行2022年末数据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770" w:type="dxa"/>
            <w:vMerge w:val="continue"/>
            <w:vAlign w:val="center"/>
          </w:tcPr>
          <w:p>
            <w:pPr>
              <w:keepNext w:val="0"/>
              <w:keepLines w:val="0"/>
              <w:pageBreakBefore w:val="0"/>
              <w:widowControl/>
              <w:kinsoku/>
              <w:wordWrap/>
              <w:overflowPunct/>
              <w:topLinePunct w:val="0"/>
              <w:autoSpaceDE/>
              <w:autoSpaceDN/>
              <w:bidi w:val="0"/>
              <w:adjustRightInd/>
              <w:snapToGrid/>
              <w:spacing w:line="578" w:lineRule="exact"/>
              <w:jc w:val="left"/>
              <w:textAlignment w:val="auto"/>
              <w:rPr>
                <w:rFonts w:ascii="宋体" w:hAnsi="宋体" w:cs="宋体"/>
                <w:kern w:val="0"/>
                <w:sz w:val="18"/>
                <w:szCs w:val="18"/>
              </w:rPr>
            </w:pPr>
          </w:p>
        </w:tc>
        <w:tc>
          <w:tcPr>
            <w:tcW w:w="898" w:type="dxa"/>
            <w:vMerge w:val="continue"/>
            <w:vAlign w:val="center"/>
          </w:tcPr>
          <w:p>
            <w:pPr>
              <w:keepNext w:val="0"/>
              <w:keepLines w:val="0"/>
              <w:pageBreakBefore w:val="0"/>
              <w:widowControl/>
              <w:kinsoku/>
              <w:wordWrap/>
              <w:overflowPunct/>
              <w:topLinePunct w:val="0"/>
              <w:autoSpaceDE/>
              <w:autoSpaceDN/>
              <w:bidi w:val="0"/>
              <w:adjustRightInd/>
              <w:snapToGrid/>
              <w:spacing w:line="578" w:lineRule="exact"/>
              <w:jc w:val="left"/>
              <w:textAlignment w:val="auto"/>
              <w:rPr>
                <w:rFonts w:ascii="宋体" w:hAnsi="宋体" w:cs="宋体"/>
                <w:kern w:val="0"/>
                <w:sz w:val="18"/>
                <w:szCs w:val="18"/>
              </w:rPr>
            </w:pPr>
          </w:p>
        </w:tc>
        <w:tc>
          <w:tcPr>
            <w:tcW w:w="2551" w:type="dxa"/>
            <w:vAlign w:val="center"/>
          </w:tcPr>
          <w:p>
            <w:pPr>
              <w:keepNext w:val="0"/>
              <w:keepLines w:val="0"/>
              <w:pageBreakBefore w:val="0"/>
              <w:widowControl/>
              <w:kinsoku/>
              <w:wordWrap/>
              <w:overflowPunct/>
              <w:topLinePunct w:val="0"/>
              <w:autoSpaceDE/>
              <w:autoSpaceDN/>
              <w:bidi w:val="0"/>
              <w:adjustRightInd/>
              <w:snapToGrid/>
              <w:spacing w:line="578" w:lineRule="exact"/>
              <w:jc w:val="left"/>
              <w:textAlignment w:val="auto"/>
              <w:rPr>
                <w:rFonts w:ascii="宋体" w:hAnsi="宋体" w:cs="宋体"/>
                <w:kern w:val="0"/>
                <w:sz w:val="18"/>
                <w:szCs w:val="18"/>
              </w:rPr>
            </w:pPr>
            <w:r>
              <w:rPr>
                <w:rFonts w:hint="eastAsia" w:ascii="宋体" w:hAnsi="宋体" w:cs="宋体"/>
                <w:kern w:val="0"/>
                <w:sz w:val="18"/>
                <w:szCs w:val="18"/>
              </w:rPr>
              <w:t>拨备覆盖率（%）</w:t>
            </w:r>
          </w:p>
        </w:tc>
        <w:tc>
          <w:tcPr>
            <w:tcW w:w="3260" w:type="dxa"/>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ascii="宋体" w:hAnsi="宋体" w:cs="宋体"/>
                <w:kern w:val="0"/>
                <w:sz w:val="18"/>
                <w:szCs w:val="18"/>
              </w:rPr>
            </w:pPr>
          </w:p>
        </w:tc>
        <w:tc>
          <w:tcPr>
            <w:tcW w:w="2127" w:type="dxa"/>
            <w:vAlign w:val="center"/>
          </w:tcPr>
          <w:p>
            <w:pPr>
              <w:keepNext w:val="0"/>
              <w:keepLines w:val="0"/>
              <w:pageBreakBefore w:val="0"/>
              <w:widowControl/>
              <w:kinsoku/>
              <w:wordWrap/>
              <w:overflowPunct/>
              <w:topLinePunct w:val="0"/>
              <w:autoSpaceDE/>
              <w:autoSpaceDN/>
              <w:bidi w:val="0"/>
              <w:adjustRightInd/>
              <w:snapToGrid/>
              <w:spacing w:line="578" w:lineRule="exact"/>
              <w:jc w:val="left"/>
              <w:textAlignment w:val="auto"/>
              <w:rPr>
                <w:rFonts w:ascii="宋体" w:hAnsi="宋体" w:cs="宋体"/>
                <w:kern w:val="0"/>
                <w:sz w:val="18"/>
                <w:szCs w:val="18"/>
              </w:rPr>
            </w:pPr>
            <w:r>
              <w:rPr>
                <w:rFonts w:hint="eastAsia" w:ascii="宋体" w:hAnsi="宋体" w:cs="宋体"/>
                <w:kern w:val="0"/>
                <w:sz w:val="18"/>
                <w:szCs w:val="18"/>
              </w:rPr>
              <w:t>总行2022年末数据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770" w:type="dxa"/>
            <w:vMerge w:val="continue"/>
            <w:vAlign w:val="center"/>
          </w:tcPr>
          <w:p>
            <w:pPr>
              <w:keepNext w:val="0"/>
              <w:keepLines w:val="0"/>
              <w:pageBreakBefore w:val="0"/>
              <w:widowControl/>
              <w:kinsoku/>
              <w:wordWrap/>
              <w:overflowPunct/>
              <w:topLinePunct w:val="0"/>
              <w:autoSpaceDE/>
              <w:autoSpaceDN/>
              <w:bidi w:val="0"/>
              <w:adjustRightInd/>
              <w:snapToGrid/>
              <w:spacing w:line="578" w:lineRule="exact"/>
              <w:jc w:val="left"/>
              <w:textAlignment w:val="auto"/>
              <w:rPr>
                <w:rFonts w:ascii="宋体" w:hAnsi="宋体" w:cs="宋体"/>
                <w:kern w:val="0"/>
                <w:sz w:val="18"/>
                <w:szCs w:val="18"/>
              </w:rPr>
            </w:pPr>
          </w:p>
        </w:tc>
        <w:tc>
          <w:tcPr>
            <w:tcW w:w="898" w:type="dxa"/>
            <w:vMerge w:val="continue"/>
            <w:vAlign w:val="center"/>
          </w:tcPr>
          <w:p>
            <w:pPr>
              <w:keepNext w:val="0"/>
              <w:keepLines w:val="0"/>
              <w:pageBreakBefore w:val="0"/>
              <w:widowControl/>
              <w:kinsoku/>
              <w:wordWrap/>
              <w:overflowPunct/>
              <w:topLinePunct w:val="0"/>
              <w:autoSpaceDE/>
              <w:autoSpaceDN/>
              <w:bidi w:val="0"/>
              <w:adjustRightInd/>
              <w:snapToGrid/>
              <w:spacing w:line="578" w:lineRule="exact"/>
              <w:jc w:val="left"/>
              <w:textAlignment w:val="auto"/>
              <w:rPr>
                <w:rFonts w:ascii="宋体" w:hAnsi="宋体" w:cs="宋体"/>
                <w:kern w:val="0"/>
                <w:sz w:val="18"/>
                <w:szCs w:val="18"/>
              </w:rPr>
            </w:pPr>
          </w:p>
        </w:tc>
        <w:tc>
          <w:tcPr>
            <w:tcW w:w="2551" w:type="dxa"/>
            <w:vAlign w:val="center"/>
          </w:tcPr>
          <w:p>
            <w:pPr>
              <w:keepNext w:val="0"/>
              <w:keepLines w:val="0"/>
              <w:pageBreakBefore w:val="0"/>
              <w:widowControl/>
              <w:kinsoku/>
              <w:wordWrap/>
              <w:overflowPunct/>
              <w:topLinePunct w:val="0"/>
              <w:autoSpaceDE/>
              <w:autoSpaceDN/>
              <w:bidi w:val="0"/>
              <w:adjustRightInd/>
              <w:snapToGrid/>
              <w:spacing w:line="578" w:lineRule="exact"/>
              <w:jc w:val="left"/>
              <w:textAlignment w:val="auto"/>
              <w:rPr>
                <w:rFonts w:ascii="宋体" w:hAnsi="宋体" w:cs="宋体"/>
                <w:kern w:val="0"/>
                <w:sz w:val="18"/>
                <w:szCs w:val="18"/>
              </w:rPr>
            </w:pPr>
            <w:r>
              <w:rPr>
                <w:rFonts w:hint="eastAsia" w:ascii="宋体" w:hAnsi="宋体" w:cs="宋体"/>
                <w:kern w:val="0"/>
                <w:sz w:val="18"/>
                <w:szCs w:val="18"/>
              </w:rPr>
              <w:t>流动性覆盖率（%）</w:t>
            </w:r>
          </w:p>
        </w:tc>
        <w:tc>
          <w:tcPr>
            <w:tcW w:w="3260" w:type="dxa"/>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ascii="宋体" w:hAnsi="宋体" w:cs="宋体"/>
                <w:kern w:val="0"/>
                <w:sz w:val="18"/>
                <w:szCs w:val="18"/>
              </w:rPr>
            </w:pPr>
          </w:p>
        </w:tc>
        <w:tc>
          <w:tcPr>
            <w:tcW w:w="2127" w:type="dxa"/>
            <w:vAlign w:val="center"/>
          </w:tcPr>
          <w:p>
            <w:pPr>
              <w:keepNext w:val="0"/>
              <w:keepLines w:val="0"/>
              <w:pageBreakBefore w:val="0"/>
              <w:widowControl/>
              <w:kinsoku/>
              <w:wordWrap/>
              <w:overflowPunct/>
              <w:topLinePunct w:val="0"/>
              <w:autoSpaceDE/>
              <w:autoSpaceDN/>
              <w:bidi w:val="0"/>
              <w:adjustRightInd/>
              <w:snapToGrid/>
              <w:spacing w:line="578" w:lineRule="exact"/>
              <w:jc w:val="left"/>
              <w:textAlignment w:val="auto"/>
              <w:rPr>
                <w:rFonts w:ascii="宋体" w:hAnsi="宋体" w:cs="宋体"/>
                <w:kern w:val="0"/>
                <w:sz w:val="18"/>
                <w:szCs w:val="18"/>
              </w:rPr>
            </w:pPr>
            <w:r>
              <w:rPr>
                <w:rFonts w:hint="eastAsia" w:ascii="宋体" w:hAnsi="宋体" w:cs="宋体"/>
                <w:kern w:val="0"/>
                <w:sz w:val="18"/>
                <w:szCs w:val="18"/>
              </w:rPr>
              <w:t>总行2022年末数据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770" w:type="dxa"/>
            <w:vMerge w:val="continue"/>
            <w:vAlign w:val="center"/>
          </w:tcPr>
          <w:p>
            <w:pPr>
              <w:keepNext w:val="0"/>
              <w:keepLines w:val="0"/>
              <w:pageBreakBefore w:val="0"/>
              <w:widowControl/>
              <w:kinsoku/>
              <w:wordWrap/>
              <w:overflowPunct/>
              <w:topLinePunct w:val="0"/>
              <w:autoSpaceDE/>
              <w:autoSpaceDN/>
              <w:bidi w:val="0"/>
              <w:adjustRightInd/>
              <w:snapToGrid/>
              <w:spacing w:line="578" w:lineRule="exact"/>
              <w:jc w:val="left"/>
              <w:textAlignment w:val="auto"/>
              <w:rPr>
                <w:rFonts w:ascii="宋体" w:hAnsi="宋体" w:cs="宋体"/>
                <w:kern w:val="0"/>
                <w:sz w:val="18"/>
                <w:szCs w:val="18"/>
              </w:rPr>
            </w:pPr>
          </w:p>
        </w:tc>
        <w:tc>
          <w:tcPr>
            <w:tcW w:w="898" w:type="dxa"/>
            <w:vMerge w:val="continue"/>
            <w:vAlign w:val="center"/>
          </w:tcPr>
          <w:p>
            <w:pPr>
              <w:keepNext w:val="0"/>
              <w:keepLines w:val="0"/>
              <w:pageBreakBefore w:val="0"/>
              <w:widowControl/>
              <w:kinsoku/>
              <w:wordWrap/>
              <w:overflowPunct/>
              <w:topLinePunct w:val="0"/>
              <w:autoSpaceDE/>
              <w:autoSpaceDN/>
              <w:bidi w:val="0"/>
              <w:adjustRightInd/>
              <w:snapToGrid/>
              <w:spacing w:line="578" w:lineRule="exact"/>
              <w:jc w:val="left"/>
              <w:textAlignment w:val="auto"/>
              <w:rPr>
                <w:rFonts w:ascii="宋体" w:hAnsi="宋体" w:cs="宋体"/>
                <w:kern w:val="0"/>
                <w:sz w:val="18"/>
                <w:szCs w:val="18"/>
              </w:rPr>
            </w:pPr>
          </w:p>
        </w:tc>
        <w:tc>
          <w:tcPr>
            <w:tcW w:w="2551" w:type="dxa"/>
            <w:vAlign w:val="center"/>
          </w:tcPr>
          <w:p>
            <w:pPr>
              <w:keepNext w:val="0"/>
              <w:keepLines w:val="0"/>
              <w:pageBreakBefore w:val="0"/>
              <w:widowControl/>
              <w:kinsoku/>
              <w:wordWrap/>
              <w:overflowPunct/>
              <w:topLinePunct w:val="0"/>
              <w:autoSpaceDE/>
              <w:autoSpaceDN/>
              <w:bidi w:val="0"/>
              <w:adjustRightInd/>
              <w:snapToGrid/>
              <w:spacing w:line="578" w:lineRule="exact"/>
              <w:jc w:val="left"/>
              <w:textAlignment w:val="auto"/>
              <w:rPr>
                <w:rFonts w:ascii="宋体" w:hAnsi="宋体" w:cs="宋体"/>
                <w:kern w:val="0"/>
                <w:sz w:val="18"/>
                <w:szCs w:val="18"/>
              </w:rPr>
            </w:pPr>
            <w:r>
              <w:rPr>
                <w:rFonts w:hint="eastAsia" w:ascii="宋体" w:hAnsi="宋体" w:cs="宋体"/>
                <w:kern w:val="0"/>
                <w:sz w:val="18"/>
                <w:szCs w:val="18"/>
              </w:rPr>
              <w:t>流动性比例（%）</w:t>
            </w:r>
          </w:p>
        </w:tc>
        <w:tc>
          <w:tcPr>
            <w:tcW w:w="3260" w:type="dxa"/>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ascii="宋体" w:hAnsi="宋体" w:cs="宋体"/>
                <w:kern w:val="0"/>
                <w:sz w:val="18"/>
                <w:szCs w:val="18"/>
              </w:rPr>
            </w:pPr>
          </w:p>
        </w:tc>
        <w:tc>
          <w:tcPr>
            <w:tcW w:w="2127" w:type="dxa"/>
            <w:vAlign w:val="center"/>
          </w:tcPr>
          <w:p>
            <w:pPr>
              <w:keepNext w:val="0"/>
              <w:keepLines w:val="0"/>
              <w:pageBreakBefore w:val="0"/>
              <w:widowControl/>
              <w:kinsoku/>
              <w:wordWrap/>
              <w:overflowPunct/>
              <w:topLinePunct w:val="0"/>
              <w:autoSpaceDE/>
              <w:autoSpaceDN/>
              <w:bidi w:val="0"/>
              <w:adjustRightInd/>
              <w:snapToGrid/>
              <w:spacing w:line="578" w:lineRule="exact"/>
              <w:jc w:val="left"/>
              <w:textAlignment w:val="auto"/>
              <w:rPr>
                <w:rFonts w:ascii="宋体" w:hAnsi="宋体" w:cs="宋体"/>
                <w:kern w:val="0"/>
                <w:sz w:val="18"/>
                <w:szCs w:val="18"/>
              </w:rPr>
            </w:pPr>
            <w:r>
              <w:rPr>
                <w:rFonts w:hint="eastAsia" w:ascii="宋体" w:hAnsi="宋体" w:cs="宋体"/>
                <w:kern w:val="0"/>
                <w:sz w:val="18"/>
                <w:szCs w:val="18"/>
              </w:rPr>
              <w:t>总行2022年末数据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trPr>
        <w:tc>
          <w:tcPr>
            <w:tcW w:w="770" w:type="dxa"/>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ascii="宋体" w:hAnsi="宋体" w:cs="宋体"/>
                <w:kern w:val="0"/>
                <w:sz w:val="18"/>
                <w:szCs w:val="18"/>
              </w:rPr>
            </w:pPr>
            <w:r>
              <w:rPr>
                <w:rFonts w:hint="eastAsia" w:ascii="宋体" w:hAnsi="宋体" w:cs="宋体"/>
                <w:kern w:val="0"/>
                <w:sz w:val="18"/>
                <w:szCs w:val="18"/>
              </w:rPr>
              <w:t>2</w:t>
            </w:r>
          </w:p>
        </w:tc>
        <w:tc>
          <w:tcPr>
            <w:tcW w:w="898" w:type="dxa"/>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ascii="宋体" w:hAnsi="宋体" w:cs="宋体"/>
                <w:kern w:val="0"/>
                <w:sz w:val="18"/>
                <w:szCs w:val="18"/>
              </w:rPr>
            </w:pPr>
            <w:r>
              <w:rPr>
                <w:rFonts w:hint="eastAsia" w:ascii="宋体" w:hAnsi="宋体" w:cs="宋体"/>
                <w:kern w:val="0"/>
                <w:sz w:val="18"/>
                <w:szCs w:val="18"/>
              </w:rPr>
              <w:t>收益性</w:t>
            </w:r>
          </w:p>
        </w:tc>
        <w:tc>
          <w:tcPr>
            <w:tcW w:w="2551" w:type="dxa"/>
            <w:vAlign w:val="center"/>
          </w:tcPr>
          <w:p>
            <w:pPr>
              <w:keepNext w:val="0"/>
              <w:keepLines w:val="0"/>
              <w:pageBreakBefore w:val="0"/>
              <w:widowControl/>
              <w:kinsoku/>
              <w:wordWrap/>
              <w:overflowPunct/>
              <w:topLinePunct w:val="0"/>
              <w:autoSpaceDE/>
              <w:autoSpaceDN/>
              <w:bidi w:val="0"/>
              <w:adjustRightInd/>
              <w:snapToGrid/>
              <w:spacing w:line="578" w:lineRule="exact"/>
              <w:jc w:val="left"/>
              <w:textAlignment w:val="auto"/>
              <w:rPr>
                <w:rFonts w:ascii="宋体" w:hAnsi="宋体" w:cs="宋体"/>
                <w:kern w:val="0"/>
                <w:sz w:val="18"/>
                <w:szCs w:val="18"/>
              </w:rPr>
            </w:pPr>
            <w:r>
              <w:rPr>
                <w:rFonts w:hint="eastAsia" w:ascii="宋体" w:hAnsi="宋体" w:cs="宋体"/>
                <w:kern w:val="0"/>
                <w:sz w:val="18"/>
                <w:szCs w:val="18"/>
              </w:rPr>
              <w:t>存款利率</w:t>
            </w:r>
          </w:p>
        </w:tc>
        <w:tc>
          <w:tcPr>
            <w:tcW w:w="3260" w:type="dxa"/>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ascii="宋体" w:hAnsi="宋体" w:cs="宋体"/>
                <w:kern w:val="0"/>
                <w:sz w:val="18"/>
                <w:szCs w:val="18"/>
              </w:rPr>
            </w:pPr>
          </w:p>
        </w:tc>
        <w:tc>
          <w:tcPr>
            <w:tcW w:w="2127" w:type="dxa"/>
            <w:vAlign w:val="center"/>
          </w:tcPr>
          <w:p>
            <w:pPr>
              <w:keepNext w:val="0"/>
              <w:keepLines w:val="0"/>
              <w:pageBreakBefore w:val="0"/>
              <w:widowControl/>
              <w:kinsoku/>
              <w:wordWrap/>
              <w:overflowPunct/>
              <w:topLinePunct w:val="0"/>
              <w:autoSpaceDE/>
              <w:autoSpaceDN/>
              <w:bidi w:val="0"/>
              <w:adjustRightInd/>
              <w:snapToGrid/>
              <w:spacing w:line="578" w:lineRule="exact"/>
              <w:jc w:val="left"/>
              <w:textAlignment w:val="auto"/>
              <w:rPr>
                <w:rFonts w:ascii="宋体" w:hAnsi="宋体" w:cs="宋体"/>
                <w:kern w:val="0"/>
                <w:sz w:val="18"/>
                <w:szCs w:val="18"/>
              </w:rPr>
            </w:pPr>
            <w:r>
              <w:rPr>
                <w:rFonts w:hint="eastAsia" w:ascii="宋体" w:hAnsi="宋体" w:cs="宋体"/>
                <w:kern w:val="0"/>
                <w:sz w:val="18"/>
                <w:szCs w:val="18"/>
              </w:rPr>
              <w:t>财政定期存款投标利率在同期限人民银行公布的存款基准利率基础上加基点数。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770" w:type="dxa"/>
            <w:vMerge w:val="restart"/>
            <w:vAlign w:val="center"/>
          </w:tcPr>
          <w:p>
            <w:pPr>
              <w:keepNext w:val="0"/>
              <w:keepLines w:val="0"/>
              <w:pageBreakBefore w:val="0"/>
              <w:widowControl/>
              <w:kinsoku/>
              <w:wordWrap/>
              <w:overflowPunct/>
              <w:topLinePunct w:val="0"/>
              <w:autoSpaceDE/>
              <w:autoSpaceDN/>
              <w:bidi w:val="0"/>
              <w:adjustRightInd/>
              <w:snapToGrid/>
              <w:spacing w:line="578" w:lineRule="exact"/>
              <w:ind w:firstLine="180" w:firstLineChars="100"/>
              <w:textAlignment w:val="auto"/>
              <w:rPr>
                <w:rFonts w:ascii="宋体" w:hAnsi="宋体" w:cs="宋体"/>
                <w:kern w:val="0"/>
                <w:sz w:val="18"/>
                <w:szCs w:val="18"/>
              </w:rPr>
            </w:pPr>
            <w:r>
              <w:rPr>
                <w:rFonts w:hint="eastAsia" w:ascii="宋体" w:hAnsi="宋体" w:cs="宋体"/>
                <w:kern w:val="0"/>
                <w:sz w:val="18"/>
                <w:szCs w:val="18"/>
              </w:rPr>
              <w:t>3</w:t>
            </w:r>
          </w:p>
        </w:tc>
        <w:tc>
          <w:tcPr>
            <w:tcW w:w="898" w:type="dxa"/>
            <w:vMerge w:val="restart"/>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ascii="宋体" w:hAnsi="宋体" w:cs="宋体"/>
                <w:kern w:val="0"/>
                <w:sz w:val="18"/>
                <w:szCs w:val="18"/>
              </w:rPr>
            </w:pPr>
            <w:r>
              <w:rPr>
                <w:rFonts w:hint="eastAsia" w:ascii="宋体" w:hAnsi="宋体" w:cs="宋体"/>
                <w:kern w:val="0"/>
                <w:sz w:val="18"/>
                <w:szCs w:val="18"/>
              </w:rPr>
              <w:t>贡献度</w:t>
            </w:r>
          </w:p>
        </w:tc>
        <w:tc>
          <w:tcPr>
            <w:tcW w:w="2551" w:type="dxa"/>
            <w:vAlign w:val="center"/>
          </w:tcPr>
          <w:p>
            <w:pPr>
              <w:keepNext w:val="0"/>
              <w:keepLines w:val="0"/>
              <w:pageBreakBefore w:val="0"/>
              <w:widowControl/>
              <w:kinsoku/>
              <w:wordWrap/>
              <w:overflowPunct/>
              <w:topLinePunct w:val="0"/>
              <w:autoSpaceDE/>
              <w:autoSpaceDN/>
              <w:bidi w:val="0"/>
              <w:adjustRightInd/>
              <w:snapToGrid/>
              <w:spacing w:line="578" w:lineRule="exact"/>
              <w:jc w:val="left"/>
              <w:textAlignment w:val="auto"/>
              <w:rPr>
                <w:rFonts w:ascii="宋体" w:hAnsi="宋体" w:cs="宋体"/>
                <w:kern w:val="0"/>
                <w:sz w:val="18"/>
                <w:szCs w:val="18"/>
              </w:rPr>
            </w:pPr>
            <w:r>
              <w:rPr>
                <w:rFonts w:hint="eastAsia" w:ascii="宋体" w:hAnsi="宋体" w:cs="宋体"/>
                <w:kern w:val="0"/>
                <w:sz w:val="18"/>
                <w:szCs w:val="18"/>
              </w:rPr>
              <w:t>在吉林省资产规模情况（亿元）</w:t>
            </w:r>
          </w:p>
        </w:tc>
        <w:tc>
          <w:tcPr>
            <w:tcW w:w="3260" w:type="dxa"/>
            <w:vAlign w:val="center"/>
          </w:tcPr>
          <w:p>
            <w:pPr>
              <w:keepNext w:val="0"/>
              <w:keepLines w:val="0"/>
              <w:pageBreakBefore w:val="0"/>
              <w:widowControl/>
              <w:kinsoku/>
              <w:wordWrap/>
              <w:overflowPunct/>
              <w:topLinePunct w:val="0"/>
              <w:autoSpaceDE/>
              <w:autoSpaceDN/>
              <w:bidi w:val="0"/>
              <w:adjustRightInd/>
              <w:snapToGrid/>
              <w:spacing w:line="578" w:lineRule="exact"/>
              <w:ind w:left="540" w:hanging="540" w:hangingChars="300"/>
              <w:jc w:val="center"/>
              <w:textAlignment w:val="auto"/>
              <w:rPr>
                <w:rFonts w:ascii="宋体" w:hAnsi="宋体" w:cs="宋体"/>
                <w:kern w:val="0"/>
                <w:sz w:val="18"/>
                <w:szCs w:val="18"/>
              </w:rPr>
            </w:pPr>
            <w:r>
              <w:rPr>
                <w:rFonts w:hint="eastAsia" w:ascii="宋体" w:hAnsi="宋体" w:cs="宋体"/>
                <w:kern w:val="0"/>
                <w:sz w:val="18"/>
                <w:szCs w:val="18"/>
              </w:rPr>
              <w:t>—————</w:t>
            </w:r>
          </w:p>
        </w:tc>
        <w:tc>
          <w:tcPr>
            <w:tcW w:w="2127" w:type="dxa"/>
            <w:vAlign w:val="center"/>
          </w:tcPr>
          <w:p>
            <w:pPr>
              <w:keepNext w:val="0"/>
              <w:keepLines w:val="0"/>
              <w:pageBreakBefore w:val="0"/>
              <w:widowControl/>
              <w:kinsoku/>
              <w:wordWrap/>
              <w:overflowPunct/>
              <w:topLinePunct w:val="0"/>
              <w:autoSpaceDE/>
              <w:autoSpaceDN/>
              <w:bidi w:val="0"/>
              <w:adjustRightInd/>
              <w:snapToGrid/>
              <w:spacing w:line="578" w:lineRule="exact"/>
              <w:jc w:val="left"/>
              <w:textAlignment w:val="auto"/>
              <w:rPr>
                <w:rFonts w:ascii="宋体" w:hAnsi="宋体" w:cs="宋体"/>
                <w:kern w:val="0"/>
                <w:sz w:val="18"/>
                <w:szCs w:val="18"/>
              </w:rPr>
            </w:pPr>
            <w:r>
              <w:rPr>
                <w:rFonts w:hint="eastAsia" w:ascii="宋体" w:hAnsi="宋体" w:cs="宋体"/>
                <w:kern w:val="0"/>
                <w:sz w:val="18"/>
                <w:szCs w:val="18"/>
              </w:rPr>
              <w:t>2022年末本行在吉林省资产总规模，由省财政厅向相关部门获取，无需填报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trPr>
        <w:tc>
          <w:tcPr>
            <w:tcW w:w="770" w:type="dxa"/>
            <w:vMerge w:val="continue"/>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ascii="宋体" w:hAnsi="宋体" w:cs="宋体"/>
                <w:kern w:val="0"/>
                <w:sz w:val="18"/>
                <w:szCs w:val="18"/>
              </w:rPr>
            </w:pPr>
          </w:p>
        </w:tc>
        <w:tc>
          <w:tcPr>
            <w:tcW w:w="898" w:type="dxa"/>
            <w:vMerge w:val="continue"/>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ascii="宋体" w:hAnsi="宋体" w:cs="宋体"/>
                <w:kern w:val="0"/>
                <w:sz w:val="18"/>
                <w:szCs w:val="18"/>
              </w:rPr>
            </w:pPr>
          </w:p>
        </w:tc>
        <w:tc>
          <w:tcPr>
            <w:tcW w:w="2551" w:type="dxa"/>
            <w:vAlign w:val="center"/>
          </w:tcPr>
          <w:p>
            <w:pPr>
              <w:keepNext w:val="0"/>
              <w:keepLines w:val="0"/>
              <w:pageBreakBefore w:val="0"/>
              <w:widowControl/>
              <w:kinsoku/>
              <w:wordWrap/>
              <w:overflowPunct/>
              <w:topLinePunct w:val="0"/>
              <w:autoSpaceDE/>
              <w:autoSpaceDN/>
              <w:bidi w:val="0"/>
              <w:adjustRightInd/>
              <w:snapToGrid/>
              <w:spacing w:line="578" w:lineRule="exact"/>
              <w:jc w:val="left"/>
              <w:textAlignment w:val="auto"/>
              <w:rPr>
                <w:rFonts w:ascii="宋体" w:hAnsi="宋体" w:cs="宋体"/>
                <w:kern w:val="0"/>
                <w:sz w:val="18"/>
                <w:szCs w:val="18"/>
              </w:rPr>
            </w:pPr>
            <w:r>
              <w:rPr>
                <w:rFonts w:hint="eastAsia" w:ascii="宋体" w:hAnsi="宋体" w:cs="宋体"/>
                <w:kern w:val="0"/>
                <w:sz w:val="18"/>
                <w:szCs w:val="18"/>
              </w:rPr>
              <w:t>在吉林省纳税规模（亿元）</w:t>
            </w:r>
          </w:p>
        </w:tc>
        <w:tc>
          <w:tcPr>
            <w:tcW w:w="3260" w:type="dxa"/>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2127" w:type="dxa"/>
            <w:vAlign w:val="center"/>
          </w:tcPr>
          <w:p>
            <w:pPr>
              <w:keepNext w:val="0"/>
              <w:keepLines w:val="0"/>
              <w:pageBreakBefore w:val="0"/>
              <w:widowControl/>
              <w:kinsoku/>
              <w:wordWrap/>
              <w:overflowPunct/>
              <w:topLinePunct w:val="0"/>
              <w:autoSpaceDE/>
              <w:autoSpaceDN/>
              <w:bidi w:val="0"/>
              <w:adjustRightInd/>
              <w:snapToGrid/>
              <w:spacing w:line="578" w:lineRule="exact"/>
              <w:jc w:val="left"/>
              <w:textAlignment w:val="auto"/>
              <w:rPr>
                <w:rFonts w:ascii="宋体" w:hAnsi="宋体" w:cs="宋体"/>
                <w:kern w:val="0"/>
                <w:sz w:val="18"/>
                <w:szCs w:val="18"/>
              </w:rPr>
            </w:pPr>
            <w:r>
              <w:rPr>
                <w:rFonts w:hint="eastAsia" w:ascii="宋体" w:hAnsi="宋体" w:cs="宋体"/>
                <w:kern w:val="0"/>
                <w:sz w:val="18"/>
                <w:szCs w:val="18"/>
              </w:rPr>
              <w:t>2022年末本行在吉林省地方级纳税规模，由省财政厅向相关部门获取，无需填报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7" w:hRule="atLeast"/>
        </w:trPr>
        <w:tc>
          <w:tcPr>
            <w:tcW w:w="770" w:type="dxa"/>
            <w:vMerge w:val="continue"/>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ascii="宋体" w:hAnsi="宋体" w:cs="宋体"/>
                <w:kern w:val="0"/>
                <w:sz w:val="18"/>
                <w:szCs w:val="18"/>
              </w:rPr>
            </w:pPr>
          </w:p>
        </w:tc>
        <w:tc>
          <w:tcPr>
            <w:tcW w:w="898" w:type="dxa"/>
            <w:vMerge w:val="continue"/>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ascii="宋体" w:hAnsi="宋体" w:cs="宋体"/>
                <w:kern w:val="0"/>
                <w:sz w:val="18"/>
                <w:szCs w:val="18"/>
              </w:rPr>
            </w:pPr>
          </w:p>
        </w:tc>
        <w:tc>
          <w:tcPr>
            <w:tcW w:w="2551" w:type="dxa"/>
            <w:vAlign w:val="center"/>
          </w:tcPr>
          <w:p>
            <w:pPr>
              <w:keepNext w:val="0"/>
              <w:keepLines w:val="0"/>
              <w:pageBreakBefore w:val="0"/>
              <w:widowControl/>
              <w:kinsoku/>
              <w:wordWrap/>
              <w:overflowPunct/>
              <w:topLinePunct w:val="0"/>
              <w:autoSpaceDE/>
              <w:autoSpaceDN/>
              <w:bidi w:val="0"/>
              <w:adjustRightInd/>
              <w:snapToGrid/>
              <w:spacing w:line="578" w:lineRule="exact"/>
              <w:jc w:val="left"/>
              <w:textAlignment w:val="auto"/>
              <w:rPr>
                <w:rFonts w:ascii="宋体" w:hAnsi="宋体" w:cs="宋体"/>
                <w:kern w:val="0"/>
                <w:sz w:val="18"/>
                <w:szCs w:val="18"/>
              </w:rPr>
            </w:pPr>
            <w:r>
              <w:rPr>
                <w:rFonts w:hint="eastAsia" w:ascii="宋体" w:hAnsi="宋体" w:cs="宋体"/>
                <w:kern w:val="0"/>
                <w:sz w:val="18"/>
                <w:szCs w:val="18"/>
              </w:rPr>
              <w:t>两增口径普惠小微贷款余额（亿元</w:t>
            </w:r>
            <w:r>
              <w:rPr>
                <w:rFonts w:ascii="宋体" w:hAnsi="宋体" w:cs="宋体"/>
                <w:kern w:val="0"/>
                <w:sz w:val="18"/>
                <w:szCs w:val="18"/>
              </w:rPr>
              <w:t>)</w:t>
            </w:r>
          </w:p>
        </w:tc>
        <w:tc>
          <w:tcPr>
            <w:tcW w:w="3260" w:type="dxa"/>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2127" w:type="dxa"/>
            <w:vAlign w:val="center"/>
          </w:tcPr>
          <w:p>
            <w:pPr>
              <w:keepNext w:val="0"/>
              <w:keepLines w:val="0"/>
              <w:pageBreakBefore w:val="0"/>
              <w:widowControl/>
              <w:kinsoku/>
              <w:wordWrap/>
              <w:overflowPunct/>
              <w:topLinePunct w:val="0"/>
              <w:autoSpaceDE/>
              <w:autoSpaceDN/>
              <w:bidi w:val="0"/>
              <w:adjustRightInd/>
              <w:snapToGrid/>
              <w:spacing w:line="578" w:lineRule="exact"/>
              <w:jc w:val="left"/>
              <w:textAlignment w:val="auto"/>
              <w:rPr>
                <w:rFonts w:ascii="宋体" w:hAnsi="宋体" w:cs="宋体"/>
                <w:kern w:val="0"/>
                <w:sz w:val="18"/>
                <w:szCs w:val="18"/>
              </w:rPr>
            </w:pPr>
            <w:r>
              <w:rPr>
                <w:rFonts w:hint="eastAsia" w:ascii="宋体" w:hAnsi="宋体" w:cs="宋体"/>
                <w:kern w:val="0"/>
                <w:sz w:val="18"/>
                <w:szCs w:val="18"/>
              </w:rPr>
              <w:t>2022年末本行在吉林省两增口径普惠小微贷款余额，由省财政厅向相关部门获取，无需填报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7" w:hRule="atLeast"/>
        </w:trPr>
        <w:tc>
          <w:tcPr>
            <w:tcW w:w="770" w:type="dxa"/>
            <w:vMerge w:val="continue"/>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ascii="宋体" w:hAnsi="宋体" w:cs="宋体"/>
                <w:kern w:val="0"/>
                <w:sz w:val="18"/>
                <w:szCs w:val="18"/>
              </w:rPr>
            </w:pPr>
          </w:p>
        </w:tc>
        <w:tc>
          <w:tcPr>
            <w:tcW w:w="898" w:type="dxa"/>
            <w:vMerge w:val="continue"/>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ascii="宋体" w:hAnsi="宋体" w:cs="宋体"/>
                <w:kern w:val="0"/>
                <w:sz w:val="18"/>
                <w:szCs w:val="18"/>
              </w:rPr>
            </w:pPr>
          </w:p>
        </w:tc>
        <w:tc>
          <w:tcPr>
            <w:tcW w:w="2551" w:type="dxa"/>
            <w:vAlign w:val="center"/>
          </w:tcPr>
          <w:p>
            <w:pPr>
              <w:keepNext w:val="0"/>
              <w:keepLines w:val="0"/>
              <w:pageBreakBefore w:val="0"/>
              <w:widowControl/>
              <w:kinsoku/>
              <w:wordWrap/>
              <w:overflowPunct/>
              <w:topLinePunct w:val="0"/>
              <w:autoSpaceDE/>
              <w:autoSpaceDN/>
              <w:bidi w:val="0"/>
              <w:adjustRightInd/>
              <w:snapToGrid/>
              <w:spacing w:line="578" w:lineRule="exact"/>
              <w:jc w:val="left"/>
              <w:textAlignment w:val="auto"/>
              <w:rPr>
                <w:rFonts w:ascii="宋体" w:hAnsi="宋体" w:cs="宋体"/>
                <w:kern w:val="0"/>
                <w:sz w:val="18"/>
                <w:szCs w:val="18"/>
              </w:rPr>
            </w:pPr>
            <w:r>
              <w:rPr>
                <w:rFonts w:hint="eastAsia" w:ascii="宋体" w:hAnsi="宋体" w:cs="宋体"/>
                <w:kern w:val="0"/>
                <w:sz w:val="18"/>
                <w:szCs w:val="18"/>
              </w:rPr>
              <w:t>制造业贷款余额（亿元</w:t>
            </w:r>
            <w:r>
              <w:rPr>
                <w:rFonts w:ascii="宋体" w:hAnsi="宋体" w:cs="宋体"/>
                <w:kern w:val="0"/>
                <w:sz w:val="18"/>
                <w:szCs w:val="18"/>
              </w:rPr>
              <w:t>)</w:t>
            </w:r>
          </w:p>
        </w:tc>
        <w:tc>
          <w:tcPr>
            <w:tcW w:w="3260" w:type="dxa"/>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2127" w:type="dxa"/>
            <w:vAlign w:val="center"/>
          </w:tcPr>
          <w:p>
            <w:pPr>
              <w:keepNext w:val="0"/>
              <w:keepLines w:val="0"/>
              <w:pageBreakBefore w:val="0"/>
              <w:widowControl/>
              <w:kinsoku/>
              <w:wordWrap/>
              <w:overflowPunct/>
              <w:topLinePunct w:val="0"/>
              <w:autoSpaceDE/>
              <w:autoSpaceDN/>
              <w:bidi w:val="0"/>
              <w:adjustRightInd/>
              <w:snapToGrid/>
              <w:spacing w:line="578" w:lineRule="exact"/>
              <w:jc w:val="left"/>
              <w:textAlignment w:val="auto"/>
              <w:rPr>
                <w:rFonts w:ascii="宋体" w:hAnsi="宋体" w:cs="宋体"/>
                <w:kern w:val="0"/>
                <w:sz w:val="18"/>
                <w:szCs w:val="18"/>
              </w:rPr>
            </w:pPr>
            <w:r>
              <w:rPr>
                <w:rFonts w:hint="eastAsia" w:ascii="宋体" w:hAnsi="宋体" w:cs="宋体"/>
                <w:kern w:val="0"/>
                <w:sz w:val="18"/>
                <w:szCs w:val="18"/>
              </w:rPr>
              <w:t>2023年末本行在吉林省制造业贷款余额，由省财政厅向相关部门获取，无需填报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7" w:hRule="atLeast"/>
        </w:trPr>
        <w:tc>
          <w:tcPr>
            <w:tcW w:w="770" w:type="dxa"/>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ascii="宋体" w:hAnsi="宋体" w:cs="宋体"/>
                <w:kern w:val="0"/>
                <w:sz w:val="18"/>
                <w:szCs w:val="18"/>
              </w:rPr>
            </w:pPr>
            <w:r>
              <w:rPr>
                <w:rFonts w:hint="eastAsia" w:ascii="宋体" w:hAnsi="宋体" w:cs="宋体"/>
                <w:kern w:val="0"/>
                <w:sz w:val="18"/>
                <w:szCs w:val="18"/>
              </w:rPr>
              <w:t>4</w:t>
            </w:r>
          </w:p>
        </w:tc>
        <w:tc>
          <w:tcPr>
            <w:tcW w:w="898" w:type="dxa"/>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ascii="宋体" w:hAnsi="宋体" w:cs="宋体"/>
                <w:kern w:val="0"/>
                <w:sz w:val="18"/>
                <w:szCs w:val="18"/>
              </w:rPr>
            </w:pPr>
            <w:r>
              <w:rPr>
                <w:rFonts w:hint="eastAsia" w:ascii="宋体" w:hAnsi="宋体" w:cs="宋体"/>
                <w:kern w:val="0"/>
                <w:sz w:val="18"/>
                <w:szCs w:val="18"/>
              </w:rPr>
              <w:t>质押</w:t>
            </w:r>
          </w:p>
        </w:tc>
        <w:tc>
          <w:tcPr>
            <w:tcW w:w="2551" w:type="dxa"/>
            <w:vAlign w:val="center"/>
          </w:tcPr>
          <w:p>
            <w:pPr>
              <w:keepNext w:val="0"/>
              <w:keepLines w:val="0"/>
              <w:pageBreakBefore w:val="0"/>
              <w:widowControl/>
              <w:kinsoku/>
              <w:wordWrap/>
              <w:overflowPunct/>
              <w:topLinePunct w:val="0"/>
              <w:autoSpaceDE/>
              <w:autoSpaceDN/>
              <w:bidi w:val="0"/>
              <w:adjustRightInd/>
              <w:snapToGrid/>
              <w:spacing w:line="578" w:lineRule="exact"/>
              <w:jc w:val="left"/>
              <w:textAlignment w:val="auto"/>
              <w:rPr>
                <w:rFonts w:ascii="宋体" w:hAnsi="宋体" w:cs="宋体"/>
                <w:kern w:val="0"/>
                <w:sz w:val="18"/>
                <w:szCs w:val="18"/>
              </w:rPr>
            </w:pPr>
            <w:r>
              <w:rPr>
                <w:rFonts w:hint="eastAsia" w:ascii="宋体" w:hAnsi="宋体" w:cs="宋体"/>
                <w:kern w:val="0"/>
                <w:sz w:val="18"/>
                <w:szCs w:val="18"/>
              </w:rPr>
              <w:t>投标人可提供质押的国债和地方债情况（亿元</w:t>
            </w:r>
            <w:r>
              <w:rPr>
                <w:rFonts w:ascii="宋体" w:hAnsi="宋体" w:cs="宋体"/>
                <w:kern w:val="0"/>
                <w:sz w:val="18"/>
                <w:szCs w:val="18"/>
              </w:rPr>
              <w:t>)</w:t>
            </w:r>
          </w:p>
        </w:tc>
        <w:tc>
          <w:tcPr>
            <w:tcW w:w="3260" w:type="dxa"/>
            <w:vAlign w:val="center"/>
          </w:tcPr>
          <w:p>
            <w:pPr>
              <w:keepNext w:val="0"/>
              <w:keepLines w:val="0"/>
              <w:pageBreakBefore w:val="0"/>
              <w:widowControl/>
              <w:kinsoku/>
              <w:wordWrap/>
              <w:overflowPunct/>
              <w:topLinePunct w:val="0"/>
              <w:autoSpaceDE/>
              <w:autoSpaceDN/>
              <w:bidi w:val="0"/>
              <w:adjustRightInd/>
              <w:snapToGrid/>
              <w:spacing w:line="578" w:lineRule="exact"/>
              <w:jc w:val="left"/>
              <w:textAlignment w:val="auto"/>
              <w:rPr>
                <w:rFonts w:ascii="宋体" w:hAnsi="宋体" w:cs="宋体"/>
                <w:kern w:val="0"/>
                <w:sz w:val="18"/>
                <w:szCs w:val="18"/>
              </w:rPr>
            </w:pPr>
          </w:p>
        </w:tc>
        <w:tc>
          <w:tcPr>
            <w:tcW w:w="2127" w:type="dxa"/>
            <w:vAlign w:val="center"/>
          </w:tcPr>
          <w:p>
            <w:pPr>
              <w:keepNext w:val="0"/>
              <w:keepLines w:val="0"/>
              <w:pageBreakBefore w:val="0"/>
              <w:widowControl/>
              <w:kinsoku/>
              <w:wordWrap/>
              <w:overflowPunct/>
              <w:topLinePunct w:val="0"/>
              <w:autoSpaceDE/>
              <w:autoSpaceDN/>
              <w:bidi w:val="0"/>
              <w:adjustRightInd/>
              <w:snapToGrid/>
              <w:spacing w:line="578" w:lineRule="exact"/>
              <w:jc w:val="left"/>
              <w:textAlignment w:val="auto"/>
              <w:rPr>
                <w:rFonts w:ascii="宋体" w:hAnsi="宋体" w:cs="宋体"/>
                <w:kern w:val="0"/>
                <w:sz w:val="18"/>
                <w:szCs w:val="18"/>
              </w:rPr>
            </w:pPr>
          </w:p>
        </w:tc>
      </w:tr>
    </w:tbl>
    <w:p>
      <w:pPr>
        <w:keepNext w:val="0"/>
        <w:keepLines w:val="0"/>
        <w:pageBreakBefore w:val="0"/>
        <w:tabs>
          <w:tab w:val="left" w:pos="1260"/>
        </w:tabs>
        <w:kinsoku/>
        <w:wordWrap/>
        <w:overflowPunct/>
        <w:topLinePunct w:val="0"/>
        <w:autoSpaceDE/>
        <w:autoSpaceDN/>
        <w:bidi w:val="0"/>
        <w:adjustRightInd/>
        <w:snapToGrid/>
        <w:spacing w:line="578" w:lineRule="exact"/>
        <w:textAlignment w:val="auto"/>
        <w:rPr>
          <w:rFonts w:ascii="仿宋_GB2312" w:eastAsia="仿宋_GB2312"/>
          <w:sz w:val="28"/>
          <w:szCs w:val="28"/>
        </w:rPr>
        <w:sectPr>
          <w:pgSz w:w="11907" w:h="16840"/>
          <w:pgMar w:top="2098" w:right="1531" w:bottom="1984" w:left="1531" w:header="851" w:footer="992" w:gutter="0"/>
          <w:cols w:space="720" w:num="1"/>
          <w:docGrid w:type="lines" w:linePitch="312" w:charSpace="0"/>
        </w:sectPr>
      </w:pPr>
    </w:p>
    <w:p>
      <w:pPr>
        <w:keepNext w:val="0"/>
        <w:keepLines w:val="0"/>
        <w:pageBreakBefore w:val="0"/>
        <w:tabs>
          <w:tab w:val="left" w:pos="1260"/>
        </w:tabs>
        <w:kinsoku/>
        <w:wordWrap/>
        <w:overflowPunct/>
        <w:topLinePunct w:val="0"/>
        <w:autoSpaceDE/>
        <w:autoSpaceDN/>
        <w:bidi w:val="0"/>
        <w:adjustRightInd/>
        <w:snapToGrid/>
        <w:spacing w:line="578" w:lineRule="exact"/>
        <w:textAlignment w:val="auto"/>
        <w:rPr>
          <w:rFonts w:ascii="仿宋" w:hAnsi="仿宋" w:eastAsia="仿宋"/>
          <w:sz w:val="32"/>
          <w:szCs w:val="32"/>
        </w:rPr>
      </w:pPr>
      <w:r>
        <w:rPr>
          <w:rFonts w:hint="eastAsia" w:ascii="仿宋" w:hAnsi="仿宋" w:eastAsia="仿宋"/>
          <w:sz w:val="32"/>
          <w:szCs w:val="32"/>
        </w:rPr>
        <w:t>开标一览表中所报数字应与银监部门核对一致，如不一致，以银监部门数字为准。</w:t>
      </w:r>
    </w:p>
    <w:p>
      <w:pPr>
        <w:keepNext w:val="0"/>
        <w:keepLines w:val="0"/>
        <w:pageBreakBefore w:val="0"/>
        <w:tabs>
          <w:tab w:val="left" w:pos="1260"/>
        </w:tabs>
        <w:kinsoku/>
        <w:wordWrap/>
        <w:overflowPunct/>
        <w:topLinePunct w:val="0"/>
        <w:autoSpaceDE/>
        <w:autoSpaceDN/>
        <w:bidi w:val="0"/>
        <w:adjustRightInd/>
        <w:snapToGrid/>
        <w:spacing w:line="578" w:lineRule="exact"/>
        <w:jc w:val="center"/>
        <w:textAlignment w:val="auto"/>
        <w:rPr>
          <w:rFonts w:ascii="仿宋_GB2312" w:hAnsi="宋体" w:eastAsia="仿宋_GB2312" w:cs="宋体"/>
          <w:bCs/>
          <w:sz w:val="28"/>
          <w:szCs w:val="28"/>
        </w:rPr>
      </w:pPr>
    </w:p>
    <w:p>
      <w:pPr>
        <w:keepNext w:val="0"/>
        <w:keepLines w:val="0"/>
        <w:pageBreakBefore w:val="0"/>
        <w:tabs>
          <w:tab w:val="left" w:pos="1260"/>
        </w:tabs>
        <w:kinsoku/>
        <w:wordWrap/>
        <w:overflowPunct/>
        <w:topLinePunct w:val="0"/>
        <w:autoSpaceDE/>
        <w:autoSpaceDN/>
        <w:bidi w:val="0"/>
        <w:adjustRightInd/>
        <w:snapToGrid/>
        <w:spacing w:line="578" w:lineRule="exact"/>
        <w:jc w:val="center"/>
        <w:textAlignment w:val="auto"/>
        <w:rPr>
          <w:rFonts w:ascii="黑体" w:hAnsi="黑体" w:eastAsia="黑体" w:cs="宋体"/>
          <w:bCs/>
          <w:sz w:val="32"/>
          <w:szCs w:val="32"/>
        </w:rPr>
      </w:pPr>
      <w:r>
        <w:rPr>
          <w:rFonts w:hint="eastAsia" w:ascii="黑体" w:hAnsi="黑体" w:eastAsia="黑体" w:cs="宋体"/>
          <w:bCs/>
          <w:sz w:val="32"/>
          <w:szCs w:val="32"/>
        </w:rPr>
        <w:t>五、投标人资格资料</w:t>
      </w:r>
    </w:p>
    <w:p>
      <w:pPr>
        <w:keepNext w:val="0"/>
        <w:keepLines w:val="0"/>
        <w:pageBreakBefore w:val="0"/>
        <w:tabs>
          <w:tab w:val="left" w:pos="1260"/>
        </w:tabs>
        <w:kinsoku/>
        <w:wordWrap/>
        <w:overflowPunct/>
        <w:topLinePunct w:val="0"/>
        <w:autoSpaceDE/>
        <w:autoSpaceDN/>
        <w:bidi w:val="0"/>
        <w:adjustRightInd/>
        <w:snapToGrid/>
        <w:spacing w:line="578" w:lineRule="exact"/>
        <w:jc w:val="center"/>
        <w:textAlignment w:val="auto"/>
        <w:rPr>
          <w:rFonts w:ascii="仿宋_GB2312" w:hAnsi="宋体" w:eastAsia="仿宋_GB2312" w:cs="宋体"/>
          <w:bCs/>
          <w:sz w:val="28"/>
          <w:szCs w:val="28"/>
        </w:rPr>
      </w:pPr>
    </w:p>
    <w:p>
      <w:pPr>
        <w:keepNext w:val="0"/>
        <w:keepLines w:val="0"/>
        <w:pageBreakBefore w:val="0"/>
        <w:tabs>
          <w:tab w:val="left" w:pos="1260"/>
        </w:tabs>
        <w:kinsoku/>
        <w:wordWrap/>
        <w:overflowPunct/>
        <w:topLinePunct w:val="0"/>
        <w:autoSpaceDE/>
        <w:autoSpaceDN/>
        <w:bidi w:val="0"/>
        <w:adjustRightInd/>
        <w:snapToGrid/>
        <w:spacing w:line="578" w:lineRule="exact"/>
        <w:ind w:firstLine="640" w:firstLineChars="200"/>
        <w:textAlignment w:val="auto"/>
        <w:rPr>
          <w:rFonts w:ascii="仿宋" w:hAnsi="仿宋" w:eastAsia="仿宋"/>
          <w:sz w:val="32"/>
          <w:szCs w:val="32"/>
        </w:rPr>
      </w:pPr>
      <w:r>
        <w:rPr>
          <w:rFonts w:hint="eastAsia" w:ascii="仿宋" w:hAnsi="仿宋" w:eastAsia="仿宋" w:cs="仿宋_GB2312"/>
          <w:sz w:val="32"/>
          <w:szCs w:val="32"/>
        </w:rPr>
        <w:t>此处附：</w:t>
      </w:r>
      <w:r>
        <w:rPr>
          <w:rFonts w:hint="eastAsia" w:ascii="仿宋" w:hAnsi="仿宋" w:eastAsia="仿宋"/>
          <w:sz w:val="32"/>
          <w:szCs w:val="32"/>
        </w:rPr>
        <w:t>法人营业执照加盖公章复印件、《金融机构法人许可证》或《金融机构营业许可证》加盖公章复印件、组织机构代码证加盖公章复印件。</w:t>
      </w:r>
    </w:p>
    <w:p>
      <w:pPr>
        <w:keepNext w:val="0"/>
        <w:keepLines w:val="0"/>
        <w:pageBreakBefore w:val="0"/>
        <w:tabs>
          <w:tab w:val="left" w:pos="1260"/>
        </w:tabs>
        <w:kinsoku/>
        <w:wordWrap/>
        <w:overflowPunct/>
        <w:topLinePunct w:val="0"/>
        <w:autoSpaceDE/>
        <w:autoSpaceDN/>
        <w:bidi w:val="0"/>
        <w:adjustRightInd/>
        <w:snapToGrid/>
        <w:spacing w:line="578" w:lineRule="exact"/>
        <w:jc w:val="center"/>
        <w:textAlignment w:val="auto"/>
        <w:rPr>
          <w:rFonts w:ascii="仿宋_GB2312" w:hAnsi="宋体" w:eastAsia="仿宋_GB2312" w:cs="宋体"/>
          <w:bCs/>
          <w:sz w:val="28"/>
          <w:szCs w:val="28"/>
        </w:rPr>
      </w:pPr>
    </w:p>
    <w:p>
      <w:pPr>
        <w:keepNext w:val="0"/>
        <w:keepLines w:val="0"/>
        <w:pageBreakBefore w:val="0"/>
        <w:tabs>
          <w:tab w:val="left" w:pos="1260"/>
        </w:tabs>
        <w:kinsoku/>
        <w:wordWrap/>
        <w:overflowPunct/>
        <w:topLinePunct w:val="0"/>
        <w:autoSpaceDE/>
        <w:autoSpaceDN/>
        <w:bidi w:val="0"/>
        <w:adjustRightInd/>
        <w:snapToGrid/>
        <w:spacing w:line="578" w:lineRule="exact"/>
        <w:jc w:val="center"/>
        <w:textAlignment w:val="auto"/>
        <w:rPr>
          <w:rFonts w:ascii="黑体" w:hAnsi="黑体" w:eastAsia="黑体" w:cs="宋体"/>
          <w:bCs/>
          <w:sz w:val="32"/>
          <w:szCs w:val="32"/>
        </w:rPr>
      </w:pPr>
      <w:r>
        <w:rPr>
          <w:rFonts w:hint="eastAsia" w:ascii="黑体" w:hAnsi="黑体" w:eastAsia="黑体" w:cs="宋体"/>
          <w:bCs/>
          <w:sz w:val="32"/>
          <w:szCs w:val="32"/>
        </w:rPr>
        <w:t>六、投标方案</w:t>
      </w:r>
    </w:p>
    <w:p>
      <w:pPr>
        <w:keepNext w:val="0"/>
        <w:keepLines w:val="0"/>
        <w:pageBreakBefore w:val="0"/>
        <w:tabs>
          <w:tab w:val="left" w:pos="1260"/>
        </w:tabs>
        <w:kinsoku/>
        <w:wordWrap/>
        <w:overflowPunct/>
        <w:topLinePunct w:val="0"/>
        <w:autoSpaceDE/>
        <w:autoSpaceDN/>
        <w:bidi w:val="0"/>
        <w:adjustRightInd/>
        <w:snapToGrid/>
        <w:spacing w:line="578" w:lineRule="exact"/>
        <w:jc w:val="center"/>
        <w:textAlignment w:val="auto"/>
        <w:rPr>
          <w:rFonts w:ascii="仿宋_GB2312" w:hAnsi="宋体" w:eastAsia="仿宋_GB2312" w:cs="宋体"/>
          <w:bCs/>
          <w:sz w:val="28"/>
          <w:szCs w:val="28"/>
        </w:rPr>
      </w:pPr>
    </w:p>
    <w:p>
      <w:pPr>
        <w:keepNext w:val="0"/>
        <w:keepLines w:val="0"/>
        <w:pageBreakBefore w:val="0"/>
        <w:tabs>
          <w:tab w:val="left" w:pos="8280"/>
        </w:tabs>
        <w:kinsoku/>
        <w:wordWrap/>
        <w:overflowPunct/>
        <w:topLinePunct w:val="0"/>
        <w:autoSpaceDE/>
        <w:autoSpaceDN/>
        <w:bidi w:val="0"/>
        <w:adjustRightInd/>
        <w:snapToGrid/>
        <w:spacing w:line="578" w:lineRule="exact"/>
        <w:ind w:firstLine="640" w:firstLineChars="200"/>
        <w:textAlignment w:val="auto"/>
        <w:rPr>
          <w:rFonts w:ascii="仿宋" w:hAnsi="仿宋" w:eastAsia="仿宋"/>
          <w:sz w:val="32"/>
          <w:szCs w:val="32"/>
        </w:rPr>
      </w:pPr>
      <w:r>
        <w:rPr>
          <w:rFonts w:hint="eastAsia" w:ascii="仿宋" w:hAnsi="仿宋" w:eastAsia="仿宋"/>
          <w:sz w:val="32"/>
          <w:szCs w:val="32"/>
        </w:rPr>
        <w:t>投标方案应包括但不只限于以下内容：投标人基本情况介绍；办理财政日常工作、人民银行国库业务情况；保证存款资金安全性的措施；制度建设、内部管理相关情况；其它需要说明的内容。</w:t>
      </w:r>
    </w:p>
    <w:p>
      <w:pPr>
        <w:keepNext w:val="0"/>
        <w:keepLines w:val="0"/>
        <w:pageBreakBefore w:val="0"/>
        <w:tabs>
          <w:tab w:val="left" w:pos="8280"/>
        </w:tabs>
        <w:kinsoku/>
        <w:wordWrap/>
        <w:overflowPunct/>
        <w:topLinePunct w:val="0"/>
        <w:autoSpaceDE/>
        <w:autoSpaceDN/>
        <w:bidi w:val="0"/>
        <w:adjustRightInd/>
        <w:snapToGrid/>
        <w:spacing w:line="578" w:lineRule="exact"/>
        <w:ind w:firstLine="640" w:firstLineChars="200"/>
        <w:textAlignment w:val="auto"/>
        <w:rPr>
          <w:rFonts w:ascii="仿宋" w:hAnsi="仿宋" w:eastAsia="仿宋"/>
          <w:sz w:val="32"/>
          <w:szCs w:val="32"/>
        </w:rPr>
      </w:pPr>
    </w:p>
    <w:p>
      <w:pPr>
        <w:keepNext w:val="0"/>
        <w:keepLines w:val="0"/>
        <w:pageBreakBefore w:val="0"/>
        <w:widowControl/>
        <w:kinsoku/>
        <w:wordWrap/>
        <w:overflowPunct/>
        <w:topLinePunct w:val="0"/>
        <w:autoSpaceDE/>
        <w:autoSpaceDN/>
        <w:bidi w:val="0"/>
        <w:adjustRightInd/>
        <w:snapToGrid/>
        <w:spacing w:line="578" w:lineRule="exact"/>
        <w:jc w:val="left"/>
        <w:textAlignment w:val="auto"/>
        <w:rPr>
          <w:rFonts w:ascii="宋体" w:hAnsi="宋体"/>
          <w:b/>
          <w:sz w:val="36"/>
          <w:szCs w:val="36"/>
        </w:rPr>
      </w:pPr>
    </w:p>
    <w:sectPr>
      <w:footerReference r:id="rId6" w:type="default"/>
      <w:footerReference r:id="rId7" w:type="even"/>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53621751"/>
    </w:sdtPr>
    <w:sdtEndPr>
      <w:rPr>
        <w:rFonts w:asciiTheme="minorEastAsia" w:hAnsiTheme="minorEastAsia" w:eastAsiaTheme="minorEastAsia"/>
        <w:sz w:val="28"/>
        <w:szCs w:val="28"/>
      </w:rPr>
    </w:sdtEndPr>
    <w:sdtContent>
      <w:p>
        <w:pPr>
          <w:pStyle w:val="7"/>
          <w:rPr>
            <w:rFonts w:asciiTheme="minorEastAsia" w:hAnsiTheme="minorEastAsia"/>
            <w:sz w:val="28"/>
            <w:szCs w:val="28"/>
          </w:rPr>
        </w:pPr>
        <w:r>
          <w:rPr>
            <w:rFonts w:asciiTheme="minorEastAsia" w:hAnsiTheme="minorEastAsia" w:eastAsiaTheme="minorEastAsia"/>
            <w:sz w:val="28"/>
            <w:szCs w:val="28"/>
          </w:rPr>
          <w:ptab w:relativeTo="margin" w:alignment="right" w:leader="none"/>
        </w:r>
        <w:sdt>
          <w:sdtPr>
            <w:id w:val="-424572715"/>
          </w:sdtPr>
          <w:sdtEndPr>
            <w:rPr>
              <w:rFonts w:asciiTheme="minorEastAsia" w:hAnsiTheme="minorEastAsia" w:eastAsiaTheme="minorEastAsia"/>
              <w:sz w:val="28"/>
              <w:szCs w:val="28"/>
            </w:rPr>
          </w:sdtEndPr>
          <w:sdtContent>
            <w:r>
              <w:rPr>
                <w:rFonts w:asciiTheme="minorEastAsia" w:hAnsiTheme="minorEastAsia" w:eastAsiaTheme="minorEastAsia"/>
                <w:sz w:val="28"/>
                <w:szCs w:val="28"/>
              </w:rPr>
              <w:t>—</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3</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t>—</w:t>
            </w:r>
          </w:sdtContent>
        </w:sdt>
      </w:p>
    </w:sdtContent>
  </w:sdt>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87531582"/>
    </w:sdtPr>
    <w:sdtEndPr>
      <w:rPr>
        <w:rFonts w:asciiTheme="minorEastAsia" w:hAnsiTheme="minorEastAsia" w:eastAsiaTheme="minorEastAsia"/>
        <w:sz w:val="28"/>
        <w:szCs w:val="28"/>
      </w:rPr>
    </w:sdtEndPr>
    <w:sdtContent>
      <w:p>
        <w:pPr>
          <w:pStyle w:val="7"/>
          <w:rPr>
            <w:rFonts w:asciiTheme="minorEastAsia" w:hAnsiTheme="minorEastAsia"/>
            <w:sz w:val="28"/>
            <w:szCs w:val="28"/>
          </w:rPr>
        </w:pPr>
        <w:r>
          <w:rPr>
            <w:rFonts w:asciiTheme="minorEastAsia" w:hAnsiTheme="minorEastAsia" w:eastAsiaTheme="minorEastAsia"/>
            <w:sz w:val="28"/>
            <w:szCs w:val="28"/>
          </w:rPr>
          <w:t>—</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4</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t>—</w:t>
        </w:r>
      </w:p>
    </w:sdtContent>
  </w:sdt>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asciiTheme="minorEastAsia" w:hAnsiTheme="minorEastAsia" w:eastAsiaTheme="minorEastAsia"/>
        <w:sz w:val="28"/>
        <w:szCs w:val="28"/>
      </w:rPr>
    </w:pPr>
    <w:r>
      <w:rPr>
        <w:rFonts w:asciiTheme="minorEastAsia" w:hAnsiTheme="minorEastAsia" w:eastAsiaTheme="minorEastAsia"/>
        <w:sz w:val="28"/>
        <w:szCs w:val="28"/>
      </w:rPr>
      <w:ptab w:relativeTo="margin" w:alignment="left" w:leader="none"/>
    </w:r>
    <w:r>
      <w:rPr>
        <w:rFonts w:asciiTheme="minorEastAsia" w:hAnsiTheme="minorEastAsia" w:eastAsiaTheme="minorEastAsia"/>
        <w:sz w:val="28"/>
        <w:szCs w:val="28"/>
      </w:rPr>
      <w:t>—</w:t>
    </w:r>
    <w:sdt>
      <w:sdtPr>
        <w:rPr>
          <w:rFonts w:asciiTheme="minorEastAsia" w:hAnsiTheme="minorEastAsia" w:eastAsiaTheme="minorEastAsia"/>
          <w:sz w:val="28"/>
          <w:szCs w:val="28"/>
        </w:rPr>
        <w:id w:val="245001467"/>
      </w:sdtPr>
      <w:sdtEndPr>
        <w:rPr>
          <w:rFonts w:asciiTheme="minorEastAsia" w:hAnsiTheme="minorEastAsia" w:eastAsiaTheme="minorEastAsia"/>
          <w:sz w:val="28"/>
          <w:szCs w:val="28"/>
        </w:rPr>
      </w:sdtEndPr>
      <w:sdtContent>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18</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t>—</w:t>
        </w:r>
      </w:sdtContent>
    </w:sdt>
  </w:p>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8654237"/>
    </w:sdtPr>
    <w:sdtEndPr>
      <w:rPr>
        <w:rFonts w:asciiTheme="minorEastAsia" w:hAnsiTheme="minorEastAsia" w:eastAsiaTheme="minorEastAsia"/>
        <w:sz w:val="28"/>
        <w:szCs w:val="28"/>
      </w:rPr>
    </w:sdtEndPr>
    <w:sdtContent>
      <w:p>
        <w:pPr>
          <w:pStyle w:val="7"/>
          <w:rPr>
            <w:rFonts w:asciiTheme="minorEastAsia" w:hAnsiTheme="minorEastAsia"/>
            <w:sz w:val="28"/>
            <w:szCs w:val="28"/>
          </w:rPr>
        </w:pPr>
        <w:r>
          <w:rPr>
            <w:rFonts w:asciiTheme="minorEastAsia" w:hAnsiTheme="minorEastAsia" w:eastAsiaTheme="minorEastAsia"/>
            <w:sz w:val="28"/>
            <w:szCs w:val="28"/>
          </w:rPr>
          <w:t>—</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22</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t>—</w:t>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8D324"/>
    <w:multiLevelType w:val="singleLevel"/>
    <w:tmpl w:val="65B8D324"/>
    <w:lvl w:ilvl="0" w:tentative="0">
      <w:start w:val="1"/>
      <w:numFmt w:val="chineseCounting"/>
      <w:suff w:val="nothing"/>
      <w:lvlText w:val="（%1）"/>
      <w:lvlJc w:val="left"/>
      <w:pPr>
        <w:ind w:left="0" w:firstLine="420"/>
      </w:pPr>
      <w:rPr>
        <w:rFonts w:hint="eastAsia"/>
      </w:rPr>
    </w:lvl>
  </w:abstractNum>
  <w:abstractNum w:abstractNumId="1">
    <w:nsid w:val="65B8D354"/>
    <w:multiLevelType w:val="singleLevel"/>
    <w:tmpl w:val="65B8D354"/>
    <w:lvl w:ilvl="0" w:tentative="0">
      <w:start w:val="1"/>
      <w:numFmt w:val="decimal"/>
      <w:suff w:val="nothing"/>
      <w:lvlText w:val="%1."/>
      <w:lvlJc w:val="left"/>
    </w:lvl>
  </w:abstractNum>
  <w:abstractNum w:abstractNumId="2">
    <w:nsid w:val="65B8D39C"/>
    <w:multiLevelType w:val="singleLevel"/>
    <w:tmpl w:val="65B8D39C"/>
    <w:lvl w:ilvl="0" w:tentative="0">
      <w:start w:val="1"/>
      <w:numFmt w:val="chineseCounting"/>
      <w:suff w:val="nothing"/>
      <w:lvlText w:val="（%1）"/>
      <w:lvlJc w:val="left"/>
      <w:pPr>
        <w:ind w:left="0" w:firstLine="420"/>
      </w:pPr>
      <w:rPr>
        <w:rFonts w:hint="eastAsia"/>
      </w:rPr>
    </w:lvl>
  </w:abstractNum>
  <w:abstractNum w:abstractNumId="3">
    <w:nsid w:val="65B8D7EC"/>
    <w:multiLevelType w:val="singleLevel"/>
    <w:tmpl w:val="65B8D7EC"/>
    <w:lvl w:ilvl="0" w:tentative="0">
      <w:start w:val="4"/>
      <w:numFmt w:val="chineseCounting"/>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A91647"/>
    <w:rsid w:val="00006E4F"/>
    <w:rsid w:val="0002622A"/>
    <w:rsid w:val="0003083A"/>
    <w:rsid w:val="00066BC6"/>
    <w:rsid w:val="000C7C93"/>
    <w:rsid w:val="00105AE5"/>
    <w:rsid w:val="001362BE"/>
    <w:rsid w:val="00173206"/>
    <w:rsid w:val="00197AD0"/>
    <w:rsid w:val="001A3F09"/>
    <w:rsid w:val="001D0439"/>
    <w:rsid w:val="001F6218"/>
    <w:rsid w:val="00212314"/>
    <w:rsid w:val="00235FBE"/>
    <w:rsid w:val="0024453B"/>
    <w:rsid w:val="00275AC2"/>
    <w:rsid w:val="002A4EF6"/>
    <w:rsid w:val="002E3ED0"/>
    <w:rsid w:val="002F2296"/>
    <w:rsid w:val="00306954"/>
    <w:rsid w:val="00313C9F"/>
    <w:rsid w:val="0034273B"/>
    <w:rsid w:val="00375559"/>
    <w:rsid w:val="0049469C"/>
    <w:rsid w:val="004B3AE0"/>
    <w:rsid w:val="004C169C"/>
    <w:rsid w:val="004D3A1C"/>
    <w:rsid w:val="005212DF"/>
    <w:rsid w:val="00541237"/>
    <w:rsid w:val="005558A8"/>
    <w:rsid w:val="005F5046"/>
    <w:rsid w:val="00601BB8"/>
    <w:rsid w:val="00645B6E"/>
    <w:rsid w:val="006B461D"/>
    <w:rsid w:val="006B6163"/>
    <w:rsid w:val="006C3CD9"/>
    <w:rsid w:val="0071712C"/>
    <w:rsid w:val="00753E74"/>
    <w:rsid w:val="00772783"/>
    <w:rsid w:val="007866B5"/>
    <w:rsid w:val="007B3980"/>
    <w:rsid w:val="007C1A3D"/>
    <w:rsid w:val="007C5259"/>
    <w:rsid w:val="0082071B"/>
    <w:rsid w:val="00820D80"/>
    <w:rsid w:val="00836E56"/>
    <w:rsid w:val="00856ED6"/>
    <w:rsid w:val="00870D18"/>
    <w:rsid w:val="00893D66"/>
    <w:rsid w:val="008C271B"/>
    <w:rsid w:val="008E7FDD"/>
    <w:rsid w:val="008F5CDE"/>
    <w:rsid w:val="0091433A"/>
    <w:rsid w:val="009245A2"/>
    <w:rsid w:val="009A3FD9"/>
    <w:rsid w:val="009C0733"/>
    <w:rsid w:val="009C1AEC"/>
    <w:rsid w:val="009F4A5D"/>
    <w:rsid w:val="009F6D9E"/>
    <w:rsid w:val="00A162B8"/>
    <w:rsid w:val="00A473CC"/>
    <w:rsid w:val="00A57A6E"/>
    <w:rsid w:val="00A7519D"/>
    <w:rsid w:val="00AF705A"/>
    <w:rsid w:val="00B25B5D"/>
    <w:rsid w:val="00B34833"/>
    <w:rsid w:val="00B35551"/>
    <w:rsid w:val="00B56AF4"/>
    <w:rsid w:val="00BE2101"/>
    <w:rsid w:val="00BF4A91"/>
    <w:rsid w:val="00BF6AF8"/>
    <w:rsid w:val="00C40BFF"/>
    <w:rsid w:val="00C84A12"/>
    <w:rsid w:val="00CA166C"/>
    <w:rsid w:val="00CC229D"/>
    <w:rsid w:val="00CE5DD6"/>
    <w:rsid w:val="00CF6712"/>
    <w:rsid w:val="00D0384A"/>
    <w:rsid w:val="00D06B02"/>
    <w:rsid w:val="00D14D75"/>
    <w:rsid w:val="00D35B4F"/>
    <w:rsid w:val="00D82AEC"/>
    <w:rsid w:val="00DF6AD7"/>
    <w:rsid w:val="00E52D40"/>
    <w:rsid w:val="00E63803"/>
    <w:rsid w:val="00E67D47"/>
    <w:rsid w:val="00E85E37"/>
    <w:rsid w:val="00ED41AD"/>
    <w:rsid w:val="00F264B5"/>
    <w:rsid w:val="00F271F7"/>
    <w:rsid w:val="00F51F3A"/>
    <w:rsid w:val="00F662A5"/>
    <w:rsid w:val="00F6712B"/>
    <w:rsid w:val="00FB0E6D"/>
    <w:rsid w:val="00FC32B1"/>
    <w:rsid w:val="02613CE1"/>
    <w:rsid w:val="04864F5B"/>
    <w:rsid w:val="05D65CC1"/>
    <w:rsid w:val="062D2A7C"/>
    <w:rsid w:val="09C000DC"/>
    <w:rsid w:val="0C1500F1"/>
    <w:rsid w:val="0FD151D2"/>
    <w:rsid w:val="108E001D"/>
    <w:rsid w:val="12C1741D"/>
    <w:rsid w:val="149C2139"/>
    <w:rsid w:val="170970F2"/>
    <w:rsid w:val="18FD3968"/>
    <w:rsid w:val="19E8229B"/>
    <w:rsid w:val="1D2E736E"/>
    <w:rsid w:val="2027124A"/>
    <w:rsid w:val="212B15F3"/>
    <w:rsid w:val="24BA3652"/>
    <w:rsid w:val="25932FBA"/>
    <w:rsid w:val="31484CB4"/>
    <w:rsid w:val="31B975B8"/>
    <w:rsid w:val="31C53D97"/>
    <w:rsid w:val="323179C0"/>
    <w:rsid w:val="33A81A94"/>
    <w:rsid w:val="35922E65"/>
    <w:rsid w:val="38B53B3C"/>
    <w:rsid w:val="3B265A6F"/>
    <w:rsid w:val="3BAE4FA2"/>
    <w:rsid w:val="3C192D1D"/>
    <w:rsid w:val="3D2101BA"/>
    <w:rsid w:val="412958BB"/>
    <w:rsid w:val="44305424"/>
    <w:rsid w:val="446D34E7"/>
    <w:rsid w:val="463B2714"/>
    <w:rsid w:val="466E47F5"/>
    <w:rsid w:val="47283163"/>
    <w:rsid w:val="47F12ADF"/>
    <w:rsid w:val="48D8152E"/>
    <w:rsid w:val="497F6D0E"/>
    <w:rsid w:val="4EA91647"/>
    <w:rsid w:val="538C15DC"/>
    <w:rsid w:val="59FD7FEC"/>
    <w:rsid w:val="5F95660E"/>
    <w:rsid w:val="6016063A"/>
    <w:rsid w:val="60F20536"/>
    <w:rsid w:val="60F92279"/>
    <w:rsid w:val="623F5316"/>
    <w:rsid w:val="64D068DB"/>
    <w:rsid w:val="70EA0B4C"/>
    <w:rsid w:val="71BE062D"/>
    <w:rsid w:val="71D76B2D"/>
    <w:rsid w:val="71DC5FCE"/>
    <w:rsid w:val="77DE6F2C"/>
    <w:rsid w:val="7B2B08C2"/>
    <w:rsid w:val="7D200026"/>
    <w:rsid w:val="7EAA15B2"/>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rFonts w:ascii="Times New Roman" w:hAnsi="Times New Roman"/>
      <w:b/>
      <w:bCs/>
      <w:kern w:val="44"/>
      <w:sz w:val="44"/>
      <w:szCs w:val="44"/>
    </w:rPr>
  </w:style>
  <w:style w:type="paragraph" w:styleId="3">
    <w:name w:val="heading 2"/>
    <w:basedOn w:val="1"/>
    <w:next w:val="1"/>
    <w:link w:val="12"/>
    <w:unhideWhenUsed/>
    <w:qFormat/>
    <w:uiPriority w:val="0"/>
    <w:pPr>
      <w:keepNext/>
      <w:keepLines/>
      <w:spacing w:before="260" w:after="260" w:line="416" w:lineRule="auto"/>
      <w:outlineLvl w:val="1"/>
    </w:pPr>
    <w:rPr>
      <w:rFonts w:ascii="Cambria" w:hAnsi="Cambria"/>
      <w:b/>
      <w:bCs/>
      <w:sz w:val="32"/>
      <w:szCs w:val="32"/>
    </w:rPr>
  </w:style>
  <w:style w:type="character" w:default="1" w:styleId="9">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4">
    <w:name w:val="Block Text"/>
    <w:basedOn w:val="1"/>
    <w:qFormat/>
    <w:uiPriority w:val="0"/>
    <w:pPr>
      <w:tabs>
        <w:tab w:val="left" w:pos="8280"/>
      </w:tabs>
      <w:ind w:left="179" w:leftChars="87" w:right="-6" w:firstLine="540" w:firstLineChars="196"/>
      <w:outlineLvl w:val="0"/>
    </w:pPr>
    <w:rPr>
      <w:rFonts w:ascii="宋体" w:hAnsi="宋体"/>
      <w:b/>
      <w:bCs/>
      <w:sz w:val="28"/>
      <w:szCs w:val="24"/>
    </w:rPr>
  </w:style>
  <w:style w:type="paragraph" w:styleId="5">
    <w:name w:val="Plain Text"/>
    <w:basedOn w:val="1"/>
    <w:qFormat/>
    <w:uiPriority w:val="0"/>
    <w:rPr>
      <w:rFonts w:ascii="宋体" w:hAnsi="Courier New" w:cs="Courier New"/>
      <w:szCs w:val="21"/>
    </w:rPr>
  </w:style>
  <w:style w:type="paragraph" w:styleId="6">
    <w:name w:val="Balloon Text"/>
    <w:basedOn w:val="1"/>
    <w:link w:val="16"/>
    <w:qFormat/>
    <w:uiPriority w:val="0"/>
    <w:rPr>
      <w:sz w:val="18"/>
      <w:szCs w:val="18"/>
    </w:rPr>
  </w:style>
  <w:style w:type="paragraph" w:styleId="7">
    <w:name w:val="footer"/>
    <w:basedOn w:val="1"/>
    <w:link w:val="17"/>
    <w:qFormat/>
    <w:uiPriority w:val="99"/>
    <w:pPr>
      <w:tabs>
        <w:tab w:val="center" w:pos="4153"/>
        <w:tab w:val="right" w:pos="8306"/>
      </w:tabs>
      <w:snapToGrid w:val="0"/>
      <w:jc w:val="left"/>
    </w:pPr>
    <w:rPr>
      <w:rFonts w:ascii="Times New Roman" w:hAnsi="Times New Roman"/>
      <w:sz w:val="18"/>
      <w:szCs w:val="18"/>
    </w:rPr>
  </w:style>
  <w:style w:type="paragraph" w:styleId="8">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character" w:styleId="10">
    <w:name w:val="page number"/>
    <w:basedOn w:val="9"/>
    <w:qFormat/>
    <w:uiPriority w:val="0"/>
    <w:rPr>
      <w:rFonts w:ascii="Tahoma" w:hAnsi="Tahoma" w:eastAsia="宋体"/>
      <w:kern w:val="2"/>
      <w:sz w:val="24"/>
      <w:szCs w:val="24"/>
      <w:lang w:val="en-US" w:eastAsia="zh-CN" w:bidi="ar-SA"/>
    </w:rPr>
  </w:style>
  <w:style w:type="character" w:customStyle="1" w:styleId="12">
    <w:name w:val="标题 2 Char"/>
    <w:basedOn w:val="9"/>
    <w:link w:val="3"/>
    <w:qFormat/>
    <w:uiPriority w:val="9"/>
    <w:rPr>
      <w:rFonts w:ascii="Cambria" w:hAnsi="Cambria"/>
      <w:b/>
      <w:bCs/>
      <w:sz w:val="32"/>
      <w:szCs w:val="32"/>
    </w:rPr>
  </w:style>
  <w:style w:type="paragraph" w:customStyle="1" w:styleId="13">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4">
    <w:name w:val="_Style 3"/>
    <w:basedOn w:val="1"/>
    <w:qFormat/>
    <w:uiPriority w:val="34"/>
    <w:pPr>
      <w:ind w:firstLine="420" w:firstLineChars="200"/>
    </w:pPr>
  </w:style>
  <w:style w:type="character" w:customStyle="1" w:styleId="15">
    <w:name w:val="页眉 Char"/>
    <w:basedOn w:val="9"/>
    <w:link w:val="8"/>
    <w:qFormat/>
    <w:uiPriority w:val="0"/>
    <w:rPr>
      <w:rFonts w:ascii="Calibri" w:hAnsi="Calibri" w:eastAsia="宋体" w:cs="Times New Roman"/>
      <w:kern w:val="2"/>
      <w:sz w:val="18"/>
      <w:szCs w:val="18"/>
    </w:rPr>
  </w:style>
  <w:style w:type="character" w:customStyle="1" w:styleId="16">
    <w:name w:val="批注框文本 Char"/>
    <w:basedOn w:val="9"/>
    <w:link w:val="6"/>
    <w:qFormat/>
    <w:uiPriority w:val="0"/>
    <w:rPr>
      <w:rFonts w:ascii="Calibri" w:hAnsi="Calibri" w:eastAsia="宋体" w:cs="Times New Roman"/>
      <w:kern w:val="2"/>
      <w:sz w:val="18"/>
      <w:szCs w:val="18"/>
    </w:rPr>
  </w:style>
  <w:style w:type="character" w:customStyle="1" w:styleId="17">
    <w:name w:val="页脚 Char"/>
    <w:basedOn w:val="9"/>
    <w:link w:val="7"/>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3569A1-3369-47F5-A4CC-E3F60ADE0C05}">
  <ds:schemaRefs/>
</ds:datastoreItem>
</file>

<file path=docProps/app.xml><?xml version="1.0" encoding="utf-8"?>
<Properties xmlns="http://schemas.openxmlformats.org/officeDocument/2006/extended-properties" xmlns:vt="http://schemas.openxmlformats.org/officeDocument/2006/docPropsVTypes">
  <Template>Normal</Template>
  <Pages>21</Pages>
  <Words>1216</Words>
  <Characters>6933</Characters>
  <Lines>57</Lines>
  <Paragraphs>16</Paragraphs>
  <TotalTime>0</TotalTime>
  <ScaleCrop>false</ScaleCrop>
  <LinksUpToDate>false</LinksUpToDate>
  <CharactersWithSpaces>8133</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2024-01-31T02:28:00Z</dcterms:created>
  <dc:creator>Administrator</dc:creator>
  <cp:lastModifiedBy>1</cp:lastModifiedBy>
  <cp:lastPrinted>2024-01-30T07:59:00Z</cp:lastPrinted>
  <dcterms:modified xsi:type="dcterms:W3CDTF">2024-01-31T06:21:54Z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