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600" w:lineRule="exact"/>
        <w:jc w:val="left"/>
        <w:textAlignment w:val="auto"/>
        <w:rPr>
          <w:rFonts w:hint="default"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附件6</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kern w:val="0"/>
          <w:sz w:val="36"/>
          <w:szCs w:val="36"/>
          <w:highlight w:val="none"/>
          <w:u w:val="none"/>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kern w:val="0"/>
          <w:sz w:val="36"/>
          <w:szCs w:val="36"/>
          <w:highlight w:val="none"/>
          <w:u w:val="none"/>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kern w:val="0"/>
          <w:sz w:val="36"/>
          <w:szCs w:val="36"/>
          <w:highlight w:val="none"/>
          <w:u w:val="none"/>
        </w:rPr>
      </w:pPr>
      <w:r>
        <w:rPr>
          <w:rFonts w:hint="eastAsia" w:ascii="方正小标宋简体" w:hAnsi="方正小标宋简体" w:eastAsia="方正小标宋简体" w:cs="方正小标宋简体"/>
          <w:color w:val="auto"/>
          <w:kern w:val="0"/>
          <w:sz w:val="36"/>
          <w:szCs w:val="36"/>
          <w:highlight w:val="none"/>
          <w:u w:val="none"/>
        </w:rPr>
        <w:t>农业经营主体能力提升资金分配测算方法及标准</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cs="宋体"/>
          <w:color w:val="auto"/>
          <w:kern w:val="0"/>
          <w:sz w:val="30"/>
          <w:szCs w:val="30"/>
          <w:highlight w:val="none"/>
          <w:u w:val="none"/>
        </w:rPr>
      </w:pPr>
      <w:r>
        <w:rPr>
          <w:rFonts w:cs="Calibri"/>
          <w:color w:val="auto"/>
          <w:kern w:val="0"/>
          <w:sz w:val="30"/>
          <w:szCs w:val="30"/>
          <w:highlight w:val="none"/>
          <w:u w:val="none"/>
        </w:rPr>
        <w:t>             </w:t>
      </w:r>
      <w:r>
        <w:rPr>
          <w:rFonts w:hint="eastAsia" w:ascii="宋体" w:hAnsi="宋体" w:cs="宋体"/>
          <w:b/>
          <w:bCs/>
          <w:color w:val="auto"/>
          <w:kern w:val="0"/>
          <w:sz w:val="30"/>
          <w:szCs w:val="30"/>
          <w:highlight w:val="none"/>
          <w:u w:val="none"/>
        </w:rPr>
        <w:t>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方正仿宋_GBK" w:hAnsi="方正仿宋_GBK" w:eastAsia="方正仿宋_GBK" w:cs="方正仿宋_GBK"/>
          <w:b/>
          <w:bCs/>
          <w:color w:val="auto"/>
          <w:kern w:val="0"/>
          <w:sz w:val="32"/>
          <w:szCs w:val="32"/>
          <w:highlight w:val="none"/>
          <w:u w:val="none"/>
        </w:rPr>
        <w:t>——</w:t>
      </w:r>
      <w:r>
        <w:rPr>
          <w:rFonts w:hint="eastAsia" w:ascii="仿宋_GB2312" w:hAnsi="仿宋_GB2312" w:eastAsia="仿宋_GB2312" w:cs="仿宋_GB2312"/>
          <w:b/>
          <w:bCs/>
          <w:color w:val="auto"/>
          <w:kern w:val="0"/>
          <w:sz w:val="32"/>
          <w:szCs w:val="32"/>
          <w:highlight w:val="none"/>
          <w:u w:val="none"/>
          <w:lang w:eastAsia="zh-CN"/>
        </w:rPr>
        <w:t>新型农业经营主体培育支出</w:t>
      </w:r>
      <w:r>
        <w:rPr>
          <w:rFonts w:hint="eastAsia" w:ascii="仿宋_GB2312" w:hAnsi="仿宋_GB2312" w:eastAsia="仿宋_GB2312" w:cs="仿宋_GB2312"/>
          <w:b/>
          <w:bCs/>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主要根据基础</w:t>
      </w:r>
      <w:r>
        <w:rPr>
          <w:rFonts w:hint="eastAsia" w:ascii="仿宋_GB2312" w:hAnsi="仿宋_GB2312" w:eastAsia="仿宋_GB2312" w:cs="仿宋_GB2312"/>
          <w:color w:val="auto"/>
          <w:kern w:val="0"/>
          <w:sz w:val="32"/>
          <w:szCs w:val="32"/>
          <w:highlight w:val="none"/>
          <w:u w:val="none"/>
          <w:lang w:eastAsia="zh-CN"/>
        </w:rPr>
        <w:t>因素</w:t>
      </w:r>
      <w:r>
        <w:rPr>
          <w:rFonts w:hint="eastAsia" w:ascii="仿宋_GB2312" w:hAnsi="仿宋_GB2312" w:eastAsia="仿宋_GB2312" w:cs="仿宋_GB2312"/>
          <w:color w:val="auto"/>
          <w:kern w:val="0"/>
          <w:sz w:val="32"/>
          <w:szCs w:val="32"/>
          <w:highlight w:val="none"/>
          <w:u w:val="none"/>
        </w:rPr>
        <w:t>（40%）、任务</w:t>
      </w:r>
      <w:r>
        <w:rPr>
          <w:rFonts w:hint="eastAsia" w:ascii="仿宋_GB2312" w:hAnsi="仿宋_GB2312" w:eastAsia="仿宋_GB2312" w:cs="仿宋_GB2312"/>
          <w:color w:val="auto"/>
          <w:kern w:val="0"/>
          <w:sz w:val="32"/>
          <w:szCs w:val="32"/>
          <w:highlight w:val="none"/>
          <w:u w:val="none"/>
          <w:lang w:eastAsia="zh-CN"/>
        </w:rPr>
        <w:t>因素</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%）测算。其中基础因素包括粮食产量、农作物播种面积、农林牧渔业产值</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棚室面积</w:t>
      </w:r>
      <w:r>
        <w:rPr>
          <w:rFonts w:hint="eastAsia" w:ascii="仿宋_GB2312" w:hAnsi="宋体" w:eastAsia="仿宋_GB2312" w:cs="宋体"/>
          <w:color w:val="auto"/>
          <w:kern w:val="0"/>
          <w:sz w:val="32"/>
          <w:szCs w:val="32"/>
          <w:highlight w:val="none"/>
          <w:u w:val="none"/>
          <w:lang w:val="en-US" w:eastAsia="zh-CN"/>
        </w:rPr>
        <w:t>、经济作物产量、</w:t>
      </w:r>
      <w:r>
        <w:rPr>
          <w:rFonts w:hint="eastAsia" w:ascii="仿宋_GB2312" w:hAnsi="仿宋_GB2312" w:eastAsia="仿宋_GB2312" w:cs="仿宋_GB2312"/>
          <w:color w:val="auto"/>
          <w:kern w:val="0"/>
          <w:sz w:val="32"/>
          <w:szCs w:val="32"/>
          <w:highlight w:val="none"/>
          <w:u w:val="none"/>
          <w:lang w:eastAsia="zh-CN"/>
        </w:rPr>
        <w:t>有关农作物面积及产量</w:t>
      </w:r>
      <w:r>
        <w:rPr>
          <w:rFonts w:hint="eastAsia" w:ascii="仿宋_GB2312" w:hAnsi="仿宋_GB2312" w:eastAsia="仿宋_GB2312" w:cs="仿宋_GB2312"/>
          <w:color w:val="auto"/>
          <w:kern w:val="0"/>
          <w:sz w:val="32"/>
          <w:szCs w:val="32"/>
          <w:highlight w:val="none"/>
          <w:u w:val="none"/>
        </w:rPr>
        <w:t>等；任务因素包括新型农业经营主体数量</w:t>
      </w:r>
      <w:r>
        <w:rPr>
          <w:rFonts w:hint="eastAsia" w:ascii="仿宋_GB2312" w:hAnsi="仿宋_GB2312" w:eastAsia="仿宋_GB2312" w:cs="仿宋_GB2312"/>
          <w:color w:val="auto"/>
          <w:kern w:val="0"/>
          <w:sz w:val="32"/>
          <w:szCs w:val="32"/>
          <w:highlight w:val="none"/>
          <w:u w:val="none"/>
          <w:lang w:eastAsia="zh-CN"/>
        </w:rPr>
        <w:t>、县级及以上示范家庭农场数量、县级及以上农民合作社示范社数量、农民合作社质量提升整县推进试点县农民合作社数量、家庭农场示范县家庭农场数量</w:t>
      </w:r>
      <w:r>
        <w:rPr>
          <w:rFonts w:hint="eastAsia" w:ascii="仿宋_GB2312" w:hAnsi="仿宋_GB2312" w:eastAsia="仿宋_GB2312" w:cs="仿宋_GB2312"/>
          <w:color w:val="auto"/>
          <w:kern w:val="0"/>
          <w:sz w:val="32"/>
          <w:szCs w:val="32"/>
          <w:highlight w:val="none"/>
          <w:u w:val="none"/>
        </w:rPr>
        <w:t>等</w:t>
      </w:r>
      <w:r>
        <w:rPr>
          <w:rFonts w:hint="eastAsia" w:ascii="仿宋_GB2312" w:hAnsi="仿宋_GB2312" w:eastAsia="仿宋_GB2312" w:cs="仿宋_GB2312"/>
          <w:color w:val="auto"/>
          <w:kern w:val="0"/>
          <w:sz w:val="32"/>
          <w:szCs w:val="32"/>
          <w:highlight w:val="none"/>
          <w:u w:val="none"/>
          <w:lang w:eastAsia="zh-CN"/>
        </w:rPr>
        <w:t>，对党中央、国务院部署的特定事项、试点任务（绿色种养循环），实行定额补助”</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u w:val="none"/>
          <w:lang w:eastAsia="zh-CN"/>
        </w:rPr>
      </w:pPr>
      <w:r>
        <w:rPr>
          <w:rFonts w:hint="eastAsia" w:ascii="仿宋_GB2312" w:hAnsi="仿宋_GB2312" w:eastAsia="仿宋_GB2312" w:cs="仿宋_GB2312"/>
          <w:b/>
          <w:bCs/>
          <w:color w:val="auto"/>
          <w:kern w:val="0"/>
          <w:sz w:val="32"/>
          <w:szCs w:val="32"/>
          <w:highlight w:val="none"/>
          <w:u w:val="none"/>
        </w:rPr>
        <w:t>计算方法：</w:t>
      </w:r>
      <w:r>
        <w:rPr>
          <w:rFonts w:hint="eastAsia" w:ascii="仿宋_GB2312" w:hAnsi="仿宋_GB2312" w:eastAsia="仿宋_GB2312" w:cs="仿宋_GB2312"/>
          <w:b/>
          <w:bCs/>
          <w:color w:val="auto"/>
          <w:kern w:val="0"/>
          <w:sz w:val="32"/>
          <w:szCs w:val="32"/>
          <w:highlight w:val="none"/>
          <w:u w:val="none"/>
          <w:lang w:val="en"/>
        </w:rPr>
        <w:t>补助经费</w:t>
      </w:r>
      <w:r>
        <w:rPr>
          <w:rFonts w:hint="eastAsia" w:ascii="仿宋_GB2312" w:hAnsi="仿宋_GB2312" w:eastAsia="仿宋_GB2312" w:cs="仿宋_GB2312"/>
          <w:b w:val="0"/>
          <w:bCs w:val="0"/>
          <w:color w:val="auto"/>
          <w:kern w:val="0"/>
          <w:sz w:val="32"/>
          <w:szCs w:val="32"/>
          <w:highlight w:val="none"/>
          <w:u w:val="none"/>
          <w:lang w:val="en"/>
        </w:rPr>
        <w:t>=</w:t>
      </w:r>
      <w:r>
        <w:rPr>
          <w:rFonts w:hint="eastAsia" w:ascii="仿宋_GB2312" w:hAnsi="仿宋_GB2312" w:eastAsia="仿宋_GB2312" w:cs="仿宋_GB2312"/>
          <w:color w:val="auto"/>
          <w:kern w:val="0"/>
          <w:sz w:val="32"/>
          <w:szCs w:val="32"/>
          <w:highlight w:val="none"/>
          <w:u w:val="none"/>
        </w:rPr>
        <w:t>新型农业经营主体培育支出</w:t>
      </w:r>
      <w:r>
        <w:rPr>
          <w:rFonts w:hint="eastAsia" w:ascii="仿宋_GB2312" w:hAnsi="仿宋_GB2312" w:eastAsia="仿宋_GB2312" w:cs="仿宋_GB2312"/>
          <w:color w:val="auto"/>
          <w:kern w:val="0"/>
          <w:sz w:val="32"/>
          <w:szCs w:val="32"/>
          <w:highlight w:val="none"/>
          <w:u w:val="none"/>
          <w:lang w:val="en"/>
        </w:rPr>
        <w:t>资金规模×（</w:t>
      </w:r>
      <w:r>
        <w:rPr>
          <w:rFonts w:hint="eastAsia" w:ascii="仿宋_GB2312" w:hAnsi="仿宋_GB2312" w:eastAsia="仿宋_GB2312" w:cs="仿宋_GB2312"/>
          <w:color w:val="auto"/>
          <w:kern w:val="0"/>
          <w:sz w:val="32"/>
          <w:szCs w:val="32"/>
          <w:highlight w:val="none"/>
          <w:u w:val="none"/>
        </w:rPr>
        <w:t>基础因素×40%+任务因素×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kern w:val="0"/>
          <w:sz w:val="32"/>
          <w:szCs w:val="32"/>
          <w:highlight w:val="none"/>
          <w:u w:val="none"/>
        </w:rPr>
      </w:pPr>
      <w:r>
        <w:rPr>
          <w:rFonts w:hint="eastAsia" w:ascii="方正仿宋_GBK" w:hAnsi="方正仿宋_GBK" w:eastAsia="方正仿宋_GBK" w:cs="方正仿宋_GBK"/>
          <w:b/>
          <w:bCs/>
          <w:color w:val="auto"/>
          <w:kern w:val="0"/>
          <w:sz w:val="32"/>
          <w:szCs w:val="32"/>
          <w:highlight w:val="none"/>
          <w:u w:val="none"/>
        </w:rPr>
        <w:t>——</w:t>
      </w:r>
      <w:r>
        <w:rPr>
          <w:rFonts w:hint="eastAsia" w:ascii="仿宋_GB2312" w:hAnsi="宋体" w:eastAsia="仿宋_GB2312" w:cs="宋体"/>
          <w:b w:val="0"/>
          <w:bCs w:val="0"/>
          <w:color w:val="auto"/>
          <w:kern w:val="0"/>
          <w:sz w:val="32"/>
          <w:szCs w:val="32"/>
          <w:highlight w:val="none"/>
          <w:u w:val="none"/>
          <w:lang w:val="en-US" w:eastAsia="zh-CN"/>
        </w:rPr>
        <w:t>设施园艺发展建设补助。</w:t>
      </w:r>
      <w:r>
        <w:rPr>
          <w:rFonts w:hint="eastAsia" w:ascii="仿宋_GB2312" w:hAnsi="仿宋_GB2312" w:eastAsia="仿宋_GB2312" w:cs="仿宋_GB2312"/>
          <w:color w:val="auto"/>
          <w:kern w:val="0"/>
          <w:sz w:val="32"/>
          <w:szCs w:val="32"/>
          <w:highlight w:val="none"/>
          <w:u w:val="none"/>
        </w:rPr>
        <w:t>主要采用因素法</w:t>
      </w:r>
      <w:r>
        <w:rPr>
          <w:rFonts w:hint="eastAsia" w:ascii="仿宋_GB2312" w:hAnsi="仿宋_GB2312" w:eastAsia="仿宋_GB2312" w:cs="仿宋_GB2312"/>
          <w:color w:val="auto"/>
          <w:kern w:val="0"/>
          <w:sz w:val="32"/>
          <w:szCs w:val="32"/>
          <w:highlight w:val="none"/>
          <w:u w:val="none"/>
          <w:lang w:val="en-US" w:eastAsia="zh-CN"/>
        </w:rPr>
        <w:t>初步</w:t>
      </w:r>
      <w:r>
        <w:rPr>
          <w:rFonts w:hint="eastAsia" w:ascii="仿宋_GB2312" w:hAnsi="仿宋_GB2312" w:eastAsia="仿宋_GB2312" w:cs="仿宋_GB2312"/>
          <w:color w:val="auto"/>
          <w:kern w:val="0"/>
          <w:sz w:val="32"/>
          <w:szCs w:val="32"/>
          <w:highlight w:val="none"/>
          <w:u w:val="none"/>
        </w:rPr>
        <w:t>分配，包括基础因素（</w:t>
      </w:r>
      <w:r>
        <w:rPr>
          <w:rFonts w:hint="eastAsia" w:ascii="仿宋_GB2312" w:hAnsi="仿宋_GB2312" w:eastAsia="仿宋_GB2312" w:cs="仿宋_GB2312"/>
          <w:color w:val="auto"/>
          <w:kern w:val="0"/>
          <w:sz w:val="32"/>
          <w:szCs w:val="32"/>
          <w:highlight w:val="none"/>
          <w:u w:val="none"/>
          <w:lang w:val="en-US" w:eastAsia="zh-CN"/>
        </w:rPr>
        <w:t>40</w:t>
      </w:r>
      <w:r>
        <w:rPr>
          <w:rFonts w:hint="eastAsia" w:ascii="仿宋_GB2312" w:hAnsi="仿宋_GB2312" w:eastAsia="仿宋_GB2312" w:cs="仿宋_GB2312"/>
          <w:color w:val="auto"/>
          <w:kern w:val="0"/>
          <w:sz w:val="32"/>
          <w:szCs w:val="32"/>
          <w:highlight w:val="none"/>
          <w:u w:val="none"/>
        </w:rPr>
        <w:t>%）、任务因素（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%）。其中基础因素包括粮食产量、农作物播种面积、</w:t>
      </w:r>
      <w:r>
        <w:rPr>
          <w:rFonts w:hint="eastAsia" w:ascii="仿宋_GB2312" w:hAnsi="宋体" w:eastAsia="仿宋_GB2312" w:cs="宋体"/>
          <w:color w:val="auto"/>
          <w:kern w:val="0"/>
          <w:sz w:val="32"/>
          <w:szCs w:val="32"/>
          <w:highlight w:val="none"/>
          <w:u w:val="none"/>
          <w:lang w:val="en-US" w:eastAsia="zh-CN"/>
        </w:rPr>
        <w:t>棚室面积、经济作物产量、</w:t>
      </w:r>
      <w:r>
        <w:rPr>
          <w:rFonts w:hint="eastAsia" w:ascii="仿宋_GB2312" w:hAnsi="仿宋_GB2312" w:eastAsia="仿宋_GB2312" w:cs="仿宋_GB2312"/>
          <w:color w:val="auto"/>
          <w:kern w:val="0"/>
          <w:sz w:val="32"/>
          <w:szCs w:val="32"/>
          <w:highlight w:val="none"/>
          <w:u w:val="none"/>
        </w:rPr>
        <w:t>农林牧渔业产值等；任务因素包括</w:t>
      </w:r>
      <w:r>
        <w:rPr>
          <w:rFonts w:hint="eastAsia" w:ascii="仿宋_GB2312" w:hAnsi="仿宋_GB2312" w:eastAsia="仿宋_GB2312" w:cs="仿宋_GB2312"/>
          <w:color w:val="auto"/>
          <w:kern w:val="0"/>
          <w:sz w:val="32"/>
          <w:szCs w:val="32"/>
          <w:highlight w:val="none"/>
          <w:u w:val="none"/>
          <w:lang w:val="en-US" w:eastAsia="zh-CN"/>
        </w:rPr>
        <w:t>升级改造园区的</w:t>
      </w:r>
      <w:r>
        <w:rPr>
          <w:rFonts w:hint="eastAsia" w:ascii="仿宋_GB2312" w:hAnsi="仿宋_GB2312" w:eastAsia="仿宋_GB2312" w:cs="仿宋_GB2312"/>
          <w:color w:val="auto"/>
          <w:kern w:val="0"/>
          <w:sz w:val="32"/>
          <w:szCs w:val="32"/>
          <w:highlight w:val="none"/>
          <w:u w:val="none"/>
        </w:rPr>
        <w:t>数量</w:t>
      </w:r>
      <w:r>
        <w:rPr>
          <w:rFonts w:hint="eastAsia" w:ascii="仿宋_GB2312" w:hAnsi="仿宋_GB2312" w:eastAsia="仿宋_GB2312" w:cs="仿宋_GB2312"/>
          <w:color w:val="auto"/>
          <w:kern w:val="0"/>
          <w:sz w:val="32"/>
          <w:szCs w:val="32"/>
          <w:highlight w:val="none"/>
          <w:u w:val="none"/>
          <w:lang w:eastAsia="zh-CN"/>
        </w:rPr>
        <w:t>和面积</w:t>
      </w:r>
      <w:r>
        <w:rPr>
          <w:rFonts w:hint="eastAsia" w:ascii="仿宋_GB2312" w:hAnsi="仿宋_GB2312" w:eastAsia="仿宋_GB2312" w:cs="仿宋_GB2312"/>
          <w:color w:val="auto"/>
          <w:kern w:val="0"/>
          <w:sz w:val="32"/>
          <w:szCs w:val="32"/>
          <w:highlight w:val="none"/>
          <w:u w:val="none"/>
        </w:rPr>
        <w:t>等。</w:t>
      </w:r>
      <w:r>
        <w:rPr>
          <w:rFonts w:hint="eastAsia" w:ascii="仿宋_GB2312" w:hAnsi="仿宋_GB2312" w:eastAsia="仿宋_GB2312" w:cs="仿宋_GB2312"/>
          <w:color w:val="auto"/>
          <w:kern w:val="0"/>
          <w:sz w:val="32"/>
          <w:szCs w:val="32"/>
          <w:highlight w:val="none"/>
          <w:u w:val="none"/>
          <w:lang w:val="en-US" w:eastAsia="zh-CN"/>
        </w:rPr>
        <w:t>年底验收后，根据实际进行调整，</w:t>
      </w:r>
      <w:r>
        <w:rPr>
          <w:rFonts w:hint="eastAsia" w:ascii="仿宋_GB2312" w:hAnsi="仿宋_GB2312" w:eastAsia="仿宋_GB2312" w:cs="仿宋_GB2312"/>
          <w:color w:val="auto"/>
          <w:kern w:val="0"/>
          <w:sz w:val="32"/>
          <w:szCs w:val="32"/>
          <w:highlight w:val="none"/>
          <w:u w:val="none"/>
          <w:lang w:eastAsia="zh-CN"/>
        </w:rPr>
        <w:t>对测算后资金安排超过实际需求的市县，对超额部分进行扣减，按比例用于弥补有缺口的市县资金需求。年度中根据市县实际情况进行动态调整。</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b/>
          <w:bCs/>
          <w:color w:val="auto"/>
          <w:kern w:val="0"/>
          <w:sz w:val="32"/>
          <w:szCs w:val="32"/>
          <w:highlight w:val="none"/>
          <w:u w:val="none"/>
        </w:rPr>
        <w:t>计算方法：</w:t>
      </w:r>
      <w:r>
        <w:rPr>
          <w:rFonts w:hint="eastAsia" w:ascii="仿宋_GB2312" w:hAnsi="仿宋_GB2312" w:eastAsia="仿宋_GB2312" w:cs="仿宋_GB2312"/>
          <w:b/>
          <w:bCs/>
          <w:color w:val="auto"/>
          <w:kern w:val="0"/>
          <w:sz w:val="32"/>
          <w:szCs w:val="32"/>
          <w:highlight w:val="none"/>
          <w:u w:val="none"/>
          <w:lang w:val="en"/>
        </w:rPr>
        <w:t>补助经费</w:t>
      </w:r>
      <w:r>
        <w:rPr>
          <w:rFonts w:hint="eastAsia" w:ascii="仿宋_GB2312" w:hAnsi="仿宋_GB2312" w:eastAsia="仿宋_GB2312" w:cs="仿宋_GB2312"/>
          <w:b w:val="0"/>
          <w:bCs w:val="0"/>
          <w:color w:val="auto"/>
          <w:kern w:val="0"/>
          <w:sz w:val="32"/>
          <w:szCs w:val="32"/>
          <w:highlight w:val="none"/>
          <w:u w:val="none"/>
          <w:lang w:val="en"/>
        </w:rPr>
        <w:t>=</w:t>
      </w:r>
      <w:r>
        <w:rPr>
          <w:rFonts w:hint="eastAsia" w:ascii="仿宋_GB2312" w:hAnsi="仿宋_GB2312" w:eastAsia="仿宋_GB2312" w:cs="仿宋_GB2312"/>
          <w:color w:val="auto"/>
          <w:kern w:val="0"/>
          <w:sz w:val="32"/>
          <w:szCs w:val="32"/>
          <w:highlight w:val="none"/>
          <w:u w:val="none"/>
          <w:lang w:val="en-US" w:eastAsia="zh-CN"/>
        </w:rPr>
        <w:t>改善新型农业主体生产设施水平</w:t>
      </w:r>
      <w:r>
        <w:rPr>
          <w:rFonts w:hint="eastAsia" w:ascii="仿宋_GB2312" w:hAnsi="仿宋_GB2312" w:eastAsia="仿宋_GB2312" w:cs="仿宋_GB2312"/>
          <w:color w:val="auto"/>
          <w:kern w:val="0"/>
          <w:sz w:val="32"/>
          <w:szCs w:val="32"/>
          <w:highlight w:val="none"/>
          <w:u w:val="none"/>
        </w:rPr>
        <w:t>支出</w:t>
      </w:r>
      <w:r>
        <w:rPr>
          <w:rFonts w:hint="eastAsia" w:ascii="仿宋_GB2312" w:hAnsi="仿宋_GB2312" w:eastAsia="仿宋_GB2312" w:cs="仿宋_GB2312"/>
          <w:color w:val="auto"/>
          <w:kern w:val="0"/>
          <w:sz w:val="32"/>
          <w:szCs w:val="32"/>
          <w:highlight w:val="none"/>
          <w:u w:val="none"/>
          <w:lang w:eastAsia="zh-CN"/>
        </w:rPr>
        <w:t>资金规模</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基础因素×40%+任务因素×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宋体" w:eastAsia="仿宋_GB2312" w:cs="宋体"/>
          <w:b w:val="0"/>
          <w:bCs w:val="0"/>
          <w:color w:val="auto"/>
          <w:kern w:val="0"/>
          <w:sz w:val="32"/>
          <w:szCs w:val="32"/>
          <w:highlight w:val="none"/>
          <w:u w:val="none"/>
          <w:lang w:eastAsia="zh-CN"/>
        </w:rPr>
        <w:t>（</w:t>
      </w:r>
      <w:r>
        <w:rPr>
          <w:rFonts w:hint="eastAsia" w:ascii="仿宋_GB2312" w:hAnsi="宋体" w:eastAsia="仿宋_GB2312" w:cs="宋体"/>
          <w:b w:val="0"/>
          <w:bCs w:val="0"/>
          <w:color w:val="auto"/>
          <w:kern w:val="0"/>
          <w:sz w:val="32"/>
          <w:szCs w:val="32"/>
          <w:highlight w:val="none"/>
          <w:u w:val="none"/>
          <w:lang w:val="en-US" w:eastAsia="zh-CN"/>
        </w:rPr>
        <w:t>七</w:t>
      </w:r>
      <w:r>
        <w:rPr>
          <w:rFonts w:hint="eastAsia" w:ascii="仿宋_GB2312" w:hAnsi="宋体" w:eastAsia="仿宋_GB2312" w:cs="宋体"/>
          <w:b w:val="0"/>
          <w:bCs w:val="0"/>
          <w:color w:val="auto"/>
          <w:kern w:val="0"/>
          <w:sz w:val="32"/>
          <w:szCs w:val="32"/>
          <w:highlight w:val="none"/>
          <w:u w:val="none"/>
          <w:lang w:eastAsia="zh-CN"/>
        </w:rPr>
        <w:t>）</w:t>
      </w:r>
      <w:r>
        <w:rPr>
          <w:rFonts w:hint="eastAsia" w:ascii="仿宋_GB2312" w:hAnsi="宋体" w:eastAsia="仿宋_GB2312" w:cs="宋体"/>
          <w:b w:val="0"/>
          <w:bCs w:val="0"/>
          <w:color w:val="auto"/>
          <w:kern w:val="0"/>
          <w:sz w:val="32"/>
          <w:szCs w:val="32"/>
          <w:highlight w:val="none"/>
          <w:u w:val="none"/>
          <w:lang w:val="en-US" w:eastAsia="zh-CN"/>
        </w:rPr>
        <w:t>设施园艺贷款贴息。</w:t>
      </w:r>
      <w:r>
        <w:rPr>
          <w:rFonts w:hint="eastAsia" w:ascii="仿宋_GB2312" w:hAnsi="仿宋_GB2312" w:eastAsia="仿宋_GB2312" w:cs="仿宋_GB2312"/>
          <w:color w:val="auto"/>
          <w:kern w:val="0"/>
          <w:sz w:val="32"/>
          <w:szCs w:val="32"/>
          <w:highlight w:val="none"/>
          <w:u w:val="none"/>
        </w:rPr>
        <w:t>主要采用因素法</w:t>
      </w:r>
      <w:r>
        <w:rPr>
          <w:rFonts w:hint="eastAsia" w:ascii="仿宋_GB2312" w:hAnsi="仿宋_GB2312" w:eastAsia="仿宋_GB2312" w:cs="仿宋_GB2312"/>
          <w:color w:val="auto"/>
          <w:kern w:val="0"/>
          <w:sz w:val="32"/>
          <w:szCs w:val="32"/>
          <w:highlight w:val="none"/>
          <w:u w:val="none"/>
          <w:lang w:val="en-US" w:eastAsia="zh-CN"/>
        </w:rPr>
        <w:t>初步</w:t>
      </w:r>
      <w:r>
        <w:rPr>
          <w:rFonts w:hint="eastAsia" w:ascii="仿宋_GB2312" w:hAnsi="仿宋_GB2312" w:eastAsia="仿宋_GB2312" w:cs="仿宋_GB2312"/>
          <w:color w:val="auto"/>
          <w:kern w:val="0"/>
          <w:sz w:val="32"/>
          <w:szCs w:val="32"/>
          <w:highlight w:val="none"/>
          <w:u w:val="none"/>
        </w:rPr>
        <w:t>分配，包括基础因素（</w:t>
      </w:r>
      <w:r>
        <w:rPr>
          <w:rFonts w:hint="eastAsia" w:ascii="仿宋_GB2312" w:hAnsi="仿宋_GB2312" w:eastAsia="仿宋_GB2312" w:cs="仿宋_GB2312"/>
          <w:color w:val="auto"/>
          <w:kern w:val="0"/>
          <w:sz w:val="32"/>
          <w:szCs w:val="32"/>
          <w:highlight w:val="none"/>
          <w:u w:val="none"/>
          <w:lang w:val="en-US" w:eastAsia="zh-CN"/>
        </w:rPr>
        <w:t>40</w:t>
      </w:r>
      <w:r>
        <w:rPr>
          <w:rFonts w:hint="eastAsia" w:ascii="仿宋_GB2312" w:hAnsi="仿宋_GB2312" w:eastAsia="仿宋_GB2312" w:cs="仿宋_GB2312"/>
          <w:color w:val="auto"/>
          <w:kern w:val="0"/>
          <w:sz w:val="32"/>
          <w:szCs w:val="32"/>
          <w:highlight w:val="none"/>
          <w:u w:val="none"/>
        </w:rPr>
        <w:t>%）、任务因素（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%）。其中基础因素包括粮食产量、农作物播种面积、</w:t>
      </w:r>
      <w:r>
        <w:rPr>
          <w:rFonts w:hint="eastAsia" w:ascii="仿宋_GB2312" w:hAnsi="宋体" w:eastAsia="仿宋_GB2312" w:cs="宋体"/>
          <w:color w:val="auto"/>
          <w:kern w:val="0"/>
          <w:sz w:val="32"/>
          <w:szCs w:val="32"/>
          <w:highlight w:val="none"/>
          <w:u w:val="none"/>
          <w:lang w:val="en-US" w:eastAsia="zh-CN"/>
        </w:rPr>
        <w:t>棚室面积、经济作物产量、</w:t>
      </w:r>
      <w:r>
        <w:rPr>
          <w:rFonts w:hint="eastAsia" w:ascii="仿宋_GB2312" w:hAnsi="仿宋_GB2312" w:eastAsia="仿宋_GB2312" w:cs="仿宋_GB2312"/>
          <w:color w:val="auto"/>
          <w:kern w:val="0"/>
          <w:sz w:val="32"/>
          <w:szCs w:val="32"/>
          <w:highlight w:val="none"/>
          <w:u w:val="none"/>
        </w:rPr>
        <w:t>农林牧渔业产值等；任务因素包括</w:t>
      </w:r>
      <w:r>
        <w:rPr>
          <w:rFonts w:hint="eastAsia" w:ascii="仿宋_GB2312" w:hAnsi="仿宋_GB2312" w:eastAsia="仿宋_GB2312" w:cs="仿宋_GB2312"/>
          <w:color w:val="auto"/>
          <w:kern w:val="0"/>
          <w:sz w:val="32"/>
          <w:szCs w:val="32"/>
          <w:highlight w:val="none"/>
          <w:u w:val="none"/>
          <w:lang w:val="en-US" w:eastAsia="zh-CN"/>
        </w:rPr>
        <w:t>贷款实际金额和贷款需求金额</w:t>
      </w:r>
      <w:r>
        <w:rPr>
          <w:rFonts w:hint="eastAsia" w:ascii="仿宋_GB2312" w:hAnsi="仿宋_GB2312" w:eastAsia="仿宋_GB2312" w:cs="仿宋_GB2312"/>
          <w:color w:val="auto"/>
          <w:kern w:val="0"/>
          <w:sz w:val="32"/>
          <w:szCs w:val="32"/>
          <w:highlight w:val="none"/>
          <w:u w:val="none"/>
        </w:rPr>
        <w:t>等。</w:t>
      </w:r>
      <w:r>
        <w:rPr>
          <w:rFonts w:hint="eastAsia" w:ascii="仿宋_GB2312" w:hAnsi="仿宋_GB2312" w:eastAsia="仿宋_GB2312" w:cs="仿宋_GB2312"/>
          <w:color w:val="auto"/>
          <w:kern w:val="0"/>
          <w:sz w:val="32"/>
          <w:szCs w:val="32"/>
          <w:highlight w:val="none"/>
          <w:u w:val="none"/>
          <w:lang w:val="en-US" w:eastAsia="zh-CN"/>
        </w:rPr>
        <w:t>年底验收后，根据实际进行调整，</w:t>
      </w:r>
      <w:r>
        <w:rPr>
          <w:rFonts w:hint="eastAsia" w:ascii="仿宋_GB2312" w:hAnsi="仿宋_GB2312" w:eastAsia="仿宋_GB2312" w:cs="仿宋_GB2312"/>
          <w:color w:val="auto"/>
          <w:kern w:val="0"/>
          <w:sz w:val="32"/>
          <w:szCs w:val="32"/>
          <w:highlight w:val="none"/>
          <w:u w:val="none"/>
          <w:lang w:eastAsia="zh-CN"/>
        </w:rPr>
        <w:t>对测算后资金安排超过实际需求的市县，对超额部分进行扣减，按比例用于弥补有缺口的市县资金需求。年度中根据市县实际情况进行动态调整。</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b/>
          <w:bCs/>
          <w:color w:val="auto"/>
          <w:kern w:val="0"/>
          <w:sz w:val="32"/>
          <w:szCs w:val="32"/>
          <w:highlight w:val="none"/>
          <w:u w:val="none"/>
        </w:rPr>
        <w:t>计算方法：</w:t>
      </w:r>
      <w:r>
        <w:rPr>
          <w:rFonts w:hint="eastAsia" w:ascii="仿宋_GB2312" w:hAnsi="仿宋_GB2312" w:eastAsia="仿宋_GB2312" w:cs="仿宋_GB2312"/>
          <w:b/>
          <w:bCs/>
          <w:color w:val="auto"/>
          <w:kern w:val="0"/>
          <w:sz w:val="32"/>
          <w:szCs w:val="32"/>
          <w:highlight w:val="none"/>
          <w:u w:val="none"/>
          <w:lang w:val="en"/>
        </w:rPr>
        <w:t>补助经费</w:t>
      </w:r>
      <w:r>
        <w:rPr>
          <w:rFonts w:hint="eastAsia" w:ascii="仿宋_GB2312" w:hAnsi="仿宋_GB2312" w:eastAsia="仿宋_GB2312" w:cs="仿宋_GB2312"/>
          <w:b w:val="0"/>
          <w:bCs w:val="0"/>
          <w:color w:val="auto"/>
          <w:kern w:val="0"/>
          <w:sz w:val="32"/>
          <w:szCs w:val="32"/>
          <w:highlight w:val="none"/>
          <w:u w:val="none"/>
          <w:lang w:val="en"/>
        </w:rPr>
        <w:t>=</w:t>
      </w:r>
      <w:r>
        <w:rPr>
          <w:rFonts w:hint="eastAsia" w:ascii="仿宋_GB2312" w:hAnsi="仿宋_GB2312" w:eastAsia="仿宋_GB2312" w:cs="仿宋_GB2312"/>
          <w:color w:val="auto"/>
          <w:kern w:val="0"/>
          <w:sz w:val="32"/>
          <w:szCs w:val="32"/>
          <w:highlight w:val="none"/>
          <w:u w:val="none"/>
          <w:lang w:val="en-US" w:eastAsia="zh-CN"/>
        </w:rPr>
        <w:t>设施园艺贷款贴息</w:t>
      </w:r>
      <w:r>
        <w:rPr>
          <w:rFonts w:hint="eastAsia" w:ascii="仿宋_GB2312" w:hAnsi="仿宋_GB2312" w:eastAsia="仿宋_GB2312" w:cs="仿宋_GB2312"/>
          <w:color w:val="auto"/>
          <w:kern w:val="0"/>
          <w:sz w:val="32"/>
          <w:szCs w:val="32"/>
          <w:highlight w:val="none"/>
          <w:u w:val="none"/>
        </w:rPr>
        <w:t>支出</w:t>
      </w:r>
      <w:r>
        <w:rPr>
          <w:rFonts w:hint="eastAsia" w:ascii="仿宋_GB2312" w:hAnsi="仿宋_GB2312" w:eastAsia="仿宋_GB2312" w:cs="仿宋_GB2312"/>
          <w:color w:val="auto"/>
          <w:kern w:val="0"/>
          <w:sz w:val="32"/>
          <w:szCs w:val="32"/>
          <w:highlight w:val="none"/>
          <w:u w:val="none"/>
          <w:lang w:eastAsia="zh-CN"/>
        </w:rPr>
        <w:t>资金规模</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基础因素×40%+任务因素×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u w:val="none"/>
        </w:rPr>
      </w:pP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方正仿宋_GBK" w:hAnsi="方正仿宋_GBK" w:eastAsia="方正仿宋_GBK" w:cs="方正仿宋_GBK"/>
          <w:b/>
          <w:bCs/>
          <w:color w:val="auto"/>
          <w:kern w:val="0"/>
          <w:sz w:val="32"/>
          <w:szCs w:val="32"/>
          <w:highlight w:val="none"/>
          <w:u w:val="none"/>
        </w:rPr>
        <w:t>——</w:t>
      </w:r>
      <w:r>
        <w:rPr>
          <w:rFonts w:hint="eastAsia" w:ascii="仿宋_GB2312" w:hAnsi="仿宋_GB2312" w:eastAsia="仿宋_GB2312" w:cs="仿宋_GB2312"/>
          <w:b/>
          <w:bCs/>
          <w:color w:val="auto"/>
          <w:kern w:val="0"/>
          <w:sz w:val="32"/>
          <w:szCs w:val="32"/>
          <w:highlight w:val="none"/>
          <w:u w:val="none"/>
        </w:rPr>
        <w:t>农业社会化服务</w:t>
      </w:r>
      <w:r>
        <w:rPr>
          <w:rFonts w:hint="eastAsia" w:ascii="仿宋_GB2312" w:hAnsi="仿宋_GB2312" w:eastAsia="仿宋_GB2312" w:cs="仿宋_GB2312"/>
          <w:b/>
          <w:bCs/>
          <w:color w:val="auto"/>
          <w:kern w:val="0"/>
          <w:sz w:val="32"/>
          <w:szCs w:val="32"/>
          <w:highlight w:val="none"/>
          <w:u w:val="none"/>
          <w:lang w:eastAsia="zh-CN"/>
        </w:rPr>
        <w:t>支出</w:t>
      </w:r>
      <w:r>
        <w:rPr>
          <w:rFonts w:hint="eastAsia" w:ascii="仿宋_GB2312" w:hAnsi="仿宋_GB2312" w:eastAsia="仿宋_GB2312" w:cs="仿宋_GB2312"/>
          <w:b/>
          <w:bCs/>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主要采用因素法</w:t>
      </w:r>
      <w:r>
        <w:rPr>
          <w:rFonts w:hint="eastAsia" w:ascii="仿宋_GB2312" w:hAnsi="仿宋_GB2312" w:eastAsia="仿宋_GB2312" w:cs="仿宋_GB2312"/>
          <w:color w:val="auto"/>
          <w:kern w:val="0"/>
          <w:sz w:val="32"/>
          <w:szCs w:val="32"/>
          <w:highlight w:val="none"/>
          <w:u w:val="none"/>
          <w:lang w:eastAsia="zh-CN"/>
        </w:rPr>
        <w:t>和定额</w:t>
      </w:r>
      <w:r>
        <w:rPr>
          <w:rFonts w:hint="eastAsia" w:ascii="仿宋_GB2312" w:hAnsi="仿宋_GB2312" w:eastAsia="仿宋_GB2312" w:cs="仿宋_GB2312"/>
          <w:color w:val="auto"/>
          <w:kern w:val="0"/>
          <w:sz w:val="32"/>
          <w:szCs w:val="32"/>
          <w:highlight w:val="none"/>
          <w:u w:val="none"/>
        </w:rPr>
        <w:t>测算分配，包括基础因素（</w:t>
      </w:r>
      <w:r>
        <w:rPr>
          <w:rFonts w:hint="eastAsia" w:ascii="仿宋_GB2312" w:hAnsi="仿宋_GB2312" w:eastAsia="仿宋_GB2312" w:cs="仿宋_GB2312"/>
          <w:color w:val="auto"/>
          <w:kern w:val="0"/>
          <w:sz w:val="32"/>
          <w:szCs w:val="32"/>
          <w:highlight w:val="none"/>
          <w:u w:val="none"/>
          <w:lang w:val="en-US" w:eastAsia="zh-CN"/>
        </w:rPr>
        <w:t>40</w:t>
      </w:r>
      <w:r>
        <w:rPr>
          <w:rFonts w:hint="eastAsia" w:ascii="仿宋_GB2312" w:hAnsi="仿宋_GB2312" w:eastAsia="仿宋_GB2312" w:cs="仿宋_GB2312"/>
          <w:color w:val="auto"/>
          <w:kern w:val="0"/>
          <w:sz w:val="32"/>
          <w:szCs w:val="32"/>
          <w:highlight w:val="none"/>
          <w:u w:val="none"/>
        </w:rPr>
        <w:t>%）、任务因素（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%）。其中基础因素包括粮食播种面积等，任务因素包括年度托管面积</w:t>
      </w:r>
      <w:r>
        <w:rPr>
          <w:rFonts w:hint="eastAsia" w:ascii="仿宋_GB2312" w:hAnsi="仿宋_GB2312" w:eastAsia="仿宋_GB2312" w:cs="仿宋_GB2312"/>
          <w:color w:val="auto"/>
          <w:kern w:val="0"/>
          <w:sz w:val="32"/>
          <w:szCs w:val="32"/>
          <w:highlight w:val="none"/>
          <w:u w:val="none"/>
          <w:lang w:eastAsia="zh-CN"/>
        </w:rPr>
        <w:t>、农业生产托管整县推进试点县农业生产托管面积、农业社会化服务平台建设试点县农业生产托管面积</w:t>
      </w:r>
      <w:r>
        <w:rPr>
          <w:rFonts w:hint="eastAsia" w:ascii="仿宋_GB2312" w:hAnsi="仿宋_GB2312" w:eastAsia="仿宋_GB2312" w:cs="仿宋_GB2312"/>
          <w:color w:val="auto"/>
          <w:kern w:val="0"/>
          <w:sz w:val="32"/>
          <w:szCs w:val="32"/>
          <w:highlight w:val="none"/>
          <w:u w:val="none"/>
        </w:rPr>
        <w:t>等</w:t>
      </w:r>
      <w:r>
        <w:rPr>
          <w:rFonts w:hint="eastAsia" w:ascii="仿宋_GB2312" w:hAnsi="仿宋_GB2312" w:eastAsia="仿宋_GB2312" w:cs="仿宋_GB2312"/>
          <w:color w:val="auto"/>
          <w:kern w:val="0"/>
          <w:sz w:val="32"/>
          <w:szCs w:val="32"/>
          <w:highlight w:val="none"/>
          <w:u w:val="none"/>
          <w:lang w:eastAsia="zh-CN"/>
        </w:rPr>
        <w:t>。可以根据粮食产量、绩效评价结果、预算执行情况、资金使用管理监督情况等因素进行适当调节。对党中央、国务院部署的特定事项、试点任务，实行定额补助。</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0"/>
          <w:sz w:val="32"/>
          <w:szCs w:val="32"/>
          <w:highlight w:val="none"/>
          <w:u w:val="none"/>
        </w:rPr>
        <w:t>计算方法：</w:t>
      </w:r>
      <w:r>
        <w:rPr>
          <w:rFonts w:hint="eastAsia" w:ascii="仿宋_GB2312" w:hAnsi="仿宋_GB2312" w:eastAsia="仿宋_GB2312" w:cs="仿宋_GB2312"/>
          <w:b/>
          <w:bCs/>
          <w:color w:val="auto"/>
          <w:kern w:val="0"/>
          <w:sz w:val="32"/>
          <w:szCs w:val="32"/>
          <w:highlight w:val="none"/>
          <w:u w:val="none"/>
          <w:lang w:val="en"/>
        </w:rPr>
        <w:t>补助经费</w:t>
      </w:r>
      <w:r>
        <w:rPr>
          <w:rFonts w:hint="eastAsia" w:ascii="仿宋_GB2312" w:hAnsi="仿宋_GB2312" w:eastAsia="仿宋_GB2312" w:cs="仿宋_GB2312"/>
          <w:b w:val="0"/>
          <w:bCs w:val="0"/>
          <w:color w:val="auto"/>
          <w:kern w:val="0"/>
          <w:sz w:val="32"/>
          <w:szCs w:val="32"/>
          <w:highlight w:val="none"/>
          <w:u w:val="none"/>
          <w:lang w:val="en"/>
        </w:rPr>
        <w:t>=</w:t>
      </w:r>
      <w:r>
        <w:rPr>
          <w:rFonts w:hint="eastAsia" w:ascii="仿宋_GB2312" w:hAnsi="仿宋_GB2312" w:eastAsia="仿宋_GB2312" w:cs="仿宋_GB2312"/>
          <w:color w:val="auto"/>
          <w:kern w:val="0"/>
          <w:sz w:val="32"/>
          <w:szCs w:val="32"/>
          <w:highlight w:val="none"/>
          <w:u w:val="none"/>
          <w:lang w:val="en" w:eastAsia="zh-CN"/>
        </w:rPr>
        <w:t>农业社会化服务支出</w:t>
      </w:r>
      <w:r>
        <w:rPr>
          <w:rFonts w:hint="eastAsia" w:ascii="仿宋_GB2312" w:hAnsi="仿宋_GB2312" w:eastAsia="仿宋_GB2312" w:cs="仿宋_GB2312"/>
          <w:color w:val="auto"/>
          <w:kern w:val="0"/>
          <w:sz w:val="32"/>
          <w:szCs w:val="32"/>
          <w:highlight w:val="none"/>
          <w:u w:val="none"/>
          <w:lang w:val="en"/>
        </w:rPr>
        <w:t>资金规模×（基础因素×</w:t>
      </w:r>
      <w:r>
        <w:rPr>
          <w:rFonts w:hint="eastAsia" w:ascii="仿宋_GB2312" w:hAnsi="仿宋_GB2312" w:eastAsia="仿宋_GB2312" w:cs="仿宋_GB2312"/>
          <w:color w:val="auto"/>
          <w:kern w:val="0"/>
          <w:sz w:val="32"/>
          <w:szCs w:val="32"/>
          <w:highlight w:val="none"/>
          <w:u w:val="none"/>
          <w:lang w:val="en-US" w:eastAsia="zh-CN"/>
        </w:rPr>
        <w:t>40</w:t>
      </w:r>
      <w:r>
        <w:rPr>
          <w:rFonts w:hint="eastAsia" w:ascii="仿宋_GB2312" w:hAnsi="仿宋_GB2312" w:eastAsia="仿宋_GB2312" w:cs="仿宋_GB2312"/>
          <w:color w:val="auto"/>
          <w:kern w:val="0"/>
          <w:sz w:val="32"/>
          <w:szCs w:val="32"/>
          <w:highlight w:val="none"/>
          <w:u w:val="none"/>
          <w:lang w:val="en"/>
        </w:rPr>
        <w:t>%+任务因素×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lang w:val="en"/>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kern w:val="0"/>
          <w:sz w:val="32"/>
          <w:szCs w:val="32"/>
          <w:highlight w:val="none"/>
          <w:u w:val="none"/>
        </w:rPr>
      </w:pPr>
      <w:r>
        <w:rPr>
          <w:rFonts w:hint="eastAsia" w:ascii="方正仿宋_GBK" w:hAnsi="方正仿宋_GBK" w:eastAsia="方正仿宋_GBK" w:cs="方正仿宋_GBK"/>
          <w:b/>
          <w:bCs/>
          <w:color w:val="auto"/>
          <w:kern w:val="0"/>
          <w:sz w:val="32"/>
          <w:szCs w:val="32"/>
          <w:highlight w:val="none"/>
          <w:u w:val="none"/>
        </w:rPr>
        <w:t>——</w:t>
      </w:r>
      <w:r>
        <w:rPr>
          <w:rFonts w:hint="eastAsia" w:ascii="仿宋_GB2312" w:hAnsi="仿宋_GB2312" w:eastAsia="仿宋_GB2312" w:cs="仿宋_GB2312"/>
          <w:b/>
          <w:bCs/>
          <w:color w:val="auto"/>
          <w:kern w:val="0"/>
          <w:sz w:val="32"/>
          <w:szCs w:val="32"/>
          <w:highlight w:val="none"/>
          <w:u w:val="none"/>
        </w:rPr>
        <w:t>高素质农民培育</w:t>
      </w:r>
      <w:r>
        <w:rPr>
          <w:rFonts w:hint="eastAsia" w:ascii="仿宋_GB2312" w:hAnsi="仿宋_GB2312" w:eastAsia="仿宋_GB2312" w:cs="仿宋_GB2312"/>
          <w:b/>
          <w:bCs/>
          <w:color w:val="auto"/>
          <w:kern w:val="0"/>
          <w:sz w:val="32"/>
          <w:szCs w:val="32"/>
          <w:highlight w:val="none"/>
          <w:u w:val="none"/>
          <w:lang w:eastAsia="zh-CN"/>
        </w:rPr>
        <w:t>支出</w:t>
      </w:r>
      <w:r>
        <w:rPr>
          <w:rFonts w:hint="eastAsia" w:ascii="仿宋_GB2312" w:hAnsi="仿宋_GB2312" w:eastAsia="仿宋_GB2312" w:cs="仿宋_GB2312"/>
          <w:b/>
          <w:bCs/>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主要根据基础因素（40%）、任务因素（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%）测算。其中基础因素包括粮食产量、农林牧渔业产值等；任务因素包括农民培训数量</w:t>
      </w:r>
      <w:r>
        <w:rPr>
          <w:rFonts w:hint="eastAsia" w:ascii="仿宋_GB2312" w:hAnsi="仿宋_GB2312" w:eastAsia="仿宋_GB2312" w:cs="仿宋_GB2312"/>
          <w:color w:val="auto"/>
          <w:kern w:val="0"/>
          <w:sz w:val="32"/>
          <w:szCs w:val="32"/>
          <w:highlight w:val="none"/>
          <w:u w:val="none"/>
          <w:lang w:eastAsia="zh-CN"/>
        </w:rPr>
        <w:t>、专题培训人数、试点项目扶持</w:t>
      </w:r>
      <w:r>
        <w:rPr>
          <w:rFonts w:hint="eastAsia" w:ascii="仿宋_GB2312" w:hAnsi="仿宋_GB2312" w:eastAsia="仿宋_GB2312" w:cs="仿宋_GB2312"/>
          <w:color w:val="auto"/>
          <w:kern w:val="0"/>
          <w:sz w:val="32"/>
          <w:szCs w:val="32"/>
          <w:highlight w:val="none"/>
          <w:u w:val="none"/>
        </w:rPr>
        <w:t>等</w:t>
      </w:r>
      <w:r>
        <w:rPr>
          <w:rFonts w:hint="eastAsia" w:ascii="仿宋_GB2312" w:hAnsi="仿宋_GB2312" w:eastAsia="仿宋_GB2312" w:cs="仿宋_GB2312"/>
          <w:color w:val="auto"/>
          <w:kern w:val="0"/>
          <w:sz w:val="32"/>
          <w:szCs w:val="32"/>
          <w:highlight w:val="none"/>
          <w:u w:val="none"/>
          <w:lang w:eastAsia="zh-CN"/>
        </w:rPr>
        <w:t>，可通过定额补助支持实施党中央、国务院确定的政策任务</w:t>
      </w:r>
      <w:r>
        <w:rPr>
          <w:rFonts w:hint="eastAsia" w:ascii="仿宋_GB2312" w:hAnsi="仿宋_GB2312" w:eastAsia="仿宋_GB2312" w:cs="仿宋_GB2312"/>
          <w:color w:val="auto"/>
          <w:kern w:val="0"/>
          <w:sz w:val="32"/>
          <w:szCs w:val="32"/>
          <w:highlight w:val="none"/>
          <w:u w:val="none"/>
        </w:rPr>
        <w:t>。乡村产业振兴带头人培育“头雁”项目根据各省承担的“头雁”培训任务量，按照相应补贴标准实施定额补助。</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rPr>
        <w:t xml:space="preserve">    </w:t>
      </w:r>
      <w:r>
        <w:rPr>
          <w:rFonts w:hint="eastAsia" w:ascii="仿宋_GB2312" w:hAnsi="仿宋_GB2312" w:eastAsia="仿宋_GB2312" w:cs="仿宋_GB2312"/>
          <w:b/>
          <w:bCs/>
          <w:color w:val="auto"/>
          <w:kern w:val="0"/>
          <w:sz w:val="32"/>
          <w:szCs w:val="32"/>
          <w:highlight w:val="none"/>
          <w:u w:val="none"/>
        </w:rPr>
        <w:t>计算方法：</w:t>
      </w:r>
      <w:r>
        <w:rPr>
          <w:rFonts w:hint="eastAsia" w:ascii="仿宋_GB2312" w:hAnsi="仿宋_GB2312" w:eastAsia="仿宋_GB2312" w:cs="仿宋_GB2312"/>
          <w:b/>
          <w:bCs/>
          <w:color w:val="auto"/>
          <w:kern w:val="0"/>
          <w:sz w:val="32"/>
          <w:szCs w:val="32"/>
          <w:highlight w:val="none"/>
          <w:u w:val="none"/>
          <w:lang w:val="en"/>
        </w:rPr>
        <w:t>补助经费</w:t>
      </w:r>
      <w:r>
        <w:rPr>
          <w:rFonts w:hint="eastAsia" w:ascii="仿宋_GB2312" w:hAnsi="仿宋_GB2312" w:eastAsia="仿宋_GB2312" w:cs="仿宋_GB2312"/>
          <w:b w:val="0"/>
          <w:bCs w:val="0"/>
          <w:color w:val="auto"/>
          <w:kern w:val="0"/>
          <w:sz w:val="32"/>
          <w:szCs w:val="32"/>
          <w:highlight w:val="none"/>
          <w:u w:val="none"/>
          <w:lang w:val="en"/>
        </w:rPr>
        <w:t>=</w:t>
      </w:r>
      <w:r>
        <w:rPr>
          <w:rFonts w:hint="eastAsia" w:ascii="仿宋_GB2312" w:hAnsi="仿宋_GB2312" w:eastAsia="仿宋_GB2312" w:cs="仿宋_GB2312"/>
          <w:color w:val="auto"/>
          <w:kern w:val="0"/>
          <w:sz w:val="32"/>
          <w:szCs w:val="32"/>
          <w:highlight w:val="none"/>
          <w:u w:val="none"/>
        </w:rPr>
        <w:t>高素质农民培育支出资金规模×（基础因素×40%+任务因素×</w:t>
      </w:r>
      <w:r>
        <w:rPr>
          <w:rFonts w:hint="eastAsia"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rPr>
        <w:t>%）+“头雁”项目培育人数×相应</w:t>
      </w:r>
      <w:r>
        <w:rPr>
          <w:rFonts w:hint="eastAsia" w:ascii="仿宋_GB2312" w:hAnsi="仿宋_GB2312" w:eastAsia="仿宋_GB2312" w:cs="仿宋_GB2312"/>
          <w:color w:val="auto"/>
          <w:kern w:val="0"/>
          <w:sz w:val="32"/>
          <w:szCs w:val="32"/>
          <w:highlight w:val="none"/>
          <w:u w:val="none"/>
          <w:lang w:eastAsia="zh-CN"/>
        </w:rPr>
        <w:t>补贴标准</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b/>
          <w:bCs/>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kern w:val="0"/>
          <w:sz w:val="32"/>
          <w:szCs w:val="32"/>
          <w:highlight w:val="none"/>
          <w:u w:val="none"/>
        </w:rPr>
      </w:pPr>
      <w:r>
        <w:rPr>
          <w:rFonts w:hint="eastAsia" w:ascii="方正仿宋_GBK" w:hAnsi="方正仿宋_GBK" w:eastAsia="方正仿宋_GBK" w:cs="方正仿宋_GBK"/>
          <w:b/>
          <w:bCs/>
          <w:color w:val="auto"/>
          <w:kern w:val="0"/>
          <w:sz w:val="32"/>
          <w:szCs w:val="32"/>
          <w:highlight w:val="none"/>
          <w:u w:val="none"/>
        </w:rPr>
        <w:t>——</w:t>
      </w:r>
      <w:r>
        <w:rPr>
          <w:rFonts w:hint="eastAsia" w:ascii="仿宋_GB2312" w:hAnsi="仿宋_GB2312" w:eastAsia="仿宋_GB2312" w:cs="仿宋_GB2312"/>
          <w:b/>
          <w:bCs/>
          <w:color w:val="auto"/>
          <w:kern w:val="0"/>
          <w:sz w:val="32"/>
          <w:szCs w:val="32"/>
          <w:highlight w:val="none"/>
          <w:u w:val="none"/>
        </w:rPr>
        <w:t>基层农技推广体系改革与建设</w:t>
      </w:r>
      <w:r>
        <w:rPr>
          <w:rFonts w:hint="eastAsia" w:ascii="仿宋_GB2312" w:hAnsi="仿宋_GB2312" w:eastAsia="仿宋_GB2312" w:cs="仿宋_GB2312"/>
          <w:b/>
          <w:bCs/>
          <w:color w:val="auto"/>
          <w:kern w:val="0"/>
          <w:sz w:val="32"/>
          <w:szCs w:val="32"/>
          <w:highlight w:val="none"/>
          <w:u w:val="none"/>
          <w:lang w:eastAsia="zh-CN"/>
        </w:rPr>
        <w:t>支出</w:t>
      </w:r>
      <w:r>
        <w:rPr>
          <w:rFonts w:hint="eastAsia" w:ascii="仿宋_GB2312" w:hAnsi="仿宋_GB2312" w:eastAsia="仿宋_GB2312" w:cs="仿宋_GB2312"/>
          <w:b/>
          <w:bCs/>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主要根据基础因素（40%）、任务因素（59%）、脱贫地区因素（1%）测算。其中基础因素包括粮食产量、农作物播种面积、农林牧渔业产值等；任务因素包括基层农技推广体系改革与建设项目</w:t>
      </w:r>
      <w:r>
        <w:rPr>
          <w:rFonts w:hint="eastAsia" w:ascii="仿宋_GB2312" w:hAnsi="仿宋_GB2312" w:eastAsia="仿宋_GB2312" w:cs="仿宋_GB2312"/>
          <w:color w:val="auto"/>
          <w:kern w:val="0"/>
          <w:sz w:val="32"/>
          <w:szCs w:val="32"/>
          <w:highlight w:val="none"/>
          <w:u w:val="none"/>
          <w:lang w:eastAsia="zh-CN"/>
        </w:rPr>
        <w:t>基层农技人员培训人数、特聘农技员数量、基地建设数量</w:t>
      </w:r>
      <w:bookmarkStart w:id="0" w:name="_GoBack"/>
      <w:bookmarkEnd w:id="0"/>
      <w:r>
        <w:rPr>
          <w:rFonts w:hint="eastAsia" w:ascii="仿宋_GB2312" w:hAnsi="仿宋_GB2312" w:eastAsia="仿宋_GB2312" w:cs="仿宋_GB2312"/>
          <w:color w:val="auto"/>
          <w:kern w:val="0"/>
          <w:sz w:val="32"/>
          <w:szCs w:val="32"/>
          <w:highlight w:val="none"/>
          <w:u w:val="none"/>
        </w:rPr>
        <w:t>、全国大豆自强县、全国科技先行县、产业化试点等。可以通过定额补助支持实施党中央、国务院确定的政策任务。</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b/>
          <w:bCs/>
          <w:color w:val="auto"/>
          <w:kern w:val="0"/>
          <w:sz w:val="32"/>
          <w:szCs w:val="32"/>
          <w:highlight w:val="none"/>
          <w:u w:val="none"/>
        </w:rPr>
        <w:t>计算方法：</w:t>
      </w:r>
      <w:r>
        <w:rPr>
          <w:rFonts w:hint="eastAsia" w:ascii="仿宋_GB2312" w:hAnsi="仿宋_GB2312" w:eastAsia="仿宋_GB2312" w:cs="仿宋_GB2312"/>
          <w:b/>
          <w:bCs/>
          <w:color w:val="auto"/>
          <w:kern w:val="0"/>
          <w:sz w:val="32"/>
          <w:szCs w:val="32"/>
          <w:highlight w:val="none"/>
          <w:u w:val="none"/>
          <w:lang w:val="en"/>
        </w:rPr>
        <w:t>补助经费</w:t>
      </w:r>
      <w:r>
        <w:rPr>
          <w:rFonts w:hint="eastAsia" w:ascii="仿宋_GB2312" w:hAnsi="仿宋_GB2312" w:eastAsia="仿宋_GB2312" w:cs="仿宋_GB2312"/>
          <w:b w:val="0"/>
          <w:bCs w:val="0"/>
          <w:color w:val="auto"/>
          <w:kern w:val="0"/>
          <w:sz w:val="32"/>
          <w:szCs w:val="32"/>
          <w:highlight w:val="none"/>
          <w:u w:val="none"/>
          <w:lang w:val="en"/>
        </w:rPr>
        <w:t>=</w:t>
      </w:r>
      <w:r>
        <w:rPr>
          <w:rFonts w:hint="eastAsia" w:ascii="仿宋_GB2312" w:hAnsi="仿宋_GB2312" w:eastAsia="仿宋_GB2312" w:cs="仿宋_GB2312"/>
          <w:color w:val="auto"/>
          <w:kern w:val="0"/>
          <w:sz w:val="32"/>
          <w:szCs w:val="32"/>
          <w:highlight w:val="none"/>
          <w:u w:val="none"/>
        </w:rPr>
        <w:t>基层农技推广体系改革与建设支出</w:t>
      </w:r>
      <w:r>
        <w:rPr>
          <w:rFonts w:hint="eastAsia" w:ascii="仿宋_GB2312" w:hAnsi="仿宋_GB2312" w:eastAsia="仿宋_GB2312" w:cs="仿宋_GB2312"/>
          <w:color w:val="auto"/>
          <w:kern w:val="0"/>
          <w:sz w:val="32"/>
          <w:szCs w:val="32"/>
          <w:highlight w:val="none"/>
          <w:u w:val="none"/>
          <w:lang w:eastAsia="zh-CN"/>
        </w:rPr>
        <w:t>资金规模</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基础因素×40%+任务因素×5</w:t>
      </w:r>
      <w:r>
        <w:rPr>
          <w:rFonts w:hint="eastAsia" w:ascii="仿宋_GB2312" w:hAnsi="仿宋_GB2312" w:eastAsia="仿宋_GB2312" w:cs="仿宋_GB2312"/>
          <w:color w:val="auto"/>
          <w:kern w:val="0"/>
          <w:sz w:val="32"/>
          <w:szCs w:val="32"/>
          <w:highlight w:val="none"/>
          <w:u w:val="none"/>
          <w:lang w:val="en-US" w:eastAsia="zh-CN"/>
        </w:rPr>
        <w:t>9</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脱贫地区因素</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宋体" w:eastAsia="仿宋_GB2312" w:cs="宋体"/>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kern w:val="0"/>
          <w:sz w:val="32"/>
          <w:szCs w:val="32"/>
          <w:highlight w:val="none"/>
          <w:u w:val="none"/>
        </w:rPr>
      </w:pPr>
      <w:r>
        <w:rPr>
          <w:rFonts w:hint="eastAsia" w:ascii="方正仿宋_GBK" w:hAnsi="方正仿宋_GBK" w:eastAsia="方正仿宋_GBK" w:cs="方正仿宋_GBK"/>
          <w:b/>
          <w:bCs/>
          <w:color w:val="auto"/>
          <w:kern w:val="0"/>
          <w:sz w:val="32"/>
          <w:szCs w:val="32"/>
          <w:highlight w:val="none"/>
          <w:u w:val="none"/>
        </w:rPr>
        <w:t>——</w:t>
      </w:r>
      <w:r>
        <w:rPr>
          <w:rFonts w:hint="eastAsia" w:ascii="仿宋_GB2312" w:hAnsi="仿宋_GB2312" w:eastAsia="仿宋_GB2312" w:cs="仿宋_GB2312"/>
          <w:b/>
          <w:bCs/>
          <w:color w:val="auto"/>
          <w:kern w:val="0"/>
          <w:sz w:val="32"/>
          <w:szCs w:val="32"/>
          <w:highlight w:val="none"/>
          <w:u w:val="none"/>
        </w:rPr>
        <w:t>农业信贷担保业务补奖</w:t>
      </w:r>
      <w:r>
        <w:rPr>
          <w:rFonts w:hint="eastAsia" w:ascii="仿宋_GB2312" w:hAnsi="仿宋_GB2312" w:eastAsia="仿宋_GB2312" w:cs="仿宋_GB2312"/>
          <w:b/>
          <w:bCs/>
          <w:color w:val="auto"/>
          <w:kern w:val="0"/>
          <w:sz w:val="32"/>
          <w:szCs w:val="32"/>
          <w:highlight w:val="none"/>
          <w:u w:val="none"/>
          <w:lang w:eastAsia="zh-CN"/>
        </w:rPr>
        <w:t>支出</w:t>
      </w:r>
      <w:r>
        <w:rPr>
          <w:rFonts w:hint="eastAsia" w:ascii="仿宋_GB2312" w:hAnsi="仿宋_GB2312" w:eastAsia="仿宋_GB2312" w:cs="仿宋_GB2312"/>
          <w:b/>
          <w:bCs/>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根据各省级农担公司新增政策性业务担保金额对账面净资产放大倍数、首担和续担业务额、代偿和解保额等因素，按照规定的比例进行补奖</w:t>
      </w:r>
      <w:r>
        <w:rPr>
          <w:rFonts w:hint="eastAsia" w:ascii="仿宋_GB2312" w:hAnsi="仿宋_GB2312" w:eastAsia="仿宋_GB2312" w:cs="仿宋_GB2312"/>
          <w:color w:val="auto"/>
          <w:kern w:val="0"/>
          <w:sz w:val="32"/>
          <w:szCs w:val="32"/>
          <w:highlight w:val="none"/>
          <w:u w:val="none"/>
          <w:lang w:eastAsia="zh-CN"/>
        </w:rPr>
        <w:t>，并实行总额上限管理，补奖比例可结合农业信贷担保体系发展实际进行适当调整</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02"/>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b/>
          <w:bCs/>
          <w:color w:val="auto"/>
          <w:kern w:val="0"/>
          <w:sz w:val="32"/>
          <w:szCs w:val="32"/>
          <w:highlight w:val="none"/>
          <w:u w:val="none"/>
        </w:rPr>
        <w:t>计算方法：补助经费</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val="en-US" w:eastAsia="zh-CN"/>
        </w:rPr>
        <w:t>[省级农担公司放大倍数5倍以内且担保期限6个月以上的新增政策性业务（首担金额×1.5%+续担金额×0.5%）+5倍以上且担保期限6个月以上的新增政策性业务担保金额×0.3%+Min（代偿金额，解保金额×1%）]×补奖系数×补助比例（担保费补助</w:t>
      </w:r>
      <w:r>
        <w:rPr>
          <w:rFonts w:hint="default" w:ascii="仿宋_GB2312" w:hAnsi="仿宋_GB2312" w:eastAsia="仿宋_GB2312" w:cs="仿宋_GB2312"/>
          <w:color w:val="auto"/>
          <w:kern w:val="0"/>
          <w:sz w:val="32"/>
          <w:szCs w:val="32"/>
          <w:highlight w:val="none"/>
          <w:u w:val="none"/>
          <w:lang w:val="en-US" w:eastAsia="zh-CN"/>
        </w:rPr>
        <w:t>60%</w:t>
      </w:r>
      <w:r>
        <w:rPr>
          <w:rFonts w:hint="eastAsia" w:ascii="仿宋_GB2312" w:hAnsi="仿宋_GB2312" w:eastAsia="仿宋_GB2312" w:cs="仿宋_GB2312"/>
          <w:color w:val="auto"/>
          <w:kern w:val="0"/>
          <w:sz w:val="32"/>
          <w:szCs w:val="32"/>
          <w:highlight w:val="none"/>
          <w:u w:val="none"/>
          <w:lang w:val="en-US" w:eastAsia="zh-CN"/>
        </w:rPr>
        <w:t>）+[省级农担公司放大倍数5倍以内且担保期限6个月以上的新增政策性业务（首担金额×1.5%+续担金额×0.5%）+5倍以上且担保期限6个月以上的新增政策性业务担保金额×0.3%+Min（代偿金额，解保金额×1%）]×补奖系数×补助比例（担保业务奖补</w:t>
      </w:r>
      <w:r>
        <w:rPr>
          <w:rFonts w:hint="default" w:ascii="仿宋_GB2312" w:hAnsi="仿宋_GB2312" w:eastAsia="仿宋_GB2312" w:cs="仿宋_GB2312"/>
          <w:color w:val="auto"/>
          <w:kern w:val="0"/>
          <w:sz w:val="32"/>
          <w:szCs w:val="32"/>
          <w:highlight w:val="none"/>
          <w:u w:val="none"/>
          <w:lang w:val="en-US" w:eastAsia="zh-CN"/>
        </w:rPr>
        <w:t>40%</w:t>
      </w:r>
      <w:r>
        <w:rPr>
          <w:rFonts w:hint="eastAsia" w:ascii="仿宋_GB2312" w:hAnsi="仿宋_GB2312" w:eastAsia="仿宋_GB2312" w:cs="仿宋_GB2312"/>
          <w:color w:val="auto"/>
          <w:kern w:val="0"/>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仿宋_GB2312" w:hAnsi="宋体" w:eastAsia="仿宋_GB2312" w:cs="宋体"/>
          <w:color w:val="auto"/>
          <w:kern w:val="0"/>
          <w:sz w:val="32"/>
          <w:szCs w:val="32"/>
          <w:highlight w:val="none"/>
          <w:u w:val="none"/>
          <w:lang w:eastAsia="zh-CN"/>
        </w:rPr>
        <w:t>注：除</w:t>
      </w:r>
      <w:r>
        <w:rPr>
          <w:rFonts w:hint="eastAsia" w:ascii="仿宋_GB2312" w:hAnsi="宋体" w:eastAsia="仿宋_GB2312" w:cs="宋体"/>
          <w:color w:val="auto"/>
          <w:kern w:val="0"/>
          <w:sz w:val="32"/>
          <w:szCs w:val="32"/>
          <w:highlight w:val="none"/>
          <w:u w:val="none"/>
        </w:rPr>
        <w:t>党中央、国务院临时确定的重点事项，以及对农（牧、渔）民直接补贴</w:t>
      </w:r>
      <w:r>
        <w:rPr>
          <w:rFonts w:hint="eastAsia" w:ascii="仿宋_GB2312" w:hAnsi="宋体" w:eastAsia="仿宋_GB2312" w:cs="宋体"/>
          <w:color w:val="auto"/>
          <w:kern w:val="0"/>
          <w:sz w:val="32"/>
          <w:szCs w:val="32"/>
          <w:highlight w:val="none"/>
          <w:u w:val="none"/>
          <w:lang w:eastAsia="zh-CN"/>
        </w:rPr>
        <w:t>、采取项目法管理、实行定额补助等任务资金外，其他资金测算原则上应</w:t>
      </w:r>
      <w:r>
        <w:rPr>
          <w:rFonts w:hint="eastAsia" w:ascii="仿宋_GB2312" w:hAnsi="宋体" w:eastAsia="仿宋_GB2312" w:cs="宋体"/>
          <w:color w:val="auto"/>
          <w:kern w:val="0"/>
          <w:sz w:val="32"/>
          <w:szCs w:val="32"/>
          <w:highlight w:val="none"/>
          <w:u w:val="none"/>
        </w:rPr>
        <w:t>根据绩效评价结果等</w:t>
      </w:r>
      <w:r>
        <w:rPr>
          <w:rFonts w:hint="eastAsia" w:ascii="仿宋_GB2312" w:hAnsi="宋体" w:eastAsia="仿宋_GB2312" w:cs="宋体"/>
          <w:color w:val="auto"/>
          <w:kern w:val="0"/>
          <w:sz w:val="32"/>
          <w:szCs w:val="32"/>
          <w:highlight w:val="none"/>
          <w:u w:val="none"/>
          <w:lang w:eastAsia="zh-CN"/>
        </w:rPr>
        <w:t>合理设置调节系数</w:t>
      </w:r>
      <w:r>
        <w:rPr>
          <w:rFonts w:hint="eastAsia" w:ascii="仿宋_GB2312" w:hAnsi="宋体" w:eastAsia="仿宋_GB2312" w:cs="宋体"/>
          <w:color w:val="auto"/>
          <w:kern w:val="0"/>
          <w:sz w:val="32"/>
          <w:szCs w:val="32"/>
          <w:highlight w:val="none"/>
          <w:u w:val="none"/>
        </w:rPr>
        <w:t>进行适当调节</w:t>
      </w:r>
      <w:r>
        <w:rPr>
          <w:rFonts w:hint="eastAsia" w:ascii="仿宋_GB2312" w:hAnsi="宋体" w:eastAsia="仿宋_GB2312" w:cs="宋体"/>
          <w:color w:val="auto"/>
          <w:kern w:val="0"/>
          <w:sz w:val="32"/>
          <w:szCs w:val="32"/>
          <w:highlight w:val="none"/>
          <w:u w:val="none"/>
          <w:lang w:eastAsia="zh-CN"/>
        </w:rPr>
        <w:t>，测算公式参考：</w:t>
      </w:r>
    </w:p>
    <w:p>
      <w:pPr>
        <w:rPr>
          <w:rFonts w:hint="eastAsia" w:ascii="Cambria Math" w:hAnsi="Cambria Math" w:eastAsia="仿宋_GB2312"/>
          <w:b w:val="0"/>
          <w:i w:val="0"/>
          <w:color w:val="auto"/>
          <w:sz w:val="24"/>
          <w:szCs w:val="24"/>
          <w:highlight w:val="none"/>
          <w:u w:val="none"/>
        </w:rPr>
      </w:pPr>
      <w:r>
        <w:rPr>
          <w:rFonts w:hint="eastAsia" w:ascii="Cambria Math" w:hAnsi="Cambria Math" w:eastAsia="仿宋_GB2312"/>
          <w:b w:val="0"/>
          <w:i w:val="0"/>
          <w:color w:val="auto"/>
          <w:sz w:val="24"/>
          <w:szCs w:val="24"/>
          <w:highlight w:val="none"/>
          <w:u w:val="none"/>
          <w:lang w:val="en-US" w:eastAsia="zh-CN"/>
        </w:rPr>
        <w:t>1、</w:t>
      </w:r>
      <m:oMath>
        <m:r>
          <m:rPr>
            <m:sty m:val="p"/>
          </m:rPr>
          <w:rPr>
            <w:rFonts w:hint="eastAsia" w:ascii="Cambria Math" w:hAnsi="Cambria Math" w:eastAsia="仿宋_GB2312"/>
            <w:color w:val="auto"/>
            <w:sz w:val="24"/>
            <w:szCs w:val="24"/>
            <w:highlight w:val="none"/>
            <w:u w:val="none"/>
          </w:rPr>
          <m:t>某</m:t>
        </m:r>
        <m:r>
          <m:rPr>
            <m:sty m:val="p"/>
          </m:rPr>
          <w:rPr>
            <w:rFonts w:hint="eastAsia" w:ascii="DejaVu Math TeX Gyre" w:hAnsi="DejaVu Math TeX Gyre" w:eastAsia="仿宋_GB2312"/>
            <w:color w:val="auto"/>
            <w:sz w:val="24"/>
            <w:szCs w:val="24"/>
            <w:highlight w:val="none"/>
            <w:u w:val="none"/>
            <w:lang w:eastAsia="zh-CN"/>
          </w:rPr>
          <m:t>市县</m:t>
        </m:r>
        <m:r>
          <m:rPr>
            <m:sty m:val="p"/>
          </m:rPr>
          <w:rPr>
            <w:rFonts w:hint="eastAsia" w:ascii="Cambria Math" w:hAnsi="Cambria Math" w:eastAsia="仿宋_GB2312"/>
            <w:color w:val="auto"/>
            <w:sz w:val="24"/>
            <w:szCs w:val="24"/>
            <w:highlight w:val="none"/>
            <w:u w:val="none"/>
          </w:rPr>
          <m:t>资金数=</m:t>
        </m:r>
        <m:f>
          <m:fPr>
            <m:ctrlPr>
              <w:rPr>
                <w:rFonts w:hint="eastAsia" w:ascii="Cambria Math" w:hAnsi="Cambria Math" w:eastAsia="仿宋_GB2312"/>
                <w:iCs/>
                <w:color w:val="auto"/>
                <w:sz w:val="24"/>
                <w:szCs w:val="24"/>
                <w:highlight w:val="none"/>
                <w:u w:val="none"/>
              </w:rPr>
            </m:ctrlPr>
          </m:fPr>
          <m:num>
            <m:r>
              <m:rPr>
                <m:sty m:val="p"/>
              </m:rPr>
              <w:rPr>
                <w:rFonts w:hint="eastAsia" w:ascii="Cambria Math" w:hAnsi="Cambria Math" w:eastAsia="仿宋_GB2312"/>
                <w:color w:val="auto"/>
                <w:sz w:val="24"/>
                <w:szCs w:val="24"/>
                <w:highlight w:val="none"/>
                <w:u w:val="none"/>
              </w:rPr>
              <m:t>该</m:t>
            </m:r>
            <m:r>
              <m:rPr>
                <m:sty m:val="p"/>
              </m:rPr>
              <w:rPr>
                <w:rFonts w:hint="eastAsia" w:ascii="DejaVu Math TeX Gyre" w:hAnsi="DejaVu Math TeX Gyre" w:eastAsia="仿宋_GB2312"/>
                <w:color w:val="auto"/>
                <w:sz w:val="24"/>
                <w:szCs w:val="24"/>
                <w:highlight w:val="none"/>
                <w:u w:val="none"/>
                <w:lang w:eastAsia="zh-CN"/>
              </w:rPr>
              <m:t>市县</m:t>
            </m:r>
            <m:r>
              <m:rPr>
                <m:sty m:val="p"/>
              </m:rPr>
              <w:rPr>
                <w:rFonts w:hint="eastAsia" w:ascii="Cambria Math" w:hAnsi="Cambria Math" w:eastAsia="仿宋_GB2312"/>
                <w:color w:val="auto"/>
                <w:sz w:val="24"/>
                <w:szCs w:val="24"/>
                <w:highlight w:val="none"/>
                <w:u w:val="none"/>
              </w:rPr>
              <m:t>因素测算资金数×绩效调节系数</m:t>
            </m:r>
            <m:ctrlPr>
              <w:rPr>
                <w:rFonts w:hint="eastAsia" w:ascii="Cambria Math" w:hAnsi="Cambria Math" w:eastAsia="仿宋_GB2312"/>
                <w:iCs/>
                <w:color w:val="auto"/>
                <w:sz w:val="24"/>
                <w:szCs w:val="24"/>
                <w:highlight w:val="none"/>
                <w:u w:val="none"/>
              </w:rPr>
            </m:ctrlPr>
          </m:num>
          <m:den>
            <m:nary>
              <m:naryPr>
                <m:chr m:val="∑"/>
                <m:limLoc m:val="undOvr"/>
                <m:subHide m:val="true"/>
                <m:supHide m:val="true"/>
                <m:ctrlPr>
                  <w:rPr>
                    <w:rFonts w:hint="eastAsia" w:ascii="Cambria Math" w:hAnsi="Cambria Math" w:eastAsia="仿宋_GB2312"/>
                    <w:i/>
                    <w:iCs/>
                    <w:color w:val="auto"/>
                    <w:sz w:val="24"/>
                    <w:szCs w:val="24"/>
                    <w:highlight w:val="none"/>
                    <w:u w:val="none"/>
                  </w:rPr>
                </m:ctrlPr>
              </m:naryPr>
              <m:sub>
                <m:ctrlPr>
                  <w:rPr>
                    <w:rFonts w:hint="eastAsia" w:ascii="Cambria Math" w:hAnsi="Cambria Math" w:eastAsia="仿宋_GB2312"/>
                    <w:i/>
                    <w:iCs/>
                    <w:color w:val="auto"/>
                    <w:sz w:val="24"/>
                    <w:szCs w:val="24"/>
                    <w:highlight w:val="none"/>
                    <w:u w:val="none"/>
                  </w:rPr>
                </m:ctrlPr>
              </m:sub>
              <m:sup>
                <m:ctrlPr>
                  <w:rPr>
                    <w:rFonts w:hint="eastAsia" w:ascii="Cambria Math" w:hAnsi="Cambria Math" w:eastAsia="仿宋_GB2312"/>
                    <w:i/>
                    <w:iCs/>
                    <w:color w:val="auto"/>
                    <w:sz w:val="24"/>
                    <w:szCs w:val="24"/>
                    <w:highlight w:val="none"/>
                    <w:u w:val="none"/>
                  </w:rPr>
                </m:ctrlPr>
              </m:sup>
              <m:e>
                <m:d>
                  <m:dPr>
                    <m:ctrlPr>
                      <w:rPr>
                        <w:rFonts w:hint="eastAsia" w:ascii="Cambria Math" w:hAnsi="Cambria Math" w:eastAsia="仿宋_GB2312"/>
                        <w:iCs/>
                        <w:color w:val="auto"/>
                        <w:sz w:val="24"/>
                        <w:szCs w:val="24"/>
                        <w:highlight w:val="none"/>
                        <w:u w:val="none"/>
                      </w:rPr>
                    </m:ctrlPr>
                  </m:dPr>
                  <m:e>
                    <m:r>
                      <m:rPr>
                        <m:sty m:val="p"/>
                      </m:rPr>
                      <w:rPr>
                        <w:rFonts w:hint="eastAsia" w:ascii="Cambria Math" w:hAnsi="Cambria Math" w:eastAsia="仿宋_GB2312"/>
                        <w:color w:val="auto"/>
                        <w:sz w:val="24"/>
                        <w:szCs w:val="24"/>
                        <w:highlight w:val="none"/>
                        <w:u w:val="none"/>
                      </w:rPr>
                      <m:t>各</m:t>
                    </m:r>
                    <m:r>
                      <m:rPr>
                        <m:sty m:val="p"/>
                      </m:rPr>
                      <w:rPr>
                        <w:rFonts w:hint="eastAsia" w:ascii="DejaVu Math TeX Gyre" w:hAnsi="DejaVu Math TeX Gyre" w:eastAsia="仿宋_GB2312"/>
                        <w:color w:val="auto"/>
                        <w:sz w:val="24"/>
                        <w:szCs w:val="24"/>
                        <w:highlight w:val="none"/>
                        <w:u w:val="none"/>
                        <w:lang w:eastAsia="zh-CN"/>
                      </w:rPr>
                      <m:t>市县</m:t>
                    </m:r>
                    <m:r>
                      <m:rPr>
                        <m:sty m:val="p"/>
                      </m:rPr>
                      <w:rPr>
                        <w:rFonts w:hint="eastAsia" w:ascii="Cambria Math" w:hAnsi="Cambria Math" w:eastAsia="仿宋_GB2312"/>
                        <w:color w:val="auto"/>
                        <w:sz w:val="24"/>
                        <w:szCs w:val="24"/>
                        <w:highlight w:val="none"/>
                        <w:u w:val="none"/>
                      </w:rPr>
                      <m:t>因素测算资金数×绩效调节系数</m:t>
                    </m:r>
                    <m:ctrlPr>
                      <w:rPr>
                        <w:rFonts w:hint="eastAsia" w:ascii="Cambria Math" w:hAnsi="Cambria Math" w:eastAsia="仿宋_GB2312"/>
                        <w:iCs/>
                        <w:color w:val="auto"/>
                        <w:sz w:val="24"/>
                        <w:szCs w:val="24"/>
                        <w:highlight w:val="none"/>
                        <w:u w:val="none"/>
                      </w:rPr>
                    </m:ctrlPr>
                  </m:e>
                </m:d>
                <m:ctrlPr>
                  <w:rPr>
                    <w:rFonts w:hint="eastAsia" w:ascii="Cambria Math" w:hAnsi="Cambria Math" w:eastAsia="仿宋_GB2312"/>
                    <w:i/>
                    <w:iCs/>
                    <w:color w:val="auto"/>
                    <w:sz w:val="24"/>
                    <w:szCs w:val="24"/>
                    <w:highlight w:val="none"/>
                    <w:u w:val="none"/>
                  </w:rPr>
                </m:ctrlPr>
              </m:e>
            </m:nary>
            <m:ctrlPr>
              <w:rPr>
                <w:rFonts w:hint="eastAsia" w:ascii="Cambria Math" w:hAnsi="Cambria Math" w:eastAsia="仿宋_GB2312"/>
                <w:iCs/>
                <w:color w:val="auto"/>
                <w:sz w:val="24"/>
                <w:szCs w:val="24"/>
                <w:highlight w:val="none"/>
                <w:u w:val="none"/>
              </w:rPr>
            </m:ctrlPr>
          </m:den>
        </m:f>
        <m:r>
          <m:rPr/>
          <w:rPr>
            <w:rFonts w:hint="eastAsia" w:ascii="Cambria Math" w:hAnsi="Cambria Math" w:eastAsia="仿宋_GB2312"/>
            <w:color w:val="auto"/>
            <w:sz w:val="24"/>
            <w:szCs w:val="24"/>
            <w:highlight w:val="none"/>
            <w:u w:val="none"/>
          </w:rPr>
          <m:t>×</m:t>
        </m:r>
        <m:r>
          <m:rPr>
            <m:sty m:val="p"/>
          </m:rPr>
          <w:rPr>
            <w:rFonts w:hint="eastAsia" w:ascii="Cambria Math" w:hAnsi="Cambria Math" w:eastAsia="仿宋_GB2312"/>
            <w:color w:val="auto"/>
            <w:sz w:val="24"/>
            <w:szCs w:val="24"/>
            <w:highlight w:val="none"/>
            <w:u w:val="none"/>
          </w:rPr>
          <m:t>资金总额</m:t>
        </m:r>
      </m:oMath>
    </w:p>
    <w:p>
      <w:pPr>
        <w:pStyle w:val="2"/>
        <w:rPr>
          <w:rFonts w:hint="eastAsia"/>
          <w:color w:val="auto"/>
          <w:highlight w:val="none"/>
          <w:u w:val="none"/>
        </w:rPr>
      </w:pPr>
    </w:p>
    <w:p>
      <w:pPr>
        <w:pStyle w:val="2"/>
        <w:numPr>
          <w:ilvl w:val="0"/>
          <w:numId w:val="0"/>
        </w:numPr>
        <w:rPr>
          <w:rFonts w:hint="eastAsia" w:ascii="CESI仿宋-GB2312" w:hAnsi="CESI仿宋-GB2312" w:eastAsia="CESI仿宋-GB2312" w:cs="CESI仿宋-GB2312"/>
          <w:color w:val="auto"/>
          <w:sz w:val="30"/>
          <w:szCs w:val="30"/>
          <w:highlight w:val="none"/>
          <w:u w:val="none"/>
        </w:rPr>
      </w:pPr>
      <w:r>
        <w:rPr>
          <w:rFonts w:hint="eastAsia" w:ascii="Cambria Math" w:hAnsi="Cambria Math" w:eastAsia="仿宋_GB2312"/>
          <w:b w:val="0"/>
          <w:i w:val="0"/>
          <w:color w:val="auto"/>
          <w:sz w:val="24"/>
          <w:szCs w:val="24"/>
          <w:highlight w:val="none"/>
          <w:u w:val="none"/>
          <w:lang w:val="en-US" w:eastAsia="zh-CN"/>
        </w:rPr>
        <w:t>2、</w:t>
      </w:r>
      <m:oMath>
        <m:r>
          <m:rPr>
            <m:sty m:val="p"/>
          </m:rPr>
          <w:rPr>
            <w:rFonts w:hint="eastAsia" w:ascii="DejaVu Math TeX Gyre" w:hAnsi="DejaVu Math TeX Gyre" w:eastAsia="CESI仿宋-GB2312" w:cs="CESI仿宋-GB2312"/>
            <w:color w:val="auto"/>
            <w:sz w:val="30"/>
            <w:szCs w:val="30"/>
            <w:highlight w:val="none"/>
            <w:u w:val="none"/>
            <w:lang w:val="en-US" w:eastAsia="zh-CN"/>
          </w:rPr>
          <m:t>绩效调节系数</m:t>
        </m:r>
        <m:r>
          <m:rPr>
            <m:sty m:val="p"/>
          </m:rPr>
          <w:rPr>
            <w:rFonts w:hint="eastAsia" w:ascii="DejaVu Math TeX Gyre" w:hAnsi="DejaVu Math TeX Gyre" w:eastAsia="CESI仿宋-GB2312" w:cs="CESI仿宋-GB2312"/>
            <w:color w:val="auto"/>
            <w:sz w:val="30"/>
            <w:szCs w:val="30"/>
            <w:highlight w:val="none"/>
            <w:u w:val="none"/>
          </w:rPr>
          <m:t>=</m:t>
        </m:r>
        <m:f>
          <m:fPr>
            <m:ctrlPr>
              <w:rPr>
                <w:rFonts w:hint="eastAsia" w:ascii="DejaVu Math TeX Gyre" w:hAnsi="DejaVu Math TeX Gyre" w:eastAsia="CESI仿宋-GB2312" w:cs="CESI仿宋-GB2312"/>
                <w:iCs/>
                <w:color w:val="auto"/>
                <w:sz w:val="30"/>
                <w:szCs w:val="30"/>
                <w:highlight w:val="none"/>
                <w:u w:val="none"/>
              </w:rPr>
            </m:ctrlPr>
          </m:fPr>
          <m:num>
            <m:r>
              <m:rPr>
                <m:sty m:val="p"/>
              </m:rPr>
              <w:rPr>
                <w:rFonts w:hint="eastAsia" w:ascii="DejaVu Math TeX Gyre" w:hAnsi="DejaVu Math TeX Gyre" w:eastAsia="CESI仿宋-GB2312" w:cs="CESI仿宋-GB2312"/>
                <w:color w:val="auto"/>
                <w:sz w:val="30"/>
                <w:szCs w:val="30"/>
                <w:highlight w:val="none"/>
                <w:u w:val="none"/>
                <w:lang w:val="en-US" w:eastAsia="zh-CN"/>
              </w:rPr>
              <m:t>该市县绩效评价得分－全省市县最低得分</m:t>
            </m:r>
            <m:ctrlPr>
              <w:rPr>
                <w:rFonts w:hint="eastAsia" w:ascii="DejaVu Math TeX Gyre" w:hAnsi="DejaVu Math TeX Gyre" w:eastAsia="CESI仿宋-GB2312" w:cs="CESI仿宋-GB2312"/>
                <w:iCs/>
                <w:color w:val="auto"/>
                <w:sz w:val="30"/>
                <w:szCs w:val="30"/>
                <w:highlight w:val="none"/>
                <w:u w:val="none"/>
              </w:rPr>
            </m:ctrlPr>
          </m:num>
          <m:den>
            <m:r>
              <m:rPr>
                <m:sty m:val="p"/>
              </m:rPr>
              <w:rPr>
                <w:rFonts w:hint="eastAsia" w:ascii="DejaVu Math TeX Gyre" w:hAnsi="DejaVu Math TeX Gyre" w:eastAsia="CESI仿宋-GB2312" w:cs="CESI仿宋-GB2312"/>
                <w:color w:val="auto"/>
                <w:sz w:val="30"/>
                <w:szCs w:val="30"/>
                <w:highlight w:val="none"/>
                <w:u w:val="none"/>
                <w:lang w:val="en-US" w:eastAsia="zh-CN"/>
              </w:rPr>
              <m:t>全省市县最高得分－全省市县最低得分</m:t>
            </m:r>
            <m:ctrlPr>
              <w:rPr>
                <w:rFonts w:hint="eastAsia" w:ascii="DejaVu Math TeX Gyre" w:hAnsi="DejaVu Math TeX Gyre" w:eastAsia="CESI仿宋-GB2312" w:cs="CESI仿宋-GB2312"/>
                <w:iCs/>
                <w:color w:val="auto"/>
                <w:sz w:val="30"/>
                <w:szCs w:val="30"/>
                <w:highlight w:val="none"/>
                <w:u w:val="none"/>
              </w:rPr>
            </m:ctrlPr>
          </m:den>
        </m:f>
        <m:r>
          <m:rPr/>
          <w:rPr>
            <w:rFonts w:hint="eastAsia" w:ascii="DejaVu Math TeX Gyre" w:hAnsi="DejaVu Math TeX Gyre" w:eastAsia="CESI仿宋-GB2312" w:cs="CESI仿宋-GB2312"/>
            <w:color w:val="auto"/>
            <w:sz w:val="30"/>
            <w:szCs w:val="30"/>
            <w:highlight w:val="none"/>
            <w:u w:val="none"/>
          </w:rPr>
          <m:t>×</m:t>
        </m:r>
        <m:r>
          <m:rPr/>
          <w:rPr>
            <w:rFonts w:hint="eastAsia" w:ascii="DejaVu Math TeX Gyre" w:hAnsi="DejaVu Math TeX Gyre" w:eastAsia="CESI仿宋-GB2312" w:cs="CESI仿宋-GB2312"/>
            <w:color w:val="auto"/>
            <w:sz w:val="30"/>
            <w:szCs w:val="30"/>
            <w:highlight w:val="none"/>
            <w:u w:val="none"/>
            <w:lang w:eastAsia="zh-CN"/>
          </w:rPr>
          <m:t>Ｘ</m:t>
        </m:r>
      </m:oMath>
      <w:r>
        <w:rPr>
          <w:rFonts w:hint="eastAsia" w:ascii="CESI仿宋-GB2312" w:hAnsi="CESI仿宋-GB2312" w:eastAsia="CESI仿宋-GB2312" w:cs="CESI仿宋-GB2312"/>
          <w:i w:val="0"/>
          <w:color w:val="auto"/>
          <w:sz w:val="30"/>
          <w:szCs w:val="30"/>
          <w:highlight w:val="none"/>
          <w:u w:val="none"/>
          <w:lang w:eastAsia="zh-CN"/>
        </w:rPr>
        <w:t>＋１</w:t>
      </w:r>
    </w:p>
    <w:p>
      <w:pPr>
        <w:pStyle w:val="2"/>
        <w:rPr>
          <w:rFonts w:hint="eastAsia" w:ascii="CESI仿宋-GB2312" w:hAnsi="CESI仿宋-GB2312" w:eastAsia="CESI仿宋-GB2312" w:cs="CESI仿宋-GB2312"/>
          <w:color w:val="auto"/>
          <w:sz w:val="30"/>
          <w:szCs w:val="30"/>
          <w:highlight w:val="none"/>
          <w:u w:val="none"/>
        </w:rPr>
      </w:pPr>
    </w:p>
    <w:p>
      <w:pPr>
        <w:pStyle w:val="3"/>
        <w:ind w:left="0" w:leftChars="0" w:firstLine="0" w:firstLineChars="0"/>
        <w:rPr>
          <w:rFonts w:hint="eastAsia" w:ascii="CESI仿宋-GB2312" w:hAnsi="CESI仿宋-GB2312" w:eastAsia="CESI仿宋-GB2312" w:cs="CESI仿宋-GB2312"/>
          <w:b w:val="0"/>
          <w:i w:val="0"/>
          <w:color w:val="auto"/>
          <w:sz w:val="30"/>
          <w:szCs w:val="30"/>
          <w:highlight w:val="none"/>
          <w:u w:val="none"/>
          <w:lang w:val="en-US" w:eastAsia="zh-CN"/>
        </w:rPr>
      </w:pPr>
      <w:r>
        <w:rPr>
          <w:rFonts w:hint="eastAsia" w:ascii="CESI仿宋-GB2312" w:hAnsi="CESI仿宋-GB2312" w:eastAsia="CESI仿宋-GB2312" w:cs="CESI仿宋-GB2312"/>
          <w:b w:val="0"/>
          <w:i w:val="0"/>
          <w:color w:val="auto"/>
          <w:sz w:val="30"/>
          <w:szCs w:val="30"/>
          <w:highlight w:val="none"/>
          <w:u w:val="none"/>
          <w:lang w:val="en-US" w:eastAsia="zh-CN"/>
        </w:rPr>
        <w:t>注：X为调节系数，根据需要取0-0.2之间，数值越大调节的幅度越大。</w:t>
      </w:r>
    </w:p>
    <w:p>
      <w:pPr>
        <w:pStyle w:val="3"/>
        <w:ind w:left="0" w:leftChars="0" w:firstLine="0" w:firstLineChars="0"/>
        <w:rPr>
          <w:rFonts w:hint="eastAsia" w:ascii="宋体" w:hAnsi="宋体" w:cs="宋体"/>
          <w:b w:val="0"/>
          <w:i w:val="0"/>
          <w:color w:val="auto"/>
          <w:sz w:val="21"/>
          <w:szCs w:val="21"/>
          <w:highlight w:val="none"/>
          <w:u w:val="none"/>
          <w:lang w:val="en-US" w:eastAsia="zh-CN"/>
        </w:rPr>
      </w:pPr>
    </w:p>
    <w:p>
      <w:pPr>
        <w:rPr>
          <w:color w:val="auto"/>
          <w:highlight w:val="none"/>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auto"/>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MzVmNzZhNmJiNDI2Y2U1NGU4OGRhYTYzNGQ1ZWUifQ=="/>
  </w:docVars>
  <w:rsids>
    <w:rsidRoot w:val="43227D91"/>
    <w:rsid w:val="13770733"/>
    <w:rsid w:val="3D0361D2"/>
    <w:rsid w:val="43227D91"/>
    <w:rsid w:val="7AEA7A1A"/>
    <w:rsid w:val="7DBEA854"/>
    <w:rsid w:val="BD5F4E5B"/>
    <w:rsid w:val="E6FF42BC"/>
    <w:rsid w:val="FFF6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unhideWhenUsed/>
    <w:qFormat/>
    <w:uiPriority w:val="99"/>
    <w:pPr>
      <w:ind w:firstLine="420" w:firstLineChars="200"/>
    </w:pPr>
  </w:style>
  <w:style w:type="paragraph" w:styleId="4">
    <w:name w:val="Body Text Indent"/>
    <w:basedOn w:val="1"/>
    <w:qFormat/>
    <w:uiPriority w:val="0"/>
    <w:pPr>
      <w:ind w:left="1596" w:hanging="96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2023-05-23T05:20:00Z</dcterms:created>
  <dc:creator>Administrator</dc:creator>
  <cp:lastModifiedBy>inspur</cp:lastModifiedBy>
  <dcterms:modified xsi:type="dcterms:W3CDTF">2023-06-05T13:37:03Z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DA4267ECE995439F88342BC74F61DD8E</vt:lpwstr>
  </property>
</Properties>
</file>