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topLinePunct w:val="0"/>
        <w:autoSpaceDE/>
        <w:autoSpaceDN/>
        <w:bidi w:val="0"/>
        <w:spacing w:line="600" w:lineRule="exact"/>
        <w:jc w:val="left"/>
        <w:textAlignment w:val="auto"/>
        <w:rPr>
          <w:rFonts w:hint="default" w:ascii="黑体" w:hAnsi="黑体" w:eastAsia="黑体" w:cs="黑体"/>
          <w:b w:val="0"/>
          <w:bCs w:val="0"/>
          <w:color w:val="auto"/>
          <w:kern w:val="0"/>
          <w:sz w:val="32"/>
          <w:szCs w:val="32"/>
          <w:highlight w:val="none"/>
          <w:u w:val="none"/>
          <w:lang w:val="en-US" w:eastAsia="zh-CN"/>
        </w:rPr>
      </w:pPr>
      <w:bookmarkStart w:id="0" w:name="_GoBack"/>
      <w:r>
        <w:rPr>
          <w:rFonts w:hint="eastAsia" w:ascii="黑体" w:hAnsi="黑体" w:eastAsia="黑体" w:cs="黑体"/>
          <w:b w:val="0"/>
          <w:bCs w:val="0"/>
          <w:color w:val="auto"/>
          <w:kern w:val="0"/>
          <w:sz w:val="32"/>
          <w:szCs w:val="32"/>
          <w:highlight w:val="none"/>
          <w:u w:val="none"/>
          <w:lang w:val="en-US" w:eastAsia="zh-CN"/>
        </w:rPr>
        <w:t>附件1</w:t>
      </w:r>
    </w:p>
    <w:p>
      <w:pPr>
        <w:keepNext w:val="0"/>
        <w:keepLines w:val="0"/>
        <w:pageBreakBefore w:val="0"/>
        <w:widowControl/>
        <w:kinsoku/>
        <w:wordWrap/>
        <w:topLinePunct w:val="0"/>
        <w:autoSpaceDE/>
        <w:autoSpaceDN/>
        <w:bidi w:val="0"/>
        <w:spacing w:line="600" w:lineRule="exact"/>
        <w:jc w:val="left"/>
        <w:textAlignment w:val="auto"/>
        <w:rPr>
          <w:rFonts w:hint="eastAsia" w:ascii="黑体" w:hAnsi="黑体" w:eastAsia="黑体" w:cs="黑体"/>
          <w:b w:val="0"/>
          <w:bCs w:val="0"/>
          <w:color w:val="auto"/>
          <w:kern w:val="0"/>
          <w:sz w:val="32"/>
          <w:szCs w:val="32"/>
          <w:highlight w:val="none"/>
          <w:u w:val="none"/>
          <w:lang w:val="en-US" w:eastAsia="zh-CN"/>
        </w:rPr>
      </w:pPr>
    </w:p>
    <w:p>
      <w:pPr>
        <w:keepNext w:val="0"/>
        <w:keepLines w:val="0"/>
        <w:pageBreakBefore w:val="0"/>
        <w:widowControl/>
        <w:kinsoku/>
        <w:wordWrap/>
        <w:topLinePunct w:val="0"/>
        <w:autoSpaceDE/>
        <w:autoSpaceDN/>
        <w:bidi w:val="0"/>
        <w:spacing w:line="600" w:lineRule="exact"/>
        <w:jc w:val="center"/>
        <w:textAlignment w:val="auto"/>
        <w:rPr>
          <w:rFonts w:hint="eastAsia" w:ascii="方正小标宋简体" w:hAnsi="方正小标宋简体" w:eastAsia="方正小标宋简体" w:cs="方正小标宋简体"/>
          <w:b w:val="0"/>
          <w:bCs w:val="0"/>
          <w:color w:val="auto"/>
          <w:kern w:val="0"/>
          <w:sz w:val="36"/>
          <w:szCs w:val="36"/>
          <w:highlight w:val="none"/>
          <w:u w:val="none"/>
          <w:lang w:eastAsia="zh-CN"/>
        </w:rPr>
      </w:pPr>
      <w:r>
        <w:rPr>
          <w:rFonts w:hint="eastAsia" w:ascii="方正小标宋简体" w:hAnsi="方正小标宋简体" w:eastAsia="方正小标宋简体" w:cs="方正小标宋简体"/>
          <w:b w:val="0"/>
          <w:bCs w:val="0"/>
          <w:color w:val="auto"/>
          <w:kern w:val="0"/>
          <w:sz w:val="36"/>
          <w:szCs w:val="36"/>
          <w:highlight w:val="none"/>
          <w:u w:val="none"/>
          <w:lang w:val="en-US" w:eastAsia="zh-CN"/>
        </w:rPr>
        <w:t>粮油生产保障</w:t>
      </w:r>
      <w:r>
        <w:rPr>
          <w:rFonts w:hint="eastAsia" w:ascii="方正小标宋简体" w:hAnsi="方正小标宋简体" w:eastAsia="方正小标宋简体" w:cs="方正小标宋简体"/>
          <w:b w:val="0"/>
          <w:bCs w:val="0"/>
          <w:color w:val="auto"/>
          <w:kern w:val="0"/>
          <w:sz w:val="36"/>
          <w:szCs w:val="36"/>
          <w:highlight w:val="none"/>
          <w:u w:val="none"/>
        </w:rPr>
        <w:t>资金管理</w:t>
      </w:r>
      <w:r>
        <w:rPr>
          <w:rFonts w:hint="eastAsia" w:ascii="方正小标宋简体" w:hAnsi="方正小标宋简体" w:eastAsia="方正小标宋简体" w:cs="方正小标宋简体"/>
          <w:b w:val="0"/>
          <w:bCs w:val="0"/>
          <w:color w:val="auto"/>
          <w:kern w:val="0"/>
          <w:sz w:val="36"/>
          <w:szCs w:val="36"/>
          <w:highlight w:val="none"/>
          <w:u w:val="none"/>
          <w:lang w:eastAsia="zh-CN"/>
        </w:rPr>
        <w:t>实施细则</w:t>
      </w:r>
    </w:p>
    <w:p>
      <w:pPr>
        <w:keepNext w:val="0"/>
        <w:keepLines w:val="0"/>
        <w:pageBreakBefore w:val="0"/>
        <w:widowControl/>
        <w:kinsoku/>
        <w:wordWrap/>
        <w:topLinePunct w:val="0"/>
        <w:autoSpaceDE/>
        <w:autoSpaceDN/>
        <w:bidi w:val="0"/>
        <w:spacing w:line="600" w:lineRule="exact"/>
        <w:jc w:val="left"/>
        <w:textAlignment w:val="auto"/>
        <w:rPr>
          <w:rFonts w:ascii="宋体" w:hAnsi="宋体" w:eastAsia="宋体" w:cs="宋体"/>
          <w:color w:val="auto"/>
          <w:kern w:val="0"/>
          <w:sz w:val="30"/>
          <w:szCs w:val="30"/>
          <w:highlight w:val="none"/>
          <w:u w:val="none"/>
        </w:rPr>
      </w:pPr>
    </w:p>
    <w:p>
      <w:pPr>
        <w:keepNext w:val="0"/>
        <w:keepLines w:val="0"/>
        <w:pageBreakBefore w:val="0"/>
        <w:widowControl/>
        <w:kinsoku/>
        <w:wordWrap/>
        <w:overflowPunct/>
        <w:topLinePunct w:val="0"/>
        <w:autoSpaceDE/>
        <w:autoSpaceDN/>
        <w:bidi w:val="0"/>
        <w:adjustRightInd/>
        <w:snapToGrid/>
        <w:spacing w:line="600" w:lineRule="exact"/>
        <w:ind w:left="1080" w:hanging="1080"/>
        <w:jc w:val="center"/>
        <w:textAlignment w:val="auto"/>
        <w:rPr>
          <w:rFonts w:hint="eastAsia" w:ascii="黑体" w:hAnsi="黑体" w:eastAsia="黑体" w:cs="黑体"/>
          <w:b w:val="0"/>
          <w:bCs w:val="0"/>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第一章 </w:t>
      </w:r>
      <w:r>
        <w:rPr>
          <w:rFonts w:hint="eastAsia" w:ascii="黑体" w:hAnsi="黑体" w:eastAsia="黑体" w:cs="黑体"/>
          <w:b w:val="0"/>
          <w:bCs w:val="0"/>
          <w:color w:val="auto"/>
          <w:kern w:val="0"/>
          <w:sz w:val="32"/>
          <w:szCs w:val="32"/>
          <w:highlight w:val="none"/>
          <w:u w:val="none"/>
          <w:lang w:val="en"/>
        </w:rPr>
        <w:t xml:space="preserve"> </w:t>
      </w:r>
      <w:r>
        <w:rPr>
          <w:rFonts w:hint="eastAsia" w:ascii="黑体" w:hAnsi="黑体" w:eastAsia="黑体" w:cs="黑体"/>
          <w:b w:val="0"/>
          <w:bCs w:val="0"/>
          <w:color w:val="auto"/>
          <w:kern w:val="0"/>
          <w:sz w:val="32"/>
          <w:szCs w:val="32"/>
          <w:highlight w:val="none"/>
          <w:u w:val="none"/>
        </w:rPr>
        <w:t>总则</w:t>
      </w:r>
    </w:p>
    <w:p>
      <w:pPr>
        <w:keepNext w:val="0"/>
        <w:keepLines w:val="0"/>
        <w:pageBreakBefore w:val="0"/>
        <w:kinsoku/>
        <w:wordWrap/>
        <w:overflowPunct w:val="0"/>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bCs/>
          <w:color w:val="auto"/>
          <w:kern w:val="0"/>
          <w:sz w:val="32"/>
          <w:szCs w:val="32"/>
          <w:highlight w:val="none"/>
          <w:u w:val="none"/>
          <w:lang w:eastAsia="zh-CN"/>
        </w:rPr>
      </w:pPr>
    </w:p>
    <w:p>
      <w:pPr>
        <w:keepNext w:val="0"/>
        <w:keepLines w:val="0"/>
        <w:pageBreakBefore w:val="0"/>
        <w:kinsoku/>
        <w:wordWrap/>
        <w:overflowPunct w:val="0"/>
        <w:topLinePunct w:val="0"/>
        <w:autoSpaceDE/>
        <w:autoSpaceDN/>
        <w:bidi w:val="0"/>
        <w:adjustRightInd w:val="0"/>
        <w:snapToGrid w:val="0"/>
        <w:spacing w:line="600" w:lineRule="exact"/>
        <w:ind w:firstLine="640" w:firstLineChars="200"/>
        <w:textAlignment w:val="auto"/>
        <w:rPr>
          <w:rFonts w:ascii="宋体" w:hAnsi="宋体" w:eastAsia="宋体"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第一条</w:t>
      </w:r>
      <w:r>
        <w:rPr>
          <w:rFonts w:hint="eastAsia" w:ascii="仿宋_GB2312" w:hAnsi="仿宋_GB2312" w:eastAsia="仿宋_GB2312" w:cs="仿宋_GB2312"/>
          <w:color w:val="auto"/>
          <w:kern w:val="0"/>
          <w:sz w:val="32"/>
          <w:szCs w:val="32"/>
          <w:highlight w:val="none"/>
          <w:u w:val="none"/>
          <w:lang w:val="en"/>
        </w:rPr>
        <w:t xml:space="preserve"> </w:t>
      </w:r>
      <w:r>
        <w:rPr>
          <w:rFonts w:hint="eastAsia" w:ascii="仿宋_GB2312" w:hAnsi="仿宋_GB2312" w:eastAsia="仿宋_GB2312" w:cs="仿宋_GB2312"/>
          <w:color w:val="auto"/>
          <w:kern w:val="0"/>
          <w:sz w:val="32"/>
          <w:szCs w:val="32"/>
          <w:highlight w:val="none"/>
          <w:u w:val="none"/>
        </w:rPr>
        <w:t>为加强</w:t>
      </w:r>
      <w:r>
        <w:rPr>
          <w:rFonts w:hint="eastAsia" w:ascii="仿宋_GB2312" w:hAnsi="仿宋_GB2312" w:eastAsia="仿宋_GB2312" w:cs="仿宋_GB2312"/>
          <w:color w:val="auto"/>
          <w:kern w:val="0"/>
          <w:sz w:val="32"/>
          <w:szCs w:val="32"/>
          <w:highlight w:val="none"/>
          <w:u w:val="none"/>
          <w:lang w:val="en-US" w:eastAsia="zh-CN"/>
        </w:rPr>
        <w:t>粮油生产保障资金</w:t>
      </w:r>
      <w:r>
        <w:rPr>
          <w:rFonts w:hint="eastAsia" w:ascii="仿宋_GB2312" w:hAnsi="仿宋_GB2312" w:eastAsia="仿宋_GB2312" w:cs="仿宋_GB2312"/>
          <w:color w:val="auto"/>
          <w:kern w:val="0"/>
          <w:sz w:val="32"/>
          <w:szCs w:val="32"/>
          <w:highlight w:val="none"/>
          <w:u w:val="none"/>
        </w:rPr>
        <w:t>管理</w:t>
      </w:r>
      <w:r>
        <w:rPr>
          <w:rFonts w:hint="eastAsia" w:ascii="仿宋_GB2312" w:hAnsi="宋体" w:eastAsia="仿宋_GB2312" w:cs="宋体"/>
          <w:color w:val="auto"/>
          <w:kern w:val="0"/>
          <w:sz w:val="32"/>
          <w:szCs w:val="32"/>
          <w:highlight w:val="none"/>
          <w:u w:val="none"/>
        </w:rPr>
        <w:t>，提高资金使用的规范性、安全性和有效性</w:t>
      </w:r>
      <w:r>
        <w:rPr>
          <w:rFonts w:hint="eastAsia" w:ascii="仿宋_GB2312" w:hAnsi="仿宋_GB2312" w:eastAsia="仿宋_GB2312" w:cs="仿宋_GB2312"/>
          <w:color w:val="auto"/>
          <w:kern w:val="0"/>
          <w:sz w:val="32"/>
          <w:szCs w:val="32"/>
          <w:highlight w:val="none"/>
          <w:u w:val="none"/>
        </w:rPr>
        <w:t>，增强粮油生产保障能力，根据《中华人民共和国预算法》</w:t>
      </w:r>
      <w:r>
        <w:rPr>
          <w:rFonts w:hint="eastAsia" w:ascii="仿宋_GB2312" w:hAnsi="仿宋_GB2312" w:eastAsia="仿宋_GB2312" w:cs="仿宋_GB2312"/>
          <w:color w:val="auto"/>
          <w:kern w:val="0"/>
          <w:sz w:val="32"/>
          <w:szCs w:val="32"/>
          <w:highlight w:val="none"/>
          <w:u w:val="none"/>
          <w:lang w:eastAsia="zh-CN"/>
        </w:rPr>
        <w:t>、</w:t>
      </w:r>
      <w:r>
        <w:rPr>
          <w:rFonts w:hint="eastAsia" w:ascii="仿宋_GB2312" w:hAnsi="仿宋_GB2312" w:eastAsia="仿宋_GB2312" w:cs="仿宋_GB2312"/>
          <w:color w:val="auto"/>
          <w:kern w:val="0"/>
          <w:sz w:val="32"/>
          <w:szCs w:val="32"/>
          <w:highlight w:val="none"/>
          <w:u w:val="none"/>
        </w:rPr>
        <w:t>《中华人民共和国预算法实施条例》</w:t>
      </w:r>
      <w:r>
        <w:rPr>
          <w:rFonts w:hint="eastAsia" w:ascii="仿宋_GB2312" w:hAnsi="仿宋_GB2312" w:eastAsia="仿宋_GB2312" w:cs="仿宋_GB2312"/>
          <w:color w:val="auto"/>
          <w:kern w:val="0"/>
          <w:sz w:val="32"/>
          <w:szCs w:val="32"/>
          <w:highlight w:val="none"/>
          <w:u w:val="none"/>
          <w:lang w:eastAsia="zh-CN"/>
        </w:rPr>
        <w:t>、《关于印发农业相关转移支付资金管理办法的通知》</w:t>
      </w:r>
      <w:r>
        <w:rPr>
          <w:rFonts w:hint="eastAsia" w:ascii="仿宋_GB2312" w:hAnsi="仿宋_GB2312" w:eastAsia="仿宋_GB2312" w:cs="仿宋_GB2312"/>
          <w:color w:val="auto"/>
          <w:kern w:val="0"/>
          <w:sz w:val="32"/>
          <w:szCs w:val="32"/>
          <w:highlight w:val="none"/>
          <w:u w:val="none"/>
        </w:rPr>
        <w:t>等有关法律法规和制度规定，制定本</w:t>
      </w:r>
      <w:r>
        <w:rPr>
          <w:rFonts w:hint="eastAsia" w:ascii="仿宋_GB2312" w:hAnsi="仿宋_GB2312" w:eastAsia="仿宋_GB2312" w:cs="仿宋_GB2312"/>
          <w:color w:val="auto"/>
          <w:kern w:val="0"/>
          <w:sz w:val="32"/>
          <w:szCs w:val="32"/>
          <w:highlight w:val="none"/>
          <w:u w:val="none"/>
          <w:lang w:eastAsia="zh-CN"/>
        </w:rPr>
        <w:t>实施细则（以下简称“细则”）</w:t>
      </w:r>
      <w:r>
        <w:rPr>
          <w:rFonts w:hint="eastAsia" w:ascii="仿宋_GB2312" w:hAnsi="仿宋_GB2312" w:eastAsia="仿宋_GB2312" w:cs="仿宋_GB2312"/>
          <w:color w:val="auto"/>
          <w:kern w:val="0"/>
          <w:sz w:val="32"/>
          <w:szCs w:val="32"/>
          <w:highlight w:val="none"/>
          <w:u w:val="none"/>
        </w:rPr>
        <w:t>。</w:t>
      </w:r>
    </w:p>
    <w:p>
      <w:pPr>
        <w:keepNext w:val="0"/>
        <w:keepLines w:val="0"/>
        <w:pageBreakBefore w:val="0"/>
        <w:widowControl/>
        <w:kinsoku/>
        <w:wordWrap/>
        <w:overflowPunct/>
        <w:topLinePunct w:val="0"/>
        <w:autoSpaceDE/>
        <w:autoSpaceDN/>
        <w:bidi w:val="0"/>
        <w:adjustRightInd/>
        <w:snapToGrid/>
        <w:spacing w:line="600" w:lineRule="exact"/>
        <w:ind w:firstLine="660"/>
        <w:textAlignment w:val="auto"/>
        <w:rPr>
          <w:rFonts w:ascii="宋体" w:hAnsi="宋体" w:eastAsia="宋体"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第二条</w:t>
      </w:r>
      <w:r>
        <w:rPr>
          <w:rFonts w:hint="default" w:ascii="仿宋_GB2312" w:hAnsi="宋体" w:eastAsia="仿宋_GB2312" w:cs="宋体"/>
          <w:color w:val="auto"/>
          <w:kern w:val="0"/>
          <w:sz w:val="32"/>
          <w:szCs w:val="32"/>
          <w:highlight w:val="none"/>
          <w:u w:val="none"/>
          <w:lang w:val="en"/>
        </w:rPr>
        <w:t xml:space="preserve"> </w:t>
      </w:r>
      <w:r>
        <w:rPr>
          <w:rFonts w:hint="eastAsia" w:ascii="仿宋_GB2312" w:hAnsi="宋体" w:eastAsia="仿宋_GB2312" w:cs="宋体"/>
          <w:color w:val="auto"/>
          <w:kern w:val="0"/>
          <w:sz w:val="32"/>
          <w:szCs w:val="32"/>
          <w:highlight w:val="none"/>
          <w:u w:val="none"/>
        </w:rPr>
        <w:t>本</w:t>
      </w:r>
      <w:r>
        <w:rPr>
          <w:rFonts w:hint="eastAsia" w:ascii="仿宋_GB2312" w:hAnsi="宋体" w:eastAsia="仿宋_GB2312" w:cs="宋体"/>
          <w:color w:val="auto"/>
          <w:kern w:val="0"/>
          <w:sz w:val="32"/>
          <w:szCs w:val="32"/>
          <w:highlight w:val="none"/>
          <w:u w:val="none"/>
          <w:lang w:eastAsia="zh-CN"/>
        </w:rPr>
        <w:t>细则</w:t>
      </w:r>
      <w:r>
        <w:rPr>
          <w:rFonts w:hint="eastAsia" w:ascii="仿宋_GB2312" w:hAnsi="宋体" w:eastAsia="仿宋_GB2312" w:cs="宋体"/>
          <w:color w:val="auto"/>
          <w:kern w:val="0"/>
          <w:sz w:val="32"/>
          <w:szCs w:val="32"/>
          <w:highlight w:val="none"/>
          <w:u w:val="none"/>
        </w:rPr>
        <w:t>所称</w:t>
      </w:r>
      <w:r>
        <w:rPr>
          <w:rFonts w:hint="eastAsia" w:ascii="仿宋_GB2312" w:hAnsi="宋体" w:eastAsia="仿宋_GB2312" w:cs="宋体"/>
          <w:color w:val="auto"/>
          <w:kern w:val="0"/>
          <w:sz w:val="32"/>
          <w:szCs w:val="32"/>
          <w:highlight w:val="none"/>
          <w:u w:val="none"/>
          <w:lang w:val="en-US" w:eastAsia="zh-CN"/>
        </w:rPr>
        <w:t>粮油生产保障资金</w:t>
      </w:r>
      <w:r>
        <w:rPr>
          <w:rFonts w:hint="eastAsia" w:ascii="仿宋_GB2312" w:hAnsi="宋体" w:eastAsia="仿宋_GB2312" w:cs="宋体"/>
          <w:color w:val="auto"/>
          <w:kern w:val="0"/>
          <w:sz w:val="32"/>
          <w:szCs w:val="32"/>
          <w:highlight w:val="none"/>
          <w:u w:val="none"/>
        </w:rPr>
        <w:t>，是指中央财政安排用于</w:t>
      </w:r>
      <w:r>
        <w:rPr>
          <w:rFonts w:hint="eastAsia" w:ascii="仿宋_GB2312" w:hAnsi="宋体" w:eastAsia="仿宋_GB2312" w:cs="宋体"/>
          <w:b w:val="0"/>
          <w:bCs w:val="0"/>
          <w:color w:val="auto"/>
          <w:kern w:val="0"/>
          <w:sz w:val="32"/>
          <w:szCs w:val="32"/>
          <w:highlight w:val="none"/>
          <w:u w:val="none"/>
        </w:rPr>
        <w:t>促进</w:t>
      </w:r>
      <w:r>
        <w:rPr>
          <w:rFonts w:hint="eastAsia" w:ascii="仿宋_GB2312" w:hAnsi="宋体" w:eastAsia="仿宋_GB2312" w:cs="宋体"/>
          <w:b w:val="0"/>
          <w:bCs w:val="0"/>
          <w:color w:val="auto"/>
          <w:kern w:val="0"/>
          <w:sz w:val="32"/>
          <w:szCs w:val="32"/>
          <w:highlight w:val="none"/>
          <w:u w:val="none"/>
          <w:lang w:eastAsia="zh-CN"/>
        </w:rPr>
        <w:t>粮食和油料等重点作物</w:t>
      </w:r>
      <w:r>
        <w:rPr>
          <w:rFonts w:hint="eastAsia" w:ascii="仿宋_GB2312" w:hAnsi="宋体" w:eastAsia="仿宋_GB2312" w:cs="宋体"/>
          <w:b w:val="0"/>
          <w:bCs w:val="0"/>
          <w:color w:val="auto"/>
          <w:kern w:val="0"/>
          <w:sz w:val="32"/>
          <w:szCs w:val="32"/>
          <w:highlight w:val="none"/>
          <w:u w:val="none"/>
        </w:rPr>
        <w:t>生产、优化</w:t>
      </w:r>
      <w:r>
        <w:rPr>
          <w:rFonts w:hint="eastAsia" w:ascii="仿宋_GB2312" w:hAnsi="宋体" w:eastAsia="仿宋_GB2312" w:cs="宋体"/>
          <w:b w:val="0"/>
          <w:bCs w:val="0"/>
          <w:color w:val="auto"/>
          <w:kern w:val="0"/>
          <w:sz w:val="32"/>
          <w:szCs w:val="32"/>
          <w:highlight w:val="none"/>
          <w:u w:val="none"/>
          <w:lang w:eastAsia="zh-CN"/>
        </w:rPr>
        <w:t>种植</w:t>
      </w:r>
      <w:r>
        <w:rPr>
          <w:rFonts w:hint="eastAsia" w:ascii="仿宋_GB2312" w:hAnsi="宋体" w:eastAsia="仿宋_GB2312" w:cs="宋体"/>
          <w:b w:val="0"/>
          <w:bCs w:val="0"/>
          <w:color w:val="auto"/>
          <w:kern w:val="0"/>
          <w:sz w:val="32"/>
          <w:szCs w:val="32"/>
          <w:highlight w:val="none"/>
          <w:u w:val="none"/>
        </w:rPr>
        <w:t>结构、提高</w:t>
      </w:r>
      <w:r>
        <w:rPr>
          <w:rFonts w:hint="eastAsia" w:ascii="仿宋_GB2312" w:hAnsi="宋体" w:eastAsia="仿宋_GB2312" w:cs="宋体"/>
          <w:b w:val="0"/>
          <w:bCs w:val="0"/>
          <w:color w:val="auto"/>
          <w:kern w:val="0"/>
          <w:sz w:val="32"/>
          <w:szCs w:val="32"/>
          <w:highlight w:val="none"/>
          <w:u w:val="none"/>
          <w:lang w:eastAsia="zh-CN"/>
        </w:rPr>
        <w:t>产出</w:t>
      </w:r>
      <w:r>
        <w:rPr>
          <w:rFonts w:hint="eastAsia" w:ascii="仿宋_GB2312" w:hAnsi="宋体" w:eastAsia="仿宋_GB2312" w:cs="宋体"/>
          <w:b w:val="0"/>
          <w:bCs w:val="0"/>
          <w:color w:val="auto"/>
          <w:kern w:val="0"/>
          <w:sz w:val="32"/>
          <w:szCs w:val="32"/>
          <w:highlight w:val="none"/>
          <w:u w:val="none"/>
        </w:rPr>
        <w:t>效益</w:t>
      </w:r>
      <w:r>
        <w:rPr>
          <w:rFonts w:hint="eastAsia" w:ascii="仿宋_GB2312" w:hAnsi="宋体" w:eastAsia="仿宋_GB2312" w:cs="宋体"/>
          <w:color w:val="auto"/>
          <w:kern w:val="0"/>
          <w:sz w:val="32"/>
          <w:szCs w:val="32"/>
          <w:highlight w:val="none"/>
          <w:u w:val="none"/>
        </w:rPr>
        <w:t>等的共同财政事权转移支付资金。</w:t>
      </w:r>
      <w:r>
        <w:rPr>
          <w:rFonts w:hint="eastAsia" w:ascii="仿宋_GB2312" w:hAnsi="宋体" w:eastAsia="仿宋_GB2312" w:cs="宋体"/>
          <w:color w:val="auto"/>
          <w:kern w:val="0"/>
          <w:sz w:val="32"/>
          <w:szCs w:val="32"/>
          <w:highlight w:val="none"/>
          <w:u w:val="none"/>
          <w:lang w:val="en-US" w:eastAsia="zh-CN"/>
        </w:rPr>
        <w:t>粮油生产保障资金</w:t>
      </w:r>
      <w:r>
        <w:rPr>
          <w:rFonts w:hint="eastAsia" w:ascii="仿宋_GB2312" w:hAnsi="宋体" w:eastAsia="仿宋_GB2312" w:cs="宋体"/>
          <w:color w:val="auto"/>
          <w:kern w:val="0"/>
          <w:sz w:val="32"/>
          <w:szCs w:val="32"/>
          <w:highlight w:val="none"/>
          <w:u w:val="none"/>
        </w:rPr>
        <w:t>的分配、使用、管理和监督适用本</w:t>
      </w:r>
      <w:r>
        <w:rPr>
          <w:rFonts w:hint="eastAsia" w:ascii="仿宋_GB2312" w:hAnsi="宋体" w:eastAsia="仿宋_GB2312" w:cs="宋体"/>
          <w:color w:val="auto"/>
          <w:kern w:val="0"/>
          <w:sz w:val="32"/>
          <w:szCs w:val="32"/>
          <w:highlight w:val="none"/>
          <w:u w:val="none"/>
          <w:lang w:eastAsia="zh-CN"/>
        </w:rPr>
        <w:t>细则</w:t>
      </w:r>
      <w:r>
        <w:rPr>
          <w:rFonts w:hint="eastAsia" w:ascii="仿宋_GB2312" w:hAnsi="宋体" w:eastAsia="仿宋_GB2312" w:cs="宋体"/>
          <w:color w:val="auto"/>
          <w:kern w:val="0"/>
          <w:sz w:val="32"/>
          <w:szCs w:val="32"/>
          <w:highlight w:val="none"/>
          <w:u w:val="none"/>
        </w:rPr>
        <w:t>。</w:t>
      </w:r>
    </w:p>
    <w:p>
      <w:pPr>
        <w:keepNext w:val="0"/>
        <w:keepLines w:val="0"/>
        <w:pageBreakBefore w:val="0"/>
        <w:widowControl/>
        <w:kinsoku/>
        <w:wordWrap/>
        <w:overflowPunct/>
        <w:topLinePunct w:val="0"/>
        <w:autoSpaceDE/>
        <w:autoSpaceDN/>
        <w:bidi w:val="0"/>
        <w:adjustRightInd/>
        <w:snapToGrid/>
        <w:spacing w:line="600" w:lineRule="exact"/>
        <w:ind w:firstLine="636"/>
        <w:textAlignment w:val="auto"/>
        <w:rPr>
          <w:rFonts w:hint="eastAsia" w:ascii="宋体" w:hAnsi="宋体" w:eastAsia="仿宋_GB2312" w:cs="宋体"/>
          <w:color w:val="auto"/>
          <w:kern w:val="0"/>
          <w:sz w:val="32"/>
          <w:szCs w:val="32"/>
          <w:highlight w:val="none"/>
          <w:u w:val="none"/>
          <w:lang w:val="en-US" w:eastAsia="zh-CN"/>
        </w:rPr>
      </w:pPr>
      <w:r>
        <w:rPr>
          <w:rFonts w:hint="eastAsia" w:ascii="黑体" w:hAnsi="黑体" w:eastAsia="黑体" w:cs="黑体"/>
          <w:b w:val="0"/>
          <w:bCs w:val="0"/>
          <w:color w:val="auto"/>
          <w:kern w:val="0"/>
          <w:sz w:val="32"/>
          <w:szCs w:val="32"/>
          <w:highlight w:val="none"/>
          <w:u w:val="none"/>
        </w:rPr>
        <w:t>第</w:t>
      </w:r>
      <w:r>
        <w:rPr>
          <w:rFonts w:hint="eastAsia" w:ascii="黑体" w:hAnsi="黑体" w:eastAsia="黑体" w:cs="黑体"/>
          <w:b w:val="0"/>
          <w:bCs w:val="0"/>
          <w:color w:val="auto"/>
          <w:kern w:val="0"/>
          <w:sz w:val="32"/>
          <w:szCs w:val="32"/>
          <w:highlight w:val="none"/>
          <w:u w:val="none"/>
          <w:lang w:eastAsia="zh-CN"/>
        </w:rPr>
        <w:t>三</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粮油生产保障</w:t>
      </w:r>
      <w:r>
        <w:rPr>
          <w:rFonts w:hint="eastAsia" w:ascii="仿宋_GB2312" w:hAnsi="宋体" w:eastAsia="仿宋_GB2312" w:cs="宋体"/>
          <w:b w:val="0"/>
          <w:bCs w:val="0"/>
          <w:color w:val="auto"/>
          <w:kern w:val="0"/>
          <w:sz w:val="32"/>
          <w:szCs w:val="32"/>
          <w:highlight w:val="none"/>
          <w:u w:val="none"/>
        </w:rPr>
        <w:t>资金实施期限至202</w:t>
      </w:r>
      <w:r>
        <w:rPr>
          <w:rFonts w:hint="eastAsia" w:ascii="仿宋_GB2312" w:hAnsi="宋体" w:eastAsia="仿宋_GB2312" w:cs="宋体"/>
          <w:b w:val="0"/>
          <w:bCs w:val="0"/>
          <w:color w:val="auto"/>
          <w:kern w:val="0"/>
          <w:sz w:val="32"/>
          <w:szCs w:val="32"/>
          <w:highlight w:val="none"/>
          <w:u w:val="none"/>
          <w:lang w:val="en-US" w:eastAsia="zh-CN"/>
        </w:rPr>
        <w:t>7</w:t>
      </w:r>
      <w:r>
        <w:rPr>
          <w:rFonts w:hint="eastAsia" w:ascii="仿宋_GB2312" w:hAnsi="宋体" w:eastAsia="仿宋_GB2312" w:cs="宋体"/>
          <w:b w:val="0"/>
          <w:bCs w:val="0"/>
          <w:color w:val="auto"/>
          <w:kern w:val="0"/>
          <w:sz w:val="32"/>
          <w:szCs w:val="32"/>
          <w:highlight w:val="none"/>
          <w:u w:val="none"/>
        </w:rPr>
        <w:t>年，到期前由财政部会同农业农村部</w:t>
      </w:r>
      <w:r>
        <w:rPr>
          <w:rFonts w:hint="eastAsia" w:ascii="仿宋_GB2312" w:hAnsi="宋体" w:eastAsia="仿宋_GB2312" w:cs="宋体"/>
          <w:b w:val="0"/>
          <w:bCs w:val="0"/>
          <w:color w:val="auto"/>
          <w:kern w:val="0"/>
          <w:sz w:val="32"/>
          <w:szCs w:val="32"/>
          <w:highlight w:val="none"/>
          <w:u w:val="none"/>
          <w:lang w:eastAsia="zh-CN"/>
        </w:rPr>
        <w:t>按照有关规定开展</w:t>
      </w:r>
      <w:r>
        <w:rPr>
          <w:rFonts w:hint="eastAsia" w:ascii="仿宋_GB2312" w:hAnsi="宋体" w:eastAsia="仿宋_GB2312" w:cs="宋体"/>
          <w:b w:val="0"/>
          <w:bCs w:val="0"/>
          <w:color w:val="auto"/>
          <w:kern w:val="0"/>
          <w:sz w:val="32"/>
          <w:szCs w:val="32"/>
          <w:highlight w:val="none"/>
          <w:u w:val="none"/>
        </w:rPr>
        <w:t>评估</w:t>
      </w:r>
      <w:r>
        <w:rPr>
          <w:rFonts w:hint="eastAsia" w:ascii="仿宋_GB2312" w:hAnsi="宋体" w:eastAsia="仿宋_GB2312" w:cs="宋体"/>
          <w:b w:val="0"/>
          <w:bCs w:val="0"/>
          <w:color w:val="auto"/>
          <w:kern w:val="0"/>
          <w:sz w:val="32"/>
          <w:szCs w:val="32"/>
          <w:highlight w:val="none"/>
          <w:u w:val="none"/>
          <w:lang w:eastAsia="zh-CN"/>
        </w:rPr>
        <w:t>，并根据法律法规、国务院有关规定及评估结果确</w:t>
      </w:r>
      <w:r>
        <w:rPr>
          <w:rFonts w:hint="eastAsia" w:ascii="仿宋_GB2312" w:hAnsi="宋体" w:eastAsia="仿宋_GB2312" w:cs="宋体"/>
          <w:color w:val="auto"/>
          <w:kern w:val="0"/>
          <w:sz w:val="32"/>
          <w:szCs w:val="32"/>
          <w:highlight w:val="none"/>
          <w:u w:val="none"/>
          <w:lang w:eastAsia="zh-CN"/>
        </w:rPr>
        <w:t>定</w:t>
      </w:r>
      <w:r>
        <w:rPr>
          <w:rFonts w:hint="eastAsia" w:ascii="仿宋_GB2312" w:hAnsi="宋体" w:eastAsia="仿宋_GB2312" w:cs="宋体"/>
          <w:b w:val="0"/>
          <w:bCs w:val="0"/>
          <w:color w:val="auto"/>
          <w:kern w:val="0"/>
          <w:sz w:val="32"/>
          <w:szCs w:val="32"/>
          <w:highlight w:val="none"/>
          <w:u w:val="none"/>
          <w:lang w:eastAsia="zh-CN"/>
        </w:rPr>
        <w:t>是否</w:t>
      </w:r>
      <w:r>
        <w:rPr>
          <w:rFonts w:hint="eastAsia" w:ascii="仿宋_GB2312" w:hAnsi="宋体" w:eastAsia="仿宋_GB2312" w:cs="宋体"/>
          <w:b w:val="0"/>
          <w:bCs w:val="0"/>
          <w:color w:val="auto"/>
          <w:kern w:val="0"/>
          <w:sz w:val="32"/>
          <w:szCs w:val="32"/>
          <w:highlight w:val="none"/>
          <w:u w:val="none"/>
        </w:rPr>
        <w:t>继续实施。</w:t>
      </w:r>
    </w:p>
    <w:p>
      <w:pPr>
        <w:keepNext w:val="0"/>
        <w:keepLines w:val="0"/>
        <w:pageBreakBefore w:val="0"/>
        <w:widowControl/>
        <w:kinsoku/>
        <w:wordWrap/>
        <w:overflowPunct/>
        <w:topLinePunct w:val="0"/>
        <w:autoSpaceDE/>
        <w:autoSpaceDN/>
        <w:bidi w:val="0"/>
        <w:adjustRightInd/>
        <w:snapToGrid/>
        <w:spacing w:line="600" w:lineRule="exact"/>
        <w:ind w:firstLine="636"/>
        <w:textAlignment w:val="auto"/>
        <w:rPr>
          <w:rFonts w:ascii="宋体" w:hAnsi="宋体" w:eastAsia="宋体"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w:t>
      </w:r>
      <w:r>
        <w:rPr>
          <w:rFonts w:hint="eastAsia" w:ascii="黑体" w:hAnsi="黑体" w:eastAsia="黑体" w:cs="黑体"/>
          <w:b w:val="0"/>
          <w:bCs w:val="0"/>
          <w:color w:val="auto"/>
          <w:kern w:val="0"/>
          <w:sz w:val="32"/>
          <w:szCs w:val="32"/>
          <w:highlight w:val="none"/>
          <w:u w:val="none"/>
          <w:lang w:eastAsia="zh-CN"/>
        </w:rPr>
        <w:t>四</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粮油生产保障资金</w:t>
      </w:r>
      <w:r>
        <w:rPr>
          <w:rFonts w:hint="eastAsia" w:ascii="仿宋_GB2312" w:hAnsi="宋体" w:eastAsia="仿宋_GB2312" w:cs="宋体"/>
          <w:color w:val="auto"/>
          <w:kern w:val="0"/>
          <w:sz w:val="32"/>
          <w:szCs w:val="32"/>
          <w:highlight w:val="none"/>
          <w:u w:val="none"/>
        </w:rPr>
        <w:t>由由省财政厅会同省农业农村厅按照“政策目标明确、分配办法科学、支出方向协调、坚持绩效导向”的原则分配、使用和管理。</w:t>
      </w:r>
    </w:p>
    <w:p>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　　</w:t>
      </w:r>
      <w:r>
        <w:rPr>
          <w:rFonts w:hint="eastAsia" w:ascii="仿宋_GB2312" w:hAnsi="宋体" w:eastAsia="仿宋_GB2312" w:cs="宋体"/>
          <w:color w:val="auto"/>
          <w:kern w:val="0"/>
          <w:sz w:val="32"/>
          <w:szCs w:val="32"/>
          <w:highlight w:val="none"/>
          <w:u w:val="none"/>
          <w:lang w:eastAsia="zh-CN"/>
        </w:rPr>
        <w:t>省财政厅</w:t>
      </w:r>
      <w:r>
        <w:rPr>
          <w:rFonts w:hint="eastAsia" w:ascii="仿宋_GB2312" w:hAnsi="宋体" w:eastAsia="仿宋_GB2312" w:cs="宋体"/>
          <w:color w:val="auto"/>
          <w:kern w:val="0"/>
          <w:sz w:val="32"/>
          <w:szCs w:val="32"/>
          <w:highlight w:val="none"/>
          <w:u w:val="none"/>
        </w:rPr>
        <w:t>负责</w:t>
      </w:r>
      <w:r>
        <w:rPr>
          <w:rFonts w:hint="eastAsia" w:ascii="仿宋_GB2312" w:hAnsi="宋体" w:eastAsia="仿宋_GB2312" w:cs="宋体"/>
          <w:color w:val="auto"/>
          <w:kern w:val="0"/>
          <w:sz w:val="32"/>
          <w:szCs w:val="32"/>
          <w:highlight w:val="none"/>
          <w:u w:val="none"/>
          <w:lang w:val="en-US" w:eastAsia="zh-CN"/>
        </w:rPr>
        <w:t>粮油生产保障资金</w:t>
      </w:r>
      <w:r>
        <w:rPr>
          <w:rFonts w:hint="eastAsia" w:ascii="仿宋_GB2312" w:hAnsi="宋体" w:eastAsia="仿宋_GB2312" w:cs="宋体"/>
          <w:color w:val="auto"/>
          <w:kern w:val="0"/>
          <w:sz w:val="32"/>
          <w:szCs w:val="32"/>
          <w:highlight w:val="none"/>
          <w:u w:val="none"/>
        </w:rPr>
        <w:t>中期财政规划和年度预算编制，会同省农业农村厅分配及下达资金预算，组织</w:t>
      </w:r>
      <w:r>
        <w:rPr>
          <w:rFonts w:hint="eastAsia" w:ascii="仿宋_GB2312" w:hAnsi="宋体" w:eastAsia="仿宋_GB2312" w:cs="宋体"/>
          <w:color w:val="auto"/>
          <w:kern w:val="0"/>
          <w:sz w:val="32"/>
          <w:szCs w:val="32"/>
          <w:highlight w:val="none"/>
          <w:u w:val="none"/>
          <w:lang w:eastAsia="zh-CN"/>
        </w:rPr>
        <w:t>、指导和</w:t>
      </w:r>
      <w:r>
        <w:rPr>
          <w:rFonts w:hint="eastAsia" w:ascii="仿宋_GB2312" w:hAnsi="宋体" w:eastAsia="仿宋_GB2312" w:cs="宋体"/>
          <w:color w:val="auto"/>
          <w:kern w:val="0"/>
          <w:sz w:val="32"/>
          <w:szCs w:val="32"/>
          <w:highlight w:val="none"/>
          <w:u w:val="none"/>
        </w:rPr>
        <w:t>实施全过程预算绩效管理，指导地方加强资金监督管理等工作。</w:t>
      </w:r>
    </w:p>
    <w:p>
      <w:pPr>
        <w:keepNext w:val="0"/>
        <w:keepLines w:val="0"/>
        <w:pageBreakBefore w:val="0"/>
        <w:widowControl/>
        <w:kinsoku/>
        <w:wordWrap/>
        <w:overflowPunct/>
        <w:topLinePunct w:val="0"/>
        <w:autoSpaceDE/>
        <w:autoSpaceDN/>
        <w:bidi w:val="0"/>
        <w:adjustRightInd/>
        <w:snapToGrid/>
        <w:spacing w:line="600" w:lineRule="exact"/>
        <w:ind w:firstLine="660"/>
        <w:textAlignment w:val="auto"/>
        <w:rPr>
          <w:rFonts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省农业农村厅</w:t>
      </w:r>
      <w:r>
        <w:rPr>
          <w:rFonts w:hint="eastAsia" w:ascii="仿宋_GB2312" w:hAnsi="宋体" w:eastAsia="仿宋_GB2312" w:cs="宋体"/>
          <w:color w:val="auto"/>
          <w:kern w:val="0"/>
          <w:sz w:val="32"/>
          <w:szCs w:val="32"/>
          <w:highlight w:val="none"/>
          <w:u w:val="none"/>
        </w:rPr>
        <w:t>负责相关规划</w:t>
      </w:r>
      <w:r>
        <w:rPr>
          <w:rFonts w:hint="eastAsia" w:ascii="仿宋_GB2312" w:hAnsi="宋体" w:eastAsia="仿宋_GB2312" w:cs="宋体"/>
          <w:color w:val="auto"/>
          <w:kern w:val="0"/>
          <w:sz w:val="32"/>
          <w:szCs w:val="32"/>
          <w:highlight w:val="none"/>
          <w:u w:val="none"/>
          <w:lang w:eastAsia="zh-CN"/>
        </w:rPr>
        <w:t>、</w:t>
      </w:r>
      <w:r>
        <w:rPr>
          <w:rFonts w:hint="eastAsia" w:ascii="仿宋_GB2312" w:hAnsi="宋体" w:eastAsia="仿宋_GB2312" w:cs="宋体"/>
          <w:color w:val="auto"/>
          <w:kern w:val="0"/>
          <w:sz w:val="32"/>
          <w:szCs w:val="32"/>
          <w:highlight w:val="none"/>
          <w:u w:val="none"/>
        </w:rPr>
        <w:t>实施方案</w:t>
      </w:r>
      <w:r>
        <w:rPr>
          <w:rFonts w:hint="eastAsia" w:ascii="仿宋_GB2312" w:hAnsi="宋体" w:eastAsia="仿宋_GB2312" w:cs="宋体"/>
          <w:color w:val="auto"/>
          <w:kern w:val="0"/>
          <w:sz w:val="32"/>
          <w:szCs w:val="32"/>
          <w:highlight w:val="none"/>
          <w:u w:val="none"/>
          <w:lang w:eastAsia="zh-CN"/>
        </w:rPr>
        <w:t>等</w:t>
      </w:r>
      <w:r>
        <w:rPr>
          <w:rFonts w:hint="eastAsia" w:ascii="仿宋_GB2312" w:hAnsi="宋体" w:eastAsia="仿宋_GB2312" w:cs="宋体"/>
          <w:color w:val="auto"/>
          <w:kern w:val="0"/>
          <w:sz w:val="32"/>
          <w:szCs w:val="32"/>
          <w:highlight w:val="none"/>
          <w:u w:val="none"/>
        </w:rPr>
        <w:t>编制和审核，</w:t>
      </w:r>
      <w:r>
        <w:rPr>
          <w:rFonts w:hint="eastAsia" w:ascii="仿宋_GB2312" w:hAnsi="宋体" w:eastAsia="仿宋_GB2312" w:cs="宋体"/>
          <w:color w:val="auto"/>
          <w:kern w:val="0"/>
          <w:sz w:val="32"/>
          <w:szCs w:val="32"/>
          <w:highlight w:val="none"/>
          <w:u w:val="none"/>
          <w:lang w:eastAsia="zh-CN"/>
        </w:rPr>
        <w:t>根据国家和省委、省政府有关决策部署，按照本细则规定的支出方向和支持内容，研究提出年度具体任务和资金测算分配建议</w:t>
      </w:r>
      <w:r>
        <w:rPr>
          <w:rFonts w:hint="eastAsia" w:ascii="仿宋_GB2312" w:hAnsi="宋体" w:eastAsia="仿宋_GB2312" w:cs="宋体"/>
          <w:color w:val="auto"/>
          <w:kern w:val="0"/>
          <w:sz w:val="32"/>
          <w:szCs w:val="32"/>
          <w:highlight w:val="none"/>
          <w:u w:val="none"/>
        </w:rPr>
        <w:t>，对相关基础数据的真实性、准确性、规范性负责。会同省财政厅下达年度工作任务，指导、推动地方</w:t>
      </w:r>
      <w:r>
        <w:rPr>
          <w:rFonts w:hint="default" w:ascii="仿宋_GB2312" w:hAnsi="宋体" w:eastAsia="仿宋_GB2312" w:cs="宋体"/>
          <w:color w:val="auto"/>
          <w:kern w:val="0"/>
          <w:sz w:val="32"/>
          <w:szCs w:val="32"/>
          <w:highlight w:val="none"/>
          <w:u w:val="none"/>
        </w:rPr>
        <w:t>做好任务实施工作</w:t>
      </w:r>
      <w:r>
        <w:rPr>
          <w:rFonts w:hint="eastAsia" w:ascii="仿宋_GB2312" w:hAnsi="宋体" w:eastAsia="仿宋_GB2312" w:cs="宋体"/>
          <w:color w:val="auto"/>
          <w:kern w:val="0"/>
          <w:sz w:val="32"/>
          <w:szCs w:val="32"/>
          <w:highlight w:val="none"/>
          <w:u w:val="none"/>
        </w:rPr>
        <w:t>，</w:t>
      </w:r>
      <w:r>
        <w:rPr>
          <w:rFonts w:hint="default" w:ascii="仿宋_GB2312" w:hAnsi="宋体" w:eastAsia="仿宋_GB2312" w:cs="宋体"/>
          <w:color w:val="auto"/>
          <w:kern w:val="0"/>
          <w:sz w:val="32"/>
          <w:szCs w:val="32"/>
          <w:highlight w:val="none"/>
          <w:u w:val="none"/>
        </w:rPr>
        <w:t>开展</w:t>
      </w:r>
      <w:r>
        <w:rPr>
          <w:rFonts w:hint="eastAsia" w:ascii="仿宋_GB2312" w:hAnsi="宋体" w:eastAsia="仿宋_GB2312" w:cs="宋体"/>
          <w:color w:val="auto"/>
          <w:kern w:val="0"/>
          <w:sz w:val="32"/>
          <w:szCs w:val="32"/>
          <w:highlight w:val="none"/>
          <w:u w:val="none"/>
        </w:rPr>
        <w:t>任务完成情况监督，按规定开展预算绩效管理</w:t>
      </w:r>
      <w:r>
        <w:rPr>
          <w:rFonts w:hint="eastAsia" w:ascii="仿宋_GB2312" w:hAnsi="宋体" w:eastAsia="仿宋_GB2312" w:cs="宋体"/>
          <w:color w:val="auto"/>
          <w:kern w:val="0"/>
          <w:sz w:val="32"/>
          <w:szCs w:val="32"/>
          <w:highlight w:val="none"/>
          <w:u w:val="none"/>
          <w:lang w:eastAsia="zh-CN"/>
        </w:rPr>
        <w:t>、</w:t>
      </w:r>
      <w:r>
        <w:rPr>
          <w:rFonts w:hint="eastAsia" w:ascii="仿宋_GB2312" w:hAnsi="宋体" w:eastAsia="仿宋_GB2312" w:cs="宋体"/>
          <w:color w:val="auto"/>
          <w:kern w:val="0"/>
          <w:sz w:val="32"/>
          <w:szCs w:val="32"/>
          <w:highlight w:val="none"/>
          <w:u w:val="none"/>
        </w:rPr>
        <w:t>加强绩效管理结果应用等工作。</w:t>
      </w:r>
    </w:p>
    <w:p>
      <w:pPr>
        <w:keepNext w:val="0"/>
        <w:keepLines w:val="0"/>
        <w:pageBreakBefore w:val="0"/>
        <w:widowControl/>
        <w:kinsoku/>
        <w:wordWrap/>
        <w:overflowPunct/>
        <w:topLinePunct w:val="0"/>
        <w:autoSpaceDE/>
        <w:autoSpaceDN/>
        <w:bidi w:val="0"/>
        <w:adjustRightInd/>
        <w:snapToGrid/>
        <w:spacing w:line="600" w:lineRule="exact"/>
        <w:ind w:firstLine="660"/>
        <w:textAlignment w:val="auto"/>
        <w:rPr>
          <w:rFonts w:hint="eastAsia" w:ascii="仿宋_GB2312" w:hAnsi="宋体" w:eastAsia="仿宋_GB2312" w:cs="宋体"/>
          <w:color w:val="auto"/>
          <w:kern w:val="0"/>
          <w:sz w:val="32"/>
          <w:szCs w:val="32"/>
          <w:highlight w:val="none"/>
          <w:u w:val="none"/>
        </w:rPr>
      </w:pPr>
      <w:r>
        <w:rPr>
          <w:rFonts w:hint="eastAsia" w:ascii="仿宋_GB2312" w:hAnsi="Times New Roman" w:eastAsia="仿宋_GB2312" w:cs="宋体"/>
          <w:b w:val="0"/>
          <w:bCs w:val="0"/>
          <w:color w:val="auto"/>
          <w:kern w:val="0"/>
          <w:sz w:val="32"/>
          <w:szCs w:val="32"/>
          <w:highlight w:val="none"/>
          <w:u w:val="none"/>
          <w:lang w:eastAsia="zh-CN"/>
        </w:rPr>
        <w:t>市县</w:t>
      </w:r>
      <w:r>
        <w:rPr>
          <w:rFonts w:hint="eastAsia" w:ascii="仿宋_GB2312" w:hAnsi="Times New Roman" w:eastAsia="仿宋_GB2312" w:cs="宋体"/>
          <w:b w:val="0"/>
          <w:bCs w:val="0"/>
          <w:color w:val="auto"/>
          <w:kern w:val="0"/>
          <w:sz w:val="32"/>
          <w:szCs w:val="32"/>
          <w:highlight w:val="none"/>
          <w:u w:val="none"/>
        </w:rPr>
        <w:t>财政部门</w:t>
      </w:r>
      <w:r>
        <w:rPr>
          <w:rFonts w:hint="eastAsia" w:ascii="仿宋_GB2312" w:hAnsi="宋体" w:eastAsia="仿宋_GB2312" w:cs="宋体"/>
          <w:color w:val="auto"/>
          <w:kern w:val="0"/>
          <w:sz w:val="32"/>
          <w:szCs w:val="32"/>
          <w:highlight w:val="none"/>
          <w:u w:val="none"/>
        </w:rPr>
        <w:t>主要负责</w:t>
      </w:r>
      <w:r>
        <w:rPr>
          <w:rFonts w:hint="eastAsia" w:ascii="仿宋_GB2312" w:hAnsi="宋体" w:eastAsia="仿宋_GB2312" w:cs="宋体"/>
          <w:color w:val="auto"/>
          <w:kern w:val="0"/>
          <w:sz w:val="32"/>
          <w:szCs w:val="32"/>
          <w:highlight w:val="none"/>
          <w:u w:val="none"/>
          <w:lang w:val="en-US" w:eastAsia="zh-CN"/>
        </w:rPr>
        <w:t>粮油生产保障资金</w:t>
      </w:r>
      <w:r>
        <w:rPr>
          <w:rFonts w:hint="eastAsia" w:ascii="仿宋_GB2312" w:hAnsi="宋体" w:eastAsia="仿宋_GB2312" w:cs="宋体"/>
          <w:color w:val="auto"/>
          <w:kern w:val="0"/>
          <w:sz w:val="32"/>
          <w:szCs w:val="32"/>
          <w:highlight w:val="none"/>
          <w:u w:val="none"/>
        </w:rPr>
        <w:t>的预算分解下达、资金审核拨付及使用监督等工作，组织开展本地区预算绩效管理工作。</w:t>
      </w:r>
    </w:p>
    <w:p>
      <w:pPr>
        <w:keepNext w:val="0"/>
        <w:keepLines w:val="0"/>
        <w:pageBreakBefore w:val="0"/>
        <w:kinsoku/>
        <w:wordWrap/>
        <w:topLinePunct w:val="0"/>
        <w:autoSpaceDE/>
        <w:autoSpaceDN/>
        <w:bidi w:val="0"/>
        <w:spacing w:line="600" w:lineRule="exact"/>
        <w:ind w:firstLine="640" w:firstLineChars="200"/>
        <w:textAlignment w:val="auto"/>
        <w:rPr>
          <w:rFonts w:hint="eastAsia"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lang w:eastAsia="zh-CN"/>
        </w:rPr>
        <w:t>市县</w:t>
      </w:r>
      <w:r>
        <w:rPr>
          <w:rFonts w:hint="eastAsia" w:ascii="仿宋_GB2312" w:hAnsi="宋体" w:eastAsia="仿宋_GB2312" w:cs="宋体"/>
          <w:color w:val="auto"/>
          <w:kern w:val="0"/>
          <w:sz w:val="32"/>
          <w:szCs w:val="32"/>
          <w:highlight w:val="none"/>
          <w:u w:val="none"/>
        </w:rPr>
        <w:t>农业农村部门主要负责</w:t>
      </w:r>
      <w:r>
        <w:rPr>
          <w:rFonts w:hint="eastAsia" w:ascii="仿宋_GB2312" w:hAnsi="宋体" w:eastAsia="仿宋_GB2312" w:cs="宋体"/>
          <w:color w:val="auto"/>
          <w:kern w:val="0"/>
          <w:sz w:val="32"/>
          <w:szCs w:val="32"/>
          <w:highlight w:val="none"/>
          <w:u w:val="none"/>
        </w:rPr>
        <w:t>相关规划</w:t>
      </w:r>
      <w:r>
        <w:rPr>
          <w:rFonts w:hint="eastAsia" w:ascii="仿宋_GB2312" w:hAnsi="宋体" w:eastAsia="仿宋_GB2312" w:cs="宋体"/>
          <w:color w:val="auto"/>
          <w:kern w:val="0"/>
          <w:sz w:val="32"/>
          <w:szCs w:val="32"/>
          <w:highlight w:val="none"/>
          <w:u w:val="none"/>
          <w:lang w:eastAsia="zh-CN"/>
        </w:rPr>
        <w:t>、</w:t>
      </w:r>
      <w:r>
        <w:rPr>
          <w:rFonts w:hint="eastAsia" w:ascii="仿宋_GB2312" w:hAnsi="宋体" w:eastAsia="仿宋_GB2312" w:cs="宋体"/>
          <w:color w:val="auto"/>
          <w:kern w:val="0"/>
          <w:sz w:val="32"/>
          <w:szCs w:val="32"/>
          <w:highlight w:val="none"/>
          <w:u w:val="none"/>
        </w:rPr>
        <w:t>实施方案</w:t>
      </w:r>
      <w:r>
        <w:rPr>
          <w:rFonts w:hint="eastAsia" w:ascii="仿宋_GB2312" w:hAnsi="宋体" w:eastAsia="仿宋_GB2312" w:cs="宋体"/>
          <w:color w:val="auto"/>
          <w:kern w:val="0"/>
          <w:sz w:val="32"/>
          <w:szCs w:val="32"/>
          <w:highlight w:val="none"/>
          <w:u w:val="none"/>
          <w:lang w:eastAsia="zh-CN"/>
        </w:rPr>
        <w:t>等</w:t>
      </w:r>
      <w:r>
        <w:rPr>
          <w:rFonts w:hint="eastAsia" w:ascii="仿宋_GB2312" w:hAnsi="宋体" w:eastAsia="仿宋_GB2312" w:cs="宋体"/>
          <w:color w:val="auto"/>
          <w:kern w:val="0"/>
          <w:sz w:val="32"/>
          <w:szCs w:val="32"/>
          <w:highlight w:val="none"/>
          <w:u w:val="none"/>
        </w:rPr>
        <w:t>编制、项目审核筛选、项目组织实施和监督等，研究提出任务和资金分解安排建议方案，做好本地区预算执行，具体开展本地区绩效目标管理、绩效运行监控、绩效评价和结果应用等工作。</w:t>
      </w:r>
    </w:p>
    <w:p>
      <w:pPr>
        <w:keepNext w:val="0"/>
        <w:keepLines w:val="0"/>
        <w:pageBreakBefore w:val="0"/>
        <w:kinsoku/>
        <w:wordWrap/>
        <w:topLinePunct w:val="0"/>
        <w:autoSpaceDE/>
        <w:autoSpaceDN/>
        <w:bidi w:val="0"/>
        <w:spacing w:line="600" w:lineRule="exact"/>
        <w:ind w:firstLine="640" w:firstLineChars="200"/>
        <w:textAlignment w:val="auto"/>
        <w:rPr>
          <w:rFonts w:hint="eastAsia" w:ascii="仿宋_GB2312" w:hAnsi="宋体" w:eastAsia="仿宋_GB2312" w:cs="宋体"/>
          <w:color w:val="auto"/>
          <w:kern w:val="0"/>
          <w:sz w:val="32"/>
          <w:szCs w:val="32"/>
          <w:highlight w:val="none"/>
          <w:u w:val="none"/>
        </w:rPr>
      </w:pPr>
      <w:r>
        <w:rPr>
          <w:rFonts w:hint="eastAsia" w:ascii="仿宋_GB2312" w:hAnsi="仿宋_GB2312" w:eastAsia="仿宋_GB2312" w:cs="仿宋_GB2312"/>
          <w:b w:val="0"/>
          <w:bCs w:val="0"/>
          <w:color w:val="auto"/>
          <w:sz w:val="32"/>
          <w:szCs w:val="32"/>
          <w:highlight w:val="none"/>
          <w:u w:val="none"/>
          <w:shd w:val="clear" w:color="auto" w:fill="auto"/>
          <w:lang w:val="en-US" w:eastAsia="zh-CN"/>
        </w:rPr>
        <w:t>各市县</w:t>
      </w:r>
      <w:r>
        <w:rPr>
          <w:rFonts w:hint="eastAsia" w:ascii="仿宋_GB2312" w:hAnsi="仿宋_GB2312" w:eastAsia="仿宋_GB2312" w:cs="仿宋_GB2312"/>
          <w:b w:val="0"/>
          <w:bCs w:val="0"/>
          <w:color w:val="auto"/>
          <w:sz w:val="32"/>
          <w:szCs w:val="32"/>
          <w:highlight w:val="none"/>
          <w:u w:val="none"/>
          <w:shd w:val="clear" w:color="auto" w:fill="auto"/>
        </w:rPr>
        <w:t>财政</w:t>
      </w:r>
      <w:r>
        <w:rPr>
          <w:rFonts w:hint="eastAsia" w:ascii="仿宋_GB2312" w:hAnsi="仿宋_GB2312" w:eastAsia="仿宋_GB2312" w:cs="仿宋_GB2312"/>
          <w:b w:val="0"/>
          <w:bCs w:val="0"/>
          <w:color w:val="auto"/>
          <w:sz w:val="32"/>
          <w:szCs w:val="32"/>
          <w:highlight w:val="none"/>
          <w:u w:val="none"/>
          <w:shd w:val="clear" w:color="auto" w:fill="auto"/>
          <w:lang w:eastAsia="zh-CN"/>
        </w:rPr>
        <w:t>、</w:t>
      </w:r>
      <w:r>
        <w:rPr>
          <w:rFonts w:hint="eastAsia" w:ascii="仿宋_GB2312" w:hAnsi="仿宋_GB2312" w:eastAsia="仿宋_GB2312" w:cs="仿宋_GB2312"/>
          <w:b w:val="0"/>
          <w:bCs w:val="0"/>
          <w:color w:val="auto"/>
          <w:sz w:val="32"/>
          <w:szCs w:val="32"/>
          <w:highlight w:val="none"/>
          <w:u w:val="none"/>
          <w:shd w:val="clear" w:color="auto" w:fill="auto"/>
          <w:lang w:val="en-US" w:eastAsia="zh-CN"/>
        </w:rPr>
        <w:t>农业农村部门</w:t>
      </w:r>
      <w:r>
        <w:rPr>
          <w:rFonts w:hint="eastAsia" w:ascii="仿宋_GB2312" w:hAnsi="仿宋_GB2312" w:eastAsia="仿宋_GB2312" w:cs="仿宋_GB2312"/>
          <w:b w:val="0"/>
          <w:bCs w:val="0"/>
          <w:color w:val="auto"/>
          <w:sz w:val="32"/>
          <w:szCs w:val="32"/>
          <w:highlight w:val="none"/>
          <w:u w:val="none"/>
          <w:shd w:val="clear" w:color="auto" w:fill="auto"/>
        </w:rPr>
        <w:t>应当</w:t>
      </w:r>
      <w:r>
        <w:rPr>
          <w:rFonts w:hint="eastAsia" w:ascii="仿宋_GB2312" w:hAnsi="仿宋_GB2312" w:eastAsia="仿宋_GB2312" w:cs="仿宋_GB2312"/>
          <w:b w:val="0"/>
          <w:bCs w:val="0"/>
          <w:color w:val="auto"/>
          <w:sz w:val="32"/>
          <w:szCs w:val="32"/>
          <w:highlight w:val="none"/>
          <w:u w:val="none"/>
          <w:shd w:val="clear" w:color="auto" w:fill="auto"/>
          <w:lang w:eastAsia="zh-CN"/>
        </w:rPr>
        <w:t>对上报的可能影响资金分配结果的有关数据和信息的真实性、准确性负责</w:t>
      </w:r>
      <w:r>
        <w:rPr>
          <w:rFonts w:hint="eastAsia" w:ascii="仿宋_GB2312" w:hAnsi="仿宋_GB2312" w:eastAsia="仿宋_GB2312" w:cs="仿宋_GB2312"/>
          <w:color w:val="auto"/>
          <w:sz w:val="32"/>
          <w:szCs w:val="32"/>
          <w:highlight w:val="none"/>
          <w:u w:val="none"/>
          <w:lang w:eastAsia="zh-CN"/>
        </w:rPr>
        <w:t>。</w:t>
      </w:r>
    </w:p>
    <w:p>
      <w:pPr>
        <w:keepNext w:val="0"/>
        <w:keepLines w:val="0"/>
        <w:pageBreakBefore w:val="0"/>
        <w:kinsoku/>
        <w:wordWrap/>
        <w:topLinePunct w:val="0"/>
        <w:autoSpaceDE/>
        <w:autoSpaceDN/>
        <w:bidi w:val="0"/>
        <w:spacing w:line="600" w:lineRule="exact"/>
        <w:jc w:val="center"/>
        <w:textAlignment w:val="auto"/>
        <w:rPr>
          <w:rFonts w:hint="eastAsia" w:ascii="黑体" w:hAnsi="黑体" w:eastAsia="黑体" w:cs="黑体"/>
          <w:b w:val="0"/>
          <w:bCs w:val="0"/>
          <w:color w:val="auto"/>
          <w:kern w:val="0"/>
          <w:sz w:val="32"/>
          <w:szCs w:val="32"/>
          <w:highlight w:val="none"/>
          <w:u w:val="none"/>
        </w:rPr>
      </w:pPr>
    </w:p>
    <w:p>
      <w:pPr>
        <w:keepNext w:val="0"/>
        <w:keepLines w:val="0"/>
        <w:pageBreakBefore w:val="0"/>
        <w:kinsoku/>
        <w:wordWrap/>
        <w:topLinePunct w:val="0"/>
        <w:autoSpaceDE/>
        <w:autoSpaceDN/>
        <w:bidi w:val="0"/>
        <w:spacing w:line="600" w:lineRule="exact"/>
        <w:jc w:val="center"/>
        <w:textAlignment w:val="auto"/>
        <w:rPr>
          <w:rFonts w:hint="eastAsia" w:ascii="黑体" w:hAnsi="黑体" w:eastAsia="黑体" w:cs="黑体"/>
          <w:b w:val="0"/>
          <w:bCs w:val="0"/>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第二章</w:t>
      </w:r>
      <w:r>
        <w:rPr>
          <w:rFonts w:hint="eastAsia" w:ascii="黑体" w:hAnsi="黑体" w:eastAsia="黑体" w:cs="黑体"/>
          <w:b w:val="0"/>
          <w:bCs w:val="0"/>
          <w:color w:val="auto"/>
          <w:kern w:val="0"/>
          <w:sz w:val="32"/>
          <w:szCs w:val="32"/>
          <w:highlight w:val="none"/>
          <w:u w:val="none"/>
          <w:lang w:val="en"/>
        </w:rPr>
        <w:t xml:space="preserve"> </w:t>
      </w:r>
      <w:r>
        <w:rPr>
          <w:rFonts w:hint="eastAsia" w:ascii="黑体" w:hAnsi="黑体" w:eastAsia="黑体" w:cs="黑体"/>
          <w:b w:val="0"/>
          <w:bCs w:val="0"/>
          <w:color w:val="auto"/>
          <w:kern w:val="0"/>
          <w:sz w:val="32"/>
          <w:szCs w:val="32"/>
          <w:highlight w:val="none"/>
          <w:u w:val="none"/>
        </w:rPr>
        <w:t>资金使用范围</w:t>
      </w:r>
    </w:p>
    <w:p>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　　</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ascii="宋体" w:hAnsi="宋体" w:eastAsia="宋体"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w:t>
      </w:r>
      <w:r>
        <w:rPr>
          <w:rFonts w:hint="eastAsia" w:ascii="黑体" w:hAnsi="黑体" w:eastAsia="黑体" w:cs="黑体"/>
          <w:b w:val="0"/>
          <w:bCs w:val="0"/>
          <w:color w:val="auto"/>
          <w:kern w:val="0"/>
          <w:sz w:val="32"/>
          <w:szCs w:val="32"/>
          <w:highlight w:val="none"/>
          <w:u w:val="none"/>
          <w:lang w:eastAsia="zh-CN"/>
        </w:rPr>
        <w:t>五</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粮油生产保障资金</w:t>
      </w:r>
      <w:r>
        <w:rPr>
          <w:rFonts w:hint="eastAsia" w:ascii="仿宋_GB2312" w:hAnsi="宋体" w:eastAsia="仿宋_GB2312" w:cs="宋体"/>
          <w:color w:val="auto"/>
          <w:kern w:val="0"/>
          <w:sz w:val="32"/>
          <w:szCs w:val="32"/>
          <w:highlight w:val="none"/>
          <w:u w:val="none"/>
        </w:rPr>
        <w:t>支出范围包括：</w:t>
      </w:r>
    </w:p>
    <w:p>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宋体" w:eastAsia="仿宋_GB2312" w:cs="宋体"/>
          <w:b w:val="0"/>
          <w:bCs w:val="0"/>
          <w:color w:val="auto"/>
          <w:kern w:val="0"/>
          <w:sz w:val="32"/>
          <w:szCs w:val="32"/>
          <w:highlight w:val="none"/>
          <w:u w:val="none"/>
          <w:lang w:eastAsia="zh-CN"/>
        </w:rPr>
      </w:pPr>
      <w:r>
        <w:rPr>
          <w:rFonts w:hint="eastAsia" w:ascii="仿宋_GB2312" w:hAnsi="宋体" w:eastAsia="仿宋_GB2312" w:cs="宋体"/>
          <w:b w:val="0"/>
          <w:bCs w:val="0"/>
          <w:color w:val="auto"/>
          <w:kern w:val="0"/>
          <w:sz w:val="32"/>
          <w:szCs w:val="32"/>
          <w:highlight w:val="none"/>
          <w:u w:val="none"/>
        </w:rPr>
        <w:t>（一）</w:t>
      </w:r>
      <w:r>
        <w:rPr>
          <w:rFonts w:hint="eastAsia" w:ascii="仿宋_GB2312" w:hAnsi="宋体" w:eastAsia="仿宋_GB2312" w:cs="宋体"/>
          <w:b w:val="0"/>
          <w:bCs w:val="0"/>
          <w:color w:val="auto"/>
          <w:kern w:val="0"/>
          <w:sz w:val="32"/>
          <w:szCs w:val="32"/>
          <w:highlight w:val="none"/>
          <w:u w:val="none"/>
          <w:lang w:val="en-US" w:eastAsia="zh-CN"/>
        </w:rPr>
        <w:t>小麦“一喷三防”</w:t>
      </w:r>
      <w:r>
        <w:rPr>
          <w:rFonts w:hint="eastAsia" w:ascii="仿宋_GB2312" w:hAnsi="宋体" w:eastAsia="仿宋_GB2312" w:cs="宋体"/>
          <w:b w:val="0"/>
          <w:bCs w:val="0"/>
          <w:color w:val="auto"/>
          <w:kern w:val="0"/>
          <w:sz w:val="32"/>
          <w:szCs w:val="32"/>
          <w:highlight w:val="none"/>
          <w:u w:val="none"/>
        </w:rPr>
        <w:t>支出。主要</w:t>
      </w:r>
      <w:r>
        <w:rPr>
          <w:rFonts w:hint="eastAsia" w:ascii="仿宋_GB2312" w:hAnsi="宋体" w:eastAsia="仿宋_GB2312" w:cs="宋体"/>
          <w:b w:val="0"/>
          <w:bCs w:val="0"/>
          <w:color w:val="auto"/>
          <w:kern w:val="0"/>
          <w:sz w:val="32"/>
          <w:szCs w:val="32"/>
          <w:highlight w:val="none"/>
          <w:u w:val="none"/>
          <w:lang w:eastAsia="zh-CN"/>
        </w:rPr>
        <w:t>用于支持在小麦生长期使用杀虫剂、杀菌剂、植物生长调节剂、叶面肥、微肥等混配剂喷雾，促进小麦稳产增产。</w:t>
      </w:r>
    </w:p>
    <w:p>
      <w:pPr>
        <w:keepNext w:val="0"/>
        <w:keepLines w:val="0"/>
        <w:pageBreakBefore w:val="0"/>
        <w:widowControl/>
        <w:numPr>
          <w:ilvl w:val="0"/>
          <w:numId w:val="1"/>
        </w:numPr>
        <w:kinsoku/>
        <w:wordWrap/>
        <w:overflowPunct/>
        <w:topLinePunct w:val="0"/>
        <w:autoSpaceDE/>
        <w:autoSpaceDN/>
        <w:bidi w:val="0"/>
        <w:adjustRightInd/>
        <w:snapToGrid/>
        <w:spacing w:line="600" w:lineRule="exact"/>
        <w:ind w:firstLine="640"/>
        <w:textAlignment w:val="auto"/>
        <w:rPr>
          <w:rFonts w:hint="eastAsia" w:ascii="仿宋_GB2312" w:hAnsi="宋体" w:eastAsia="仿宋_GB2312" w:cs="宋体"/>
          <w:b w:val="0"/>
          <w:bCs w:val="0"/>
          <w:color w:val="auto"/>
          <w:kern w:val="0"/>
          <w:sz w:val="32"/>
          <w:szCs w:val="32"/>
          <w:highlight w:val="none"/>
          <w:u w:val="none"/>
        </w:rPr>
      </w:pPr>
      <w:r>
        <w:rPr>
          <w:rFonts w:hint="eastAsia" w:ascii="仿宋_GB2312" w:hAnsi="宋体" w:eastAsia="仿宋_GB2312" w:cs="宋体"/>
          <w:b w:val="0"/>
          <w:bCs w:val="0"/>
          <w:color w:val="auto"/>
          <w:kern w:val="0"/>
          <w:sz w:val="32"/>
          <w:szCs w:val="32"/>
          <w:highlight w:val="none"/>
          <w:u w:val="none"/>
          <w:lang w:val="en-US" w:eastAsia="zh-CN"/>
        </w:rPr>
        <w:t>集中育秧等稻油生产发展支出</w:t>
      </w:r>
      <w:r>
        <w:rPr>
          <w:rFonts w:hint="eastAsia" w:ascii="仿宋_GB2312" w:hAnsi="宋体" w:eastAsia="仿宋_GB2312" w:cs="宋体"/>
          <w:b w:val="0"/>
          <w:bCs w:val="0"/>
          <w:color w:val="auto"/>
          <w:kern w:val="0"/>
          <w:sz w:val="32"/>
          <w:szCs w:val="32"/>
          <w:highlight w:val="none"/>
          <w:u w:val="none"/>
        </w:rPr>
        <w:t>。主要用于</w:t>
      </w:r>
      <w:r>
        <w:rPr>
          <w:rFonts w:hint="eastAsia" w:ascii="仿宋_GB2312" w:hAnsi="宋体" w:eastAsia="仿宋_GB2312" w:cs="宋体"/>
          <w:b w:val="0"/>
          <w:bCs w:val="0"/>
          <w:color w:val="auto"/>
          <w:kern w:val="0"/>
          <w:sz w:val="32"/>
          <w:szCs w:val="32"/>
          <w:highlight w:val="none"/>
          <w:u w:val="none"/>
          <w:lang w:eastAsia="zh-CN"/>
        </w:rPr>
        <w:t>支持集中育秧（苗）设施建设、稻油生产发展</w:t>
      </w:r>
      <w:r>
        <w:rPr>
          <w:rFonts w:hint="eastAsia" w:ascii="仿宋_GB2312" w:hAnsi="宋体" w:eastAsia="仿宋_GB2312" w:cs="宋体"/>
          <w:b w:val="0"/>
          <w:bCs w:val="0"/>
          <w:color w:val="auto"/>
          <w:kern w:val="0"/>
          <w:sz w:val="32"/>
          <w:szCs w:val="32"/>
          <w:highlight w:val="none"/>
          <w:u w:val="none"/>
        </w:rPr>
        <w:t>等方面。</w:t>
      </w:r>
    </w:p>
    <w:p>
      <w:pPr>
        <w:keepNext w:val="0"/>
        <w:keepLines w:val="0"/>
        <w:pageBreakBefore w:val="0"/>
        <w:widowControl/>
        <w:numPr>
          <w:ilvl w:val="0"/>
          <w:numId w:val="1"/>
        </w:numPr>
        <w:kinsoku/>
        <w:wordWrap/>
        <w:overflowPunct/>
        <w:topLinePunct w:val="0"/>
        <w:autoSpaceDE/>
        <w:autoSpaceDN/>
        <w:bidi w:val="0"/>
        <w:adjustRightInd/>
        <w:snapToGrid/>
        <w:spacing w:line="600" w:lineRule="exact"/>
        <w:ind w:left="0" w:leftChars="0" w:firstLine="640" w:firstLineChars="0"/>
        <w:textAlignment w:val="auto"/>
        <w:rPr>
          <w:rFonts w:hint="eastAsia" w:ascii="仿宋_GB2312" w:hAnsi="宋体" w:eastAsia="仿宋_GB2312" w:cs="宋体"/>
          <w:b w:val="0"/>
          <w:bCs w:val="0"/>
          <w:color w:val="auto"/>
          <w:kern w:val="0"/>
          <w:sz w:val="32"/>
          <w:szCs w:val="32"/>
          <w:highlight w:val="none"/>
          <w:u w:val="none"/>
        </w:rPr>
      </w:pPr>
      <w:r>
        <w:rPr>
          <w:rFonts w:hint="eastAsia" w:ascii="仿宋_GB2312" w:hAnsi="宋体" w:eastAsia="仿宋_GB2312" w:cs="宋体"/>
          <w:b w:val="0"/>
          <w:bCs w:val="0"/>
          <w:color w:val="auto"/>
          <w:kern w:val="0"/>
          <w:sz w:val="32"/>
          <w:szCs w:val="32"/>
          <w:highlight w:val="none"/>
          <w:u w:val="none"/>
          <w:lang w:val="en-US" w:eastAsia="zh-CN"/>
        </w:rPr>
        <w:t>扩种油菜支出</w:t>
      </w:r>
      <w:r>
        <w:rPr>
          <w:rFonts w:hint="eastAsia" w:ascii="仿宋_GB2312" w:hAnsi="宋体" w:eastAsia="仿宋_GB2312" w:cs="宋体"/>
          <w:b w:val="0"/>
          <w:bCs w:val="0"/>
          <w:color w:val="auto"/>
          <w:kern w:val="0"/>
          <w:sz w:val="32"/>
          <w:szCs w:val="32"/>
          <w:highlight w:val="none"/>
          <w:u w:val="none"/>
        </w:rPr>
        <w:t>。主要用于</w:t>
      </w:r>
      <w:r>
        <w:rPr>
          <w:rFonts w:hint="eastAsia" w:ascii="仿宋_GB2312" w:hAnsi="宋体" w:eastAsia="仿宋_GB2312" w:cs="宋体"/>
          <w:b w:val="0"/>
          <w:bCs w:val="0"/>
          <w:color w:val="auto"/>
          <w:kern w:val="0"/>
          <w:sz w:val="32"/>
          <w:szCs w:val="32"/>
          <w:highlight w:val="none"/>
          <w:u w:val="none"/>
          <w:lang w:eastAsia="zh-CN"/>
        </w:rPr>
        <w:t>支持油菜生产</w:t>
      </w:r>
      <w:r>
        <w:rPr>
          <w:rFonts w:hint="eastAsia" w:ascii="仿宋_GB2312" w:hAnsi="宋体" w:eastAsia="仿宋_GB2312" w:cs="宋体"/>
          <w:b w:val="0"/>
          <w:bCs w:val="0"/>
          <w:color w:val="auto"/>
          <w:kern w:val="0"/>
          <w:sz w:val="32"/>
          <w:szCs w:val="32"/>
          <w:highlight w:val="none"/>
          <w:u w:val="none"/>
        </w:rPr>
        <w:t>等方面。</w:t>
      </w:r>
    </w:p>
    <w:p>
      <w:pPr>
        <w:keepNext w:val="0"/>
        <w:keepLines w:val="0"/>
        <w:pageBreakBefore w:val="0"/>
        <w:widowControl/>
        <w:numPr>
          <w:ilvl w:val="0"/>
          <w:numId w:val="1"/>
        </w:numPr>
        <w:kinsoku/>
        <w:wordWrap/>
        <w:overflowPunct/>
        <w:topLinePunct w:val="0"/>
        <w:autoSpaceDE/>
        <w:autoSpaceDN/>
        <w:bidi w:val="0"/>
        <w:adjustRightInd/>
        <w:snapToGrid/>
        <w:spacing w:line="600" w:lineRule="exact"/>
        <w:ind w:left="0" w:leftChars="0" w:firstLine="640" w:firstLineChars="0"/>
        <w:textAlignment w:val="auto"/>
        <w:rPr>
          <w:rFonts w:hint="eastAsia" w:ascii="仿宋_GB2312" w:hAnsi="宋体" w:eastAsia="仿宋_GB2312" w:cs="宋体"/>
          <w:b w:val="0"/>
          <w:bCs w:val="0"/>
          <w:color w:val="auto"/>
          <w:kern w:val="0"/>
          <w:sz w:val="32"/>
          <w:szCs w:val="32"/>
          <w:highlight w:val="none"/>
          <w:u w:val="none"/>
        </w:rPr>
      </w:pPr>
      <w:r>
        <w:rPr>
          <w:rFonts w:hint="eastAsia" w:ascii="仿宋_GB2312" w:hAnsi="宋体" w:eastAsia="仿宋_GB2312" w:cs="宋体"/>
          <w:b w:val="0"/>
          <w:bCs w:val="0"/>
          <w:color w:val="auto"/>
          <w:kern w:val="0"/>
          <w:sz w:val="32"/>
          <w:szCs w:val="32"/>
          <w:highlight w:val="none"/>
          <w:u w:val="none"/>
          <w:lang w:val="en-US" w:eastAsia="zh-CN"/>
        </w:rPr>
        <w:t>大豆玉米带状复合种植支出</w:t>
      </w:r>
      <w:r>
        <w:rPr>
          <w:rFonts w:hint="eastAsia" w:ascii="仿宋_GB2312" w:hAnsi="宋体" w:eastAsia="仿宋_GB2312" w:cs="宋体"/>
          <w:b w:val="0"/>
          <w:bCs w:val="0"/>
          <w:color w:val="auto"/>
          <w:kern w:val="0"/>
          <w:sz w:val="32"/>
          <w:szCs w:val="32"/>
          <w:highlight w:val="none"/>
          <w:u w:val="none"/>
        </w:rPr>
        <w:t>。主要用于</w:t>
      </w:r>
      <w:r>
        <w:rPr>
          <w:rFonts w:hint="eastAsia" w:ascii="仿宋_GB2312" w:hAnsi="宋体" w:eastAsia="仿宋_GB2312" w:cs="宋体"/>
          <w:b w:val="0"/>
          <w:bCs w:val="0"/>
          <w:color w:val="auto"/>
          <w:kern w:val="0"/>
          <w:sz w:val="32"/>
          <w:szCs w:val="32"/>
          <w:highlight w:val="none"/>
          <w:u w:val="none"/>
          <w:lang w:eastAsia="zh-CN"/>
        </w:rPr>
        <w:t>对承担</w:t>
      </w:r>
      <w:r>
        <w:rPr>
          <w:rFonts w:hint="eastAsia" w:ascii="仿宋_GB2312" w:hAnsi="宋体" w:eastAsia="仿宋_GB2312" w:cs="宋体"/>
          <w:b w:val="0"/>
          <w:bCs w:val="0"/>
          <w:color w:val="auto"/>
          <w:kern w:val="0"/>
          <w:sz w:val="32"/>
          <w:szCs w:val="32"/>
          <w:highlight w:val="none"/>
          <w:u w:val="none"/>
          <w:lang w:val="en-US" w:eastAsia="zh-CN"/>
        </w:rPr>
        <w:t>大豆玉米带状复合种植试点任务的农民、家庭农场、农民专业合作社、农业企业等经营主体给予适当补助</w:t>
      </w:r>
      <w:r>
        <w:rPr>
          <w:rFonts w:hint="eastAsia" w:ascii="仿宋_GB2312" w:hAnsi="宋体" w:eastAsia="仿宋_GB2312" w:cs="宋体"/>
          <w:b w:val="0"/>
          <w:bCs w:val="0"/>
          <w:color w:val="auto"/>
          <w:kern w:val="0"/>
          <w:sz w:val="32"/>
          <w:szCs w:val="32"/>
          <w:highlight w:val="none"/>
          <w:u w:val="none"/>
        </w:rPr>
        <w:t>。</w:t>
      </w:r>
    </w:p>
    <w:p>
      <w:pPr>
        <w:keepNext w:val="0"/>
        <w:keepLines w:val="0"/>
        <w:pageBreakBefore w:val="0"/>
        <w:widowControl/>
        <w:numPr>
          <w:ilvl w:val="0"/>
          <w:numId w:val="1"/>
        </w:numPr>
        <w:kinsoku/>
        <w:wordWrap/>
        <w:overflowPunct/>
        <w:topLinePunct w:val="0"/>
        <w:autoSpaceDE/>
        <w:autoSpaceDN/>
        <w:bidi w:val="0"/>
        <w:adjustRightInd/>
        <w:snapToGrid/>
        <w:spacing w:line="600" w:lineRule="exact"/>
        <w:ind w:left="0" w:leftChars="0" w:firstLine="640" w:firstLineChars="0"/>
        <w:textAlignment w:val="auto"/>
        <w:rPr>
          <w:rFonts w:hint="default" w:ascii="仿宋_GB2312" w:hAnsi="宋体" w:eastAsia="仿宋_GB2312" w:cs="宋体"/>
          <w:color w:val="auto"/>
          <w:kern w:val="0"/>
          <w:sz w:val="32"/>
          <w:szCs w:val="32"/>
          <w:highlight w:val="none"/>
          <w:u w:val="none"/>
          <w:lang w:val="en-US" w:eastAsia="zh-CN"/>
        </w:rPr>
      </w:pPr>
      <w:r>
        <w:rPr>
          <w:rFonts w:hint="eastAsia" w:ascii="仿宋_GB2312" w:hAnsi="宋体" w:eastAsia="仿宋_GB2312" w:cs="宋体"/>
          <w:color w:val="auto"/>
          <w:kern w:val="0"/>
          <w:sz w:val="32"/>
          <w:szCs w:val="32"/>
          <w:highlight w:val="none"/>
          <w:u w:val="none"/>
          <w:lang w:eastAsia="zh-CN"/>
        </w:rPr>
        <w:t>粮油等重点作物绿色高产高效支出。主要用于支持</w:t>
      </w:r>
      <w:r>
        <w:rPr>
          <w:rFonts w:hint="eastAsia" w:ascii="仿宋_GB2312" w:hAnsi="宋体" w:eastAsia="仿宋_GB2312" w:cs="宋体"/>
          <w:color w:val="auto"/>
          <w:kern w:val="0"/>
          <w:sz w:val="32"/>
          <w:szCs w:val="32"/>
          <w:highlight w:val="none"/>
          <w:u w:val="none"/>
          <w:lang w:val="en-US" w:eastAsia="zh-CN"/>
        </w:rPr>
        <w:t>实施重点作物绿色高产高效行动等方面。</w:t>
      </w:r>
    </w:p>
    <w:p>
      <w:pPr>
        <w:keepNext w:val="0"/>
        <w:keepLines w:val="0"/>
        <w:pageBreakBefore w:val="0"/>
        <w:widowControl/>
        <w:numPr>
          <w:ilvl w:val="0"/>
          <w:numId w:val="0"/>
        </w:numPr>
        <w:kinsoku/>
        <w:wordWrap/>
        <w:overflowPunct/>
        <w:topLinePunct w:val="0"/>
        <w:autoSpaceDE/>
        <w:autoSpaceDN/>
        <w:bidi w:val="0"/>
        <w:adjustRightInd/>
        <w:snapToGrid/>
        <w:spacing w:line="600" w:lineRule="exact"/>
        <w:textAlignment w:val="auto"/>
        <w:rPr>
          <w:rFonts w:ascii="宋体" w:hAnsi="宋体" w:eastAsia="宋体"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lang w:eastAsia="zh-CN"/>
        </w:rPr>
        <w:t>（六）</w:t>
      </w:r>
      <w:r>
        <w:rPr>
          <w:rFonts w:hint="eastAsia" w:ascii="仿宋_GB2312" w:hAnsi="宋体" w:eastAsia="仿宋_GB2312" w:cs="宋体"/>
          <w:color w:val="auto"/>
          <w:kern w:val="0"/>
          <w:sz w:val="32"/>
          <w:szCs w:val="32"/>
          <w:highlight w:val="none"/>
          <w:u w:val="none"/>
          <w:lang w:val="en-US" w:eastAsia="zh-CN"/>
        </w:rPr>
        <w:t>粮油生产保障</w:t>
      </w:r>
      <w:r>
        <w:rPr>
          <w:rFonts w:hint="eastAsia" w:ascii="仿宋_GB2312" w:hAnsi="宋体" w:eastAsia="仿宋_GB2312" w:cs="宋体"/>
          <w:color w:val="auto"/>
          <w:kern w:val="0"/>
          <w:sz w:val="32"/>
          <w:szCs w:val="32"/>
          <w:highlight w:val="none"/>
          <w:u w:val="none"/>
        </w:rPr>
        <w:t>其他重点任务支出。主要用于支持保障党中央、国务院确定的</w:t>
      </w:r>
      <w:r>
        <w:rPr>
          <w:rFonts w:hint="eastAsia" w:ascii="仿宋_GB2312" w:hAnsi="宋体" w:eastAsia="仿宋_GB2312" w:cs="宋体"/>
          <w:b w:val="0"/>
          <w:bCs w:val="0"/>
          <w:color w:val="auto"/>
          <w:kern w:val="0"/>
          <w:sz w:val="32"/>
          <w:szCs w:val="32"/>
          <w:highlight w:val="none"/>
          <w:u w:val="none"/>
        </w:rPr>
        <w:t>粮油生产保障</w:t>
      </w:r>
      <w:r>
        <w:rPr>
          <w:rFonts w:hint="eastAsia" w:ascii="仿宋_GB2312" w:hAnsi="宋体" w:eastAsia="仿宋_GB2312" w:cs="宋体"/>
          <w:color w:val="auto"/>
          <w:kern w:val="0"/>
          <w:sz w:val="32"/>
          <w:szCs w:val="32"/>
          <w:highlight w:val="none"/>
          <w:u w:val="none"/>
        </w:rPr>
        <w:t>其他重点工作等。</w:t>
      </w:r>
    </w:p>
    <w:p>
      <w:pPr>
        <w:keepNext w:val="0"/>
        <w:keepLines w:val="0"/>
        <w:pageBreakBefore w:val="0"/>
        <w:widowControl/>
        <w:kinsoku/>
        <w:wordWrap/>
        <w:overflowPunct/>
        <w:topLinePunct w:val="0"/>
        <w:autoSpaceDE/>
        <w:autoSpaceDN/>
        <w:bidi w:val="0"/>
        <w:adjustRightInd/>
        <w:snapToGrid/>
        <w:spacing w:line="600" w:lineRule="exact"/>
        <w:textAlignment w:val="auto"/>
        <w:rPr>
          <w:rFonts w:ascii="宋体" w:hAnsi="宋体" w:eastAsia="宋体"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　　</w:t>
      </w:r>
      <w:r>
        <w:rPr>
          <w:rFonts w:hint="eastAsia" w:ascii="仿宋_GB2312" w:hAnsi="宋体" w:eastAsia="仿宋_GB2312" w:cs="宋体"/>
          <w:color w:val="auto"/>
          <w:kern w:val="0"/>
          <w:sz w:val="32"/>
          <w:szCs w:val="32"/>
          <w:highlight w:val="none"/>
          <w:u w:val="none"/>
          <w:lang w:eastAsia="zh-CN"/>
        </w:rPr>
        <w:t>粮油生产保障</w:t>
      </w:r>
      <w:r>
        <w:rPr>
          <w:rFonts w:hint="eastAsia" w:ascii="仿宋_GB2312" w:hAnsi="宋体" w:eastAsia="仿宋_GB2312" w:cs="宋体"/>
          <w:color w:val="auto"/>
          <w:kern w:val="0"/>
          <w:sz w:val="32"/>
          <w:szCs w:val="32"/>
          <w:highlight w:val="none"/>
          <w:u w:val="none"/>
        </w:rPr>
        <w:t>资金不得用于兴建楼堂馆所、弥补预算支出缺口等与</w:t>
      </w:r>
      <w:r>
        <w:rPr>
          <w:rFonts w:hint="eastAsia" w:ascii="仿宋_GB2312" w:hAnsi="宋体" w:eastAsia="仿宋_GB2312" w:cs="宋体"/>
          <w:color w:val="auto"/>
          <w:kern w:val="0"/>
          <w:sz w:val="32"/>
          <w:szCs w:val="32"/>
          <w:highlight w:val="none"/>
          <w:u w:val="none"/>
          <w:lang w:eastAsia="zh-CN"/>
        </w:rPr>
        <w:t>粮油</w:t>
      </w:r>
      <w:r>
        <w:rPr>
          <w:rFonts w:hint="eastAsia" w:ascii="仿宋_GB2312" w:hAnsi="宋体" w:eastAsia="仿宋_GB2312" w:cs="宋体"/>
          <w:color w:val="auto"/>
          <w:kern w:val="0"/>
          <w:sz w:val="32"/>
          <w:szCs w:val="32"/>
          <w:highlight w:val="none"/>
          <w:u w:val="none"/>
        </w:rPr>
        <w:t>生产</w:t>
      </w:r>
      <w:r>
        <w:rPr>
          <w:rFonts w:hint="eastAsia" w:ascii="仿宋_GB2312" w:hAnsi="宋体" w:eastAsia="仿宋_GB2312" w:cs="宋体"/>
          <w:color w:val="auto"/>
          <w:kern w:val="0"/>
          <w:sz w:val="32"/>
          <w:szCs w:val="32"/>
          <w:highlight w:val="none"/>
          <w:u w:val="none"/>
          <w:lang w:eastAsia="zh-CN"/>
        </w:rPr>
        <w:t>保障</w:t>
      </w:r>
      <w:r>
        <w:rPr>
          <w:rFonts w:hint="eastAsia" w:ascii="仿宋_GB2312" w:hAnsi="宋体" w:eastAsia="仿宋_GB2312" w:cs="宋体"/>
          <w:color w:val="auto"/>
          <w:kern w:val="0"/>
          <w:sz w:val="32"/>
          <w:szCs w:val="32"/>
          <w:highlight w:val="none"/>
          <w:u w:val="none"/>
        </w:rPr>
        <w:t>无关的支出。</w:t>
      </w:r>
    </w:p>
    <w:p>
      <w:pPr>
        <w:keepNext w:val="0"/>
        <w:keepLines w:val="0"/>
        <w:pageBreakBefore w:val="0"/>
        <w:widowControl/>
        <w:kinsoku/>
        <w:wordWrap/>
        <w:overflowPunct/>
        <w:topLinePunct w:val="0"/>
        <w:autoSpaceDE/>
        <w:autoSpaceDN/>
        <w:bidi w:val="0"/>
        <w:adjustRightInd/>
        <w:snapToGrid/>
        <w:spacing w:line="600" w:lineRule="exact"/>
        <w:textAlignment w:val="auto"/>
        <w:rPr>
          <w:rFonts w:ascii="宋体" w:hAnsi="宋体" w:eastAsia="宋体"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　　</w:t>
      </w:r>
      <w:r>
        <w:rPr>
          <w:rFonts w:hint="eastAsia" w:ascii="黑体" w:hAnsi="黑体" w:eastAsia="黑体" w:cs="黑体"/>
          <w:b w:val="0"/>
          <w:bCs w:val="0"/>
          <w:color w:val="auto"/>
          <w:kern w:val="0"/>
          <w:sz w:val="32"/>
          <w:szCs w:val="32"/>
          <w:highlight w:val="none"/>
          <w:u w:val="none"/>
        </w:rPr>
        <w:t>第</w:t>
      </w:r>
      <w:r>
        <w:rPr>
          <w:rFonts w:hint="eastAsia" w:ascii="黑体" w:hAnsi="黑体" w:eastAsia="黑体" w:cs="黑体"/>
          <w:b w:val="0"/>
          <w:bCs w:val="0"/>
          <w:color w:val="auto"/>
          <w:kern w:val="0"/>
          <w:sz w:val="32"/>
          <w:szCs w:val="32"/>
          <w:highlight w:val="none"/>
          <w:u w:val="none"/>
          <w:lang w:eastAsia="zh-CN"/>
        </w:rPr>
        <w:t>六</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粮油生产保障资金</w:t>
      </w:r>
      <w:r>
        <w:rPr>
          <w:rFonts w:hint="eastAsia" w:ascii="仿宋_GB2312" w:hAnsi="宋体" w:eastAsia="仿宋_GB2312" w:cs="宋体"/>
          <w:color w:val="auto"/>
          <w:kern w:val="0"/>
          <w:sz w:val="32"/>
          <w:szCs w:val="32"/>
          <w:highlight w:val="none"/>
          <w:u w:val="none"/>
        </w:rPr>
        <w:t>的支持对象主要是承担相关项目任务的农民、新型农业经营主体，以及其他相关单位。</w:t>
      </w:r>
    </w:p>
    <w:p>
      <w:pPr>
        <w:keepNext w:val="0"/>
        <w:keepLines w:val="0"/>
        <w:pageBreakBefore w:val="0"/>
        <w:widowControl/>
        <w:kinsoku/>
        <w:wordWrap/>
        <w:overflowPunct/>
        <w:topLinePunct w:val="0"/>
        <w:autoSpaceDE/>
        <w:autoSpaceDN/>
        <w:bidi w:val="0"/>
        <w:adjustRightInd/>
        <w:snapToGrid/>
        <w:spacing w:line="600" w:lineRule="exact"/>
        <w:ind w:firstLine="648"/>
        <w:textAlignment w:val="auto"/>
        <w:rPr>
          <w:rFonts w:hint="eastAsia" w:ascii="仿宋_GB2312" w:hAnsi="宋体" w:eastAsia="仿宋_GB2312"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w:t>
      </w:r>
      <w:r>
        <w:rPr>
          <w:rFonts w:hint="eastAsia" w:ascii="黑体" w:hAnsi="黑体" w:eastAsia="黑体" w:cs="黑体"/>
          <w:b w:val="0"/>
          <w:bCs w:val="0"/>
          <w:color w:val="auto"/>
          <w:kern w:val="0"/>
          <w:sz w:val="32"/>
          <w:szCs w:val="32"/>
          <w:highlight w:val="none"/>
          <w:u w:val="none"/>
          <w:lang w:eastAsia="zh-CN"/>
        </w:rPr>
        <w:t>七</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粮油生产保障资金</w:t>
      </w:r>
      <w:r>
        <w:rPr>
          <w:rFonts w:hint="eastAsia" w:ascii="仿宋_GB2312" w:hAnsi="宋体" w:eastAsia="仿宋_GB2312" w:cs="宋体"/>
          <w:color w:val="auto"/>
          <w:kern w:val="0"/>
          <w:sz w:val="32"/>
          <w:szCs w:val="32"/>
          <w:highlight w:val="none"/>
          <w:u w:val="none"/>
        </w:rPr>
        <w:t>可以采取直接补助、先建后补、以奖代补、资产折股量</w:t>
      </w:r>
      <w:r>
        <w:rPr>
          <w:rFonts w:hint="eastAsia" w:ascii="仿宋_GB2312" w:hAnsi="宋体" w:eastAsia="仿宋_GB2312" w:cs="宋体"/>
          <w:b w:val="0"/>
          <w:bCs w:val="0"/>
          <w:color w:val="auto"/>
          <w:kern w:val="0"/>
          <w:sz w:val="32"/>
          <w:szCs w:val="32"/>
          <w:highlight w:val="none"/>
          <w:u w:val="none"/>
        </w:rPr>
        <w:t>化、贷款贴息</w:t>
      </w:r>
      <w:r>
        <w:rPr>
          <w:rFonts w:hint="eastAsia" w:ascii="仿宋_GB2312" w:hAnsi="宋体" w:eastAsia="仿宋_GB2312" w:cs="宋体"/>
          <w:color w:val="auto"/>
          <w:kern w:val="0"/>
          <w:sz w:val="32"/>
          <w:szCs w:val="32"/>
          <w:highlight w:val="none"/>
          <w:u w:val="none"/>
        </w:rPr>
        <w:t>等支持方式。具体由</w:t>
      </w:r>
      <w:r>
        <w:rPr>
          <w:rFonts w:hint="eastAsia" w:ascii="仿宋_GB2312" w:hAnsi="Times New Roman" w:eastAsia="仿宋_GB2312" w:cs="宋体"/>
          <w:b w:val="0"/>
          <w:bCs w:val="0"/>
          <w:color w:val="auto"/>
          <w:kern w:val="0"/>
          <w:sz w:val="32"/>
          <w:szCs w:val="32"/>
          <w:highlight w:val="none"/>
          <w:u w:val="none"/>
          <w:lang w:eastAsia="zh-CN"/>
        </w:rPr>
        <w:t>省财政厅</w:t>
      </w:r>
      <w:r>
        <w:rPr>
          <w:rFonts w:hint="eastAsia" w:ascii="仿宋_GB2312" w:hAnsi="Times New Roman" w:eastAsia="仿宋_GB2312" w:cs="宋体"/>
          <w:b w:val="0"/>
          <w:bCs w:val="0"/>
          <w:color w:val="auto"/>
          <w:kern w:val="0"/>
          <w:sz w:val="32"/>
          <w:szCs w:val="32"/>
          <w:highlight w:val="none"/>
          <w:u w:val="none"/>
        </w:rPr>
        <w:t>商</w:t>
      </w:r>
      <w:r>
        <w:rPr>
          <w:rFonts w:hint="eastAsia" w:ascii="仿宋_GB2312" w:hAnsi="Times New Roman" w:eastAsia="仿宋_GB2312" w:cs="宋体"/>
          <w:b w:val="0"/>
          <w:bCs w:val="0"/>
          <w:color w:val="auto"/>
          <w:kern w:val="0"/>
          <w:sz w:val="32"/>
          <w:szCs w:val="32"/>
          <w:highlight w:val="none"/>
          <w:u w:val="none"/>
          <w:lang w:eastAsia="zh-CN"/>
        </w:rPr>
        <w:t>省农业农村厅</w:t>
      </w:r>
      <w:r>
        <w:rPr>
          <w:rFonts w:hint="eastAsia" w:ascii="仿宋_GB2312" w:hAnsi="宋体" w:eastAsia="仿宋_GB2312" w:cs="宋体"/>
          <w:color w:val="auto"/>
          <w:kern w:val="0"/>
          <w:sz w:val="32"/>
          <w:szCs w:val="32"/>
          <w:highlight w:val="none"/>
          <w:u w:val="none"/>
          <w:lang w:eastAsia="zh-CN"/>
        </w:rPr>
        <w:t>按程序研究</w:t>
      </w:r>
      <w:r>
        <w:rPr>
          <w:rFonts w:hint="eastAsia" w:ascii="仿宋_GB2312" w:hAnsi="宋体" w:eastAsia="仿宋_GB2312" w:cs="宋体"/>
          <w:color w:val="auto"/>
          <w:kern w:val="0"/>
          <w:sz w:val="32"/>
          <w:szCs w:val="32"/>
          <w:highlight w:val="none"/>
          <w:u w:val="none"/>
        </w:rPr>
        <w:t>确定。</w:t>
      </w:r>
    </w:p>
    <w:p>
      <w:pPr>
        <w:pStyle w:val="3"/>
        <w:rPr>
          <w:rFonts w:hint="eastAsia"/>
          <w:color w:val="auto"/>
          <w:highlight w:val="none"/>
          <w:u w:val="none"/>
        </w:rPr>
      </w:pPr>
    </w:p>
    <w:p>
      <w:pPr>
        <w:pStyle w:val="3"/>
        <w:rPr>
          <w:rFonts w:hint="eastAsia"/>
          <w:color w:val="auto"/>
          <w:highlight w:val="none"/>
          <w:u w:val="none"/>
        </w:rPr>
      </w:pPr>
    </w:p>
    <w:p>
      <w:pPr>
        <w:keepNext w:val="0"/>
        <w:keepLines w:val="0"/>
        <w:pageBreakBefore w:val="0"/>
        <w:widowControl/>
        <w:kinsoku/>
        <w:wordWrap/>
        <w:overflowPunct/>
        <w:topLinePunct w:val="0"/>
        <w:autoSpaceDE/>
        <w:autoSpaceDN/>
        <w:bidi w:val="0"/>
        <w:adjustRightInd/>
        <w:snapToGrid/>
        <w:spacing w:line="240" w:lineRule="auto"/>
        <w:ind w:left="0" w:firstLine="0"/>
        <w:jc w:val="center"/>
        <w:textAlignment w:val="auto"/>
        <w:rPr>
          <w:rFonts w:hint="eastAsia" w:ascii="黑体" w:hAnsi="黑体" w:eastAsia="黑体" w:cs="黑体"/>
          <w:b w:val="0"/>
          <w:bCs w:val="0"/>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第三章</w:t>
      </w:r>
      <w:r>
        <w:rPr>
          <w:rFonts w:hint="eastAsia" w:ascii="黑体" w:hAnsi="黑体" w:eastAsia="黑体" w:cs="黑体"/>
          <w:b w:val="0"/>
          <w:bCs w:val="0"/>
          <w:color w:val="auto"/>
          <w:kern w:val="0"/>
          <w:sz w:val="32"/>
          <w:szCs w:val="32"/>
          <w:highlight w:val="none"/>
          <w:u w:val="none"/>
          <w:lang w:val="en"/>
        </w:rPr>
        <w:t xml:space="preserve"> </w:t>
      </w:r>
      <w:r>
        <w:rPr>
          <w:rFonts w:hint="eastAsia" w:ascii="黑体" w:hAnsi="黑体" w:eastAsia="黑体" w:cs="黑体"/>
          <w:b w:val="0"/>
          <w:bCs w:val="0"/>
          <w:color w:val="auto"/>
          <w:kern w:val="0"/>
          <w:sz w:val="32"/>
          <w:szCs w:val="32"/>
          <w:highlight w:val="none"/>
          <w:u w:val="none"/>
        </w:rPr>
        <w:t>资金分配和预算下达</w:t>
      </w:r>
    </w:p>
    <w:p>
      <w:pPr>
        <w:pStyle w:val="2"/>
        <w:rPr>
          <w:rFonts w:hint="eastAsia"/>
          <w:color w:val="auto"/>
          <w:highlight w:val="none"/>
          <w:u w:val="none"/>
        </w:rPr>
      </w:pPr>
    </w:p>
    <w:p>
      <w:pPr>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240" w:lineRule="auto"/>
        <w:ind w:left="0" w:firstLine="0"/>
        <w:textAlignment w:val="auto"/>
        <w:rPr>
          <w:rFonts w:hint="eastAsia" w:ascii="仿宋_GB2312" w:hAnsi="仿宋_GB2312" w:eastAsia="仿宋_GB2312" w:cs="仿宋_GB2312"/>
          <w:color w:val="auto"/>
          <w:kern w:val="0"/>
          <w:sz w:val="32"/>
          <w:szCs w:val="32"/>
          <w:highlight w:val="none"/>
          <w:u w:val="none"/>
          <w:lang w:eastAsia="zh-CN"/>
        </w:rPr>
      </w:pPr>
      <w:r>
        <w:rPr>
          <w:rFonts w:hint="eastAsia" w:ascii="仿宋_GB2312" w:hAnsi="宋体" w:eastAsia="仿宋_GB2312" w:cs="宋体"/>
          <w:b/>
          <w:bCs/>
          <w:color w:val="auto"/>
          <w:kern w:val="0"/>
          <w:sz w:val="32"/>
          <w:szCs w:val="32"/>
          <w:highlight w:val="none"/>
          <w:u w:val="none"/>
          <w:lang w:val="en-US" w:eastAsia="zh-CN"/>
        </w:rPr>
        <w:t xml:space="preserve">    </w:t>
      </w:r>
      <w:r>
        <w:rPr>
          <w:rFonts w:hint="eastAsia" w:ascii="黑体" w:hAnsi="黑体" w:eastAsia="黑体" w:cs="黑体"/>
          <w:b w:val="0"/>
          <w:bCs w:val="0"/>
          <w:color w:val="auto"/>
          <w:kern w:val="0"/>
          <w:sz w:val="32"/>
          <w:szCs w:val="32"/>
          <w:highlight w:val="none"/>
          <w:u w:val="none"/>
        </w:rPr>
        <w:t>第</w:t>
      </w:r>
      <w:r>
        <w:rPr>
          <w:rFonts w:hint="eastAsia" w:ascii="黑体" w:hAnsi="黑体" w:eastAsia="黑体" w:cs="黑体"/>
          <w:b w:val="0"/>
          <w:bCs w:val="0"/>
          <w:color w:val="auto"/>
          <w:kern w:val="0"/>
          <w:sz w:val="32"/>
          <w:szCs w:val="32"/>
          <w:highlight w:val="none"/>
          <w:u w:val="none"/>
          <w:lang w:eastAsia="zh-CN"/>
        </w:rPr>
        <w:t>八</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b w:val="0"/>
          <w:bCs w:val="0"/>
          <w:color w:val="auto"/>
          <w:kern w:val="0"/>
          <w:sz w:val="32"/>
          <w:szCs w:val="32"/>
          <w:highlight w:val="none"/>
          <w:u w:val="none"/>
          <w:lang w:val="en-US" w:eastAsia="zh-CN"/>
        </w:rPr>
        <w:t xml:space="preserve"> </w:t>
      </w:r>
      <w:r>
        <w:rPr>
          <w:rFonts w:hint="eastAsia" w:ascii="仿宋_GB2312" w:hAnsi="仿宋_GB2312" w:eastAsia="仿宋_GB2312" w:cs="仿宋_GB2312"/>
          <w:color w:val="auto"/>
          <w:kern w:val="0"/>
          <w:sz w:val="32"/>
          <w:szCs w:val="32"/>
          <w:highlight w:val="none"/>
          <w:u w:val="none"/>
          <w:lang w:eastAsia="zh-CN"/>
        </w:rPr>
        <w:t>粮油生产保障资金采取因素法和定额测算分配。采取因素法分配的，具体因素选择根据国家和省委、省政府有关决策部署以及粮油生产发展实际需要确定，并适时适当进行调整。国家和省委、省政府有明确部署的特定事项或区域，实行项目管理、承担相关试点的任务，以及任务量较少的市县可根据需要采取定额分配方式。</w:t>
      </w:r>
    </w:p>
    <w:p>
      <w:pPr>
        <w:pStyle w:val="2"/>
        <w:keepNext w:val="0"/>
        <w:keepLines w:val="0"/>
        <w:pageBreakBefore w:val="0"/>
        <w:kinsoku/>
        <w:wordWrap/>
        <w:topLinePunct w:val="0"/>
        <w:autoSpaceDE/>
        <w:autoSpaceDN/>
        <w:bidi w:val="0"/>
        <w:spacing w:line="600" w:lineRule="exact"/>
        <w:textAlignment w:val="auto"/>
        <w:rPr>
          <w:rFonts w:hint="eastAsia" w:ascii="仿宋_GB2312" w:hAnsi="仿宋_GB2312" w:eastAsia="仿宋_GB2312" w:cs="仿宋_GB2312"/>
          <w:color w:val="auto"/>
          <w:sz w:val="32"/>
          <w:szCs w:val="32"/>
          <w:highlight w:val="none"/>
          <w:u w:val="none"/>
          <w:lang w:val="en-US" w:eastAsia="zh-CN"/>
        </w:rPr>
      </w:pPr>
      <w:r>
        <w:rPr>
          <w:rFonts w:hint="eastAsia" w:ascii="仿宋_GB2312" w:hAnsi="宋体" w:eastAsia="仿宋_GB2312" w:cs="宋体"/>
          <w:b/>
          <w:bCs/>
          <w:color w:val="auto"/>
          <w:kern w:val="0"/>
          <w:sz w:val="32"/>
          <w:szCs w:val="32"/>
          <w:highlight w:val="none"/>
          <w:u w:val="none"/>
          <w:lang w:val="en-US" w:eastAsia="zh-CN"/>
        </w:rPr>
        <w:t xml:space="preserve">    </w:t>
      </w:r>
      <w:r>
        <w:rPr>
          <w:rFonts w:hint="eastAsia" w:ascii="黑体" w:hAnsi="黑体" w:eastAsia="黑体" w:cs="黑体"/>
          <w:b w:val="0"/>
          <w:bCs w:val="0"/>
          <w:color w:val="auto"/>
          <w:kern w:val="0"/>
          <w:sz w:val="32"/>
          <w:szCs w:val="32"/>
          <w:highlight w:val="none"/>
          <w:u w:val="none"/>
          <w:lang w:eastAsia="zh-CN"/>
        </w:rPr>
        <w:t>第九条</w:t>
      </w:r>
      <w:r>
        <w:rPr>
          <w:rFonts w:hint="eastAsia" w:ascii="仿宋_GB2312" w:hAnsi="宋体" w:eastAsia="仿宋_GB2312" w:cs="宋体"/>
          <w:b/>
          <w:bCs/>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lang w:eastAsia="zh-CN"/>
        </w:rPr>
        <w:t>资金分配</w:t>
      </w:r>
      <w:r>
        <w:rPr>
          <w:rFonts w:hint="eastAsia" w:ascii="仿宋_GB2312" w:hAnsi="宋体" w:eastAsia="仿宋_GB2312" w:cs="宋体"/>
          <w:color w:val="auto"/>
          <w:kern w:val="0"/>
          <w:sz w:val="32"/>
          <w:szCs w:val="32"/>
          <w:highlight w:val="none"/>
          <w:u w:val="none"/>
        </w:rPr>
        <w:t>可根据绩效评价结果、</w:t>
      </w:r>
      <w:r>
        <w:rPr>
          <w:rFonts w:hint="eastAsia" w:ascii="仿宋_GB2312" w:hAnsi="宋体" w:eastAsia="仿宋_GB2312" w:cs="宋体"/>
          <w:color w:val="auto"/>
          <w:kern w:val="0"/>
          <w:sz w:val="32"/>
          <w:szCs w:val="32"/>
          <w:highlight w:val="none"/>
          <w:u w:val="none"/>
          <w:lang w:eastAsia="zh-CN"/>
        </w:rPr>
        <w:t>预算执行等</w:t>
      </w:r>
      <w:r>
        <w:rPr>
          <w:rFonts w:hint="eastAsia" w:ascii="仿宋_GB2312" w:hAnsi="宋体" w:eastAsia="仿宋_GB2312" w:cs="宋体"/>
          <w:color w:val="auto"/>
          <w:kern w:val="0"/>
          <w:sz w:val="32"/>
          <w:szCs w:val="32"/>
          <w:highlight w:val="none"/>
          <w:u w:val="none"/>
        </w:rPr>
        <w:t>资金管理</w:t>
      </w:r>
      <w:r>
        <w:rPr>
          <w:rFonts w:hint="eastAsia" w:ascii="仿宋_GB2312" w:hAnsi="宋体" w:eastAsia="仿宋_GB2312" w:cs="宋体"/>
          <w:color w:val="auto"/>
          <w:kern w:val="0"/>
          <w:sz w:val="32"/>
          <w:szCs w:val="32"/>
          <w:highlight w:val="none"/>
          <w:u w:val="none"/>
          <w:lang w:eastAsia="zh-CN"/>
        </w:rPr>
        <w:t>使用情况、审计等</w:t>
      </w:r>
      <w:r>
        <w:rPr>
          <w:rFonts w:hint="eastAsia" w:ascii="仿宋_GB2312" w:hAnsi="宋体" w:eastAsia="仿宋_GB2312" w:cs="宋体"/>
          <w:color w:val="auto"/>
          <w:kern w:val="0"/>
          <w:sz w:val="32"/>
          <w:szCs w:val="32"/>
          <w:highlight w:val="none"/>
          <w:u w:val="none"/>
        </w:rPr>
        <w:t>监督</w:t>
      </w:r>
      <w:r>
        <w:rPr>
          <w:rFonts w:hint="eastAsia" w:ascii="仿宋_GB2312" w:hAnsi="宋体" w:eastAsia="仿宋_GB2312" w:cs="宋体"/>
          <w:color w:val="auto"/>
          <w:kern w:val="0"/>
          <w:sz w:val="32"/>
          <w:szCs w:val="32"/>
          <w:highlight w:val="none"/>
          <w:u w:val="none"/>
          <w:lang w:eastAsia="zh-CN"/>
        </w:rPr>
        <w:t>发现问题</w:t>
      </w:r>
      <w:r>
        <w:rPr>
          <w:rFonts w:hint="eastAsia" w:ascii="仿宋_GB2312" w:hAnsi="宋体" w:eastAsia="仿宋_GB2312" w:cs="宋体"/>
          <w:color w:val="auto"/>
          <w:kern w:val="0"/>
          <w:sz w:val="32"/>
          <w:szCs w:val="32"/>
          <w:highlight w:val="none"/>
          <w:u w:val="none"/>
        </w:rPr>
        <w:t>等因素进行适当调节</w:t>
      </w:r>
      <w:r>
        <w:rPr>
          <w:rFonts w:hint="eastAsia" w:ascii="仿宋_GB2312" w:hAnsi="宋体" w:eastAsia="仿宋_GB2312" w:cs="宋体"/>
          <w:color w:val="auto"/>
          <w:kern w:val="0"/>
          <w:sz w:val="32"/>
          <w:szCs w:val="32"/>
          <w:highlight w:val="none"/>
          <w:u w:val="none"/>
          <w:lang w:eastAsia="zh-CN"/>
        </w:rPr>
        <w:t>，</w:t>
      </w:r>
      <w:r>
        <w:rPr>
          <w:rFonts w:hint="eastAsia" w:ascii="仿宋_GB2312" w:hAnsi="宋体" w:eastAsia="仿宋_GB2312" w:cs="宋体"/>
          <w:color w:val="auto"/>
          <w:kern w:val="0"/>
          <w:sz w:val="32"/>
          <w:szCs w:val="32"/>
          <w:highlight w:val="none"/>
          <w:u w:val="none"/>
        </w:rPr>
        <w:t>进一步突出激励导向。</w:t>
      </w:r>
    </w:p>
    <w:p>
      <w:pPr>
        <w:keepNext w:val="0"/>
        <w:keepLines w:val="0"/>
        <w:pageBreakBefore w:val="0"/>
        <w:kinsoku/>
        <w:wordWrap/>
        <w:topLinePunct w:val="0"/>
        <w:autoSpaceDE/>
        <w:autoSpaceDN/>
        <w:bidi w:val="0"/>
        <w:spacing w:line="600" w:lineRule="exact"/>
        <w:ind w:firstLine="640" w:firstLineChars="200"/>
        <w:textAlignment w:val="auto"/>
        <w:rPr>
          <w:rFonts w:ascii="黑体" w:hAnsi="黑体" w:eastAsia="黑体"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lang w:val="en-US" w:eastAsia="zh-CN" w:bidi="ar-SA"/>
        </w:rPr>
        <w:t>第十条</w:t>
      </w:r>
      <w:r>
        <w:rPr>
          <w:rFonts w:hint="eastAsia" w:ascii="黑体" w:hAnsi="黑体" w:eastAsia="黑体" w:cs="宋体"/>
          <w:color w:val="auto"/>
          <w:kern w:val="0"/>
          <w:sz w:val="32"/>
          <w:szCs w:val="32"/>
          <w:highlight w:val="none"/>
          <w:u w:val="none"/>
        </w:rPr>
        <w:t xml:space="preserve"> </w:t>
      </w:r>
      <w:r>
        <w:rPr>
          <w:rFonts w:hint="eastAsia" w:ascii="仿宋_GB2312" w:hAnsi="宋体" w:eastAsia="仿宋_GB2312" w:cs="宋体"/>
          <w:color w:val="auto"/>
          <w:kern w:val="0"/>
          <w:sz w:val="32"/>
          <w:szCs w:val="32"/>
          <w:highlight w:val="none"/>
          <w:u w:val="none"/>
        </w:rPr>
        <w:t>因素法测算</w:t>
      </w:r>
      <w:r>
        <w:rPr>
          <w:rFonts w:hint="default" w:ascii="仿宋_GB2312" w:hAnsi="宋体" w:eastAsia="仿宋_GB2312" w:cs="宋体"/>
          <w:color w:val="auto"/>
          <w:kern w:val="0"/>
          <w:sz w:val="32"/>
          <w:szCs w:val="32"/>
          <w:highlight w:val="none"/>
          <w:u w:val="none"/>
        </w:rPr>
        <w:t>的</w:t>
      </w:r>
      <w:r>
        <w:rPr>
          <w:rFonts w:hint="eastAsia" w:ascii="仿宋_GB2312" w:hAnsi="宋体" w:eastAsia="仿宋_GB2312" w:cs="宋体"/>
          <w:color w:val="auto"/>
          <w:kern w:val="0"/>
          <w:sz w:val="32"/>
          <w:szCs w:val="32"/>
          <w:highlight w:val="none"/>
          <w:u w:val="none"/>
        </w:rPr>
        <w:t>分配因素包括：</w:t>
      </w:r>
    </w:p>
    <w:p>
      <w:pPr>
        <w:keepNext w:val="0"/>
        <w:keepLines w:val="0"/>
        <w:pageBreakBefore w:val="0"/>
        <w:kinsoku/>
        <w:wordWrap/>
        <w:topLinePunct w:val="0"/>
        <w:autoSpaceDE/>
        <w:autoSpaceDN/>
        <w:bidi w:val="0"/>
        <w:spacing w:line="600" w:lineRule="exact"/>
        <w:ind w:firstLine="640" w:firstLineChars="200"/>
        <w:textAlignment w:val="auto"/>
        <w:rPr>
          <w:rFonts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（一）基础因素，主要包括</w:t>
      </w:r>
      <w:r>
        <w:rPr>
          <w:rFonts w:hint="eastAsia" w:ascii="Times New Roman" w:hAnsi="Times New Roman" w:eastAsia="仿宋_GB2312" w:cs="Times New Roman"/>
          <w:b w:val="0"/>
          <w:bCs w:val="0"/>
          <w:color w:val="auto"/>
          <w:sz w:val="32"/>
          <w:szCs w:val="32"/>
          <w:highlight w:val="none"/>
          <w:u w:val="none"/>
          <w:lang w:eastAsia="zh-CN"/>
        </w:rPr>
        <w:t>有关</w:t>
      </w:r>
      <w:r>
        <w:rPr>
          <w:rFonts w:hint="eastAsia" w:ascii="仿宋_GB2312" w:hAnsi="宋体" w:eastAsia="仿宋_GB2312" w:cs="宋体"/>
          <w:b w:val="0"/>
          <w:bCs w:val="0"/>
          <w:color w:val="auto"/>
          <w:kern w:val="0"/>
          <w:sz w:val="32"/>
          <w:szCs w:val="32"/>
          <w:highlight w:val="none"/>
          <w:u w:val="none"/>
          <w:lang w:val="en-US" w:eastAsia="zh-CN"/>
        </w:rPr>
        <w:t>农作物播种面积及产量、棚室面积</w:t>
      </w:r>
      <w:r>
        <w:rPr>
          <w:rFonts w:hint="eastAsia" w:ascii="仿宋_GB2312" w:hAnsi="宋体" w:eastAsia="仿宋_GB2312" w:cs="宋体"/>
          <w:color w:val="auto"/>
          <w:kern w:val="0"/>
          <w:sz w:val="32"/>
          <w:szCs w:val="32"/>
          <w:highlight w:val="none"/>
          <w:u w:val="none"/>
        </w:rPr>
        <w:t>等。</w:t>
      </w:r>
    </w:p>
    <w:p>
      <w:pPr>
        <w:keepNext w:val="0"/>
        <w:keepLines w:val="0"/>
        <w:pageBreakBefore w:val="0"/>
        <w:kinsoku/>
        <w:wordWrap/>
        <w:topLinePunct w:val="0"/>
        <w:autoSpaceDE/>
        <w:autoSpaceDN/>
        <w:bidi w:val="0"/>
        <w:spacing w:line="600" w:lineRule="exact"/>
        <w:ind w:firstLine="640" w:firstLineChars="200"/>
        <w:textAlignment w:val="auto"/>
        <w:rPr>
          <w:rFonts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（二）任务因素，主要包括重大规划任务、新设试点任务</w:t>
      </w:r>
      <w:r>
        <w:rPr>
          <w:rFonts w:hint="default" w:ascii="仿宋_GB2312" w:hAnsi="宋体" w:eastAsia="仿宋_GB2312" w:cs="宋体"/>
          <w:color w:val="auto"/>
          <w:kern w:val="0"/>
          <w:sz w:val="32"/>
          <w:szCs w:val="32"/>
          <w:highlight w:val="none"/>
          <w:u w:val="none"/>
        </w:rPr>
        <w:t>、重点工作安排，以及</w:t>
      </w:r>
      <w:r>
        <w:rPr>
          <w:rFonts w:hint="eastAsia" w:ascii="仿宋_GB2312" w:hAnsi="宋体" w:eastAsia="仿宋_GB2312" w:cs="宋体"/>
          <w:color w:val="auto"/>
          <w:kern w:val="0"/>
          <w:sz w:val="32"/>
          <w:szCs w:val="32"/>
          <w:highlight w:val="none"/>
          <w:u w:val="none"/>
        </w:rPr>
        <w:t>国家和省委、省政府明确要求的涉及国计民生的事项等共同财政事权</w:t>
      </w:r>
      <w:r>
        <w:rPr>
          <w:rFonts w:hint="default" w:ascii="仿宋_GB2312" w:hAnsi="宋体" w:eastAsia="仿宋_GB2312" w:cs="宋体"/>
          <w:color w:val="auto"/>
          <w:kern w:val="0"/>
          <w:sz w:val="32"/>
          <w:szCs w:val="32"/>
          <w:highlight w:val="none"/>
          <w:u w:val="none"/>
        </w:rPr>
        <w:t>事项</w:t>
      </w:r>
      <w:r>
        <w:rPr>
          <w:rFonts w:hint="eastAsia" w:ascii="仿宋_GB2312" w:hAnsi="宋体" w:eastAsia="仿宋_GB2312" w:cs="宋体"/>
          <w:color w:val="auto"/>
          <w:kern w:val="0"/>
          <w:sz w:val="32"/>
          <w:szCs w:val="32"/>
          <w:highlight w:val="none"/>
          <w:u w:val="none"/>
        </w:rPr>
        <w:t>。</w:t>
      </w:r>
    </w:p>
    <w:p>
      <w:pPr>
        <w:pStyle w:val="2"/>
        <w:rPr>
          <w:rFonts w:hint="eastAsia" w:ascii="方正小标宋简体" w:hAnsi="方正小标宋简体" w:eastAsia="方正小标宋简体" w:cs="方正小标宋简体"/>
          <w:b w:val="0"/>
          <w:bCs w:val="0"/>
          <w:color w:val="auto"/>
          <w:kern w:val="0"/>
          <w:sz w:val="36"/>
          <w:szCs w:val="36"/>
          <w:highlight w:val="none"/>
          <w:u w:val="none"/>
          <w:lang w:eastAsia="zh-CN"/>
        </w:rPr>
      </w:pPr>
    </w:p>
    <w:p>
      <w:pPr>
        <w:keepNext w:val="0"/>
        <w:keepLines w:val="0"/>
        <w:pageBreakBefore w:val="0"/>
        <w:kinsoku/>
        <w:wordWrap/>
        <w:topLinePunct w:val="0"/>
        <w:autoSpaceDE/>
        <w:autoSpaceDN/>
        <w:bidi w:val="0"/>
        <w:spacing w:line="600" w:lineRule="exact"/>
        <w:ind w:firstLine="640" w:firstLineChars="200"/>
        <w:textAlignment w:val="auto"/>
        <w:rPr>
          <w:rFonts w:hint="eastAsia" w:ascii="仿宋_GB2312" w:hAnsi="宋体" w:eastAsia="仿宋_GB2312" w:cs="宋体"/>
          <w:b/>
          <w:bCs/>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基础、任务因素根据相关支出方向</w:t>
      </w:r>
      <w:r>
        <w:rPr>
          <w:rFonts w:hint="eastAsia" w:ascii="仿宋_GB2312" w:hAnsi="宋体" w:eastAsia="仿宋_GB2312" w:cs="宋体"/>
          <w:color w:val="auto"/>
          <w:kern w:val="0"/>
          <w:sz w:val="32"/>
          <w:szCs w:val="32"/>
          <w:highlight w:val="none"/>
          <w:u w:val="none"/>
          <w:lang w:eastAsia="zh-CN"/>
        </w:rPr>
        <w:t>和支持内容</w:t>
      </w:r>
      <w:r>
        <w:rPr>
          <w:rFonts w:hint="eastAsia" w:ascii="仿宋_GB2312" w:hAnsi="宋体" w:eastAsia="仿宋_GB2312" w:cs="宋体"/>
          <w:color w:val="auto"/>
          <w:kern w:val="0"/>
          <w:sz w:val="32"/>
          <w:szCs w:val="32"/>
          <w:highlight w:val="none"/>
          <w:u w:val="none"/>
        </w:rPr>
        <w:t>具体确定。</w:t>
      </w:r>
    </w:p>
    <w:p>
      <w:pPr>
        <w:keepNext w:val="0"/>
        <w:keepLines w:val="0"/>
        <w:pageBreakBefore w:val="0"/>
        <w:widowControl/>
        <w:kinsoku/>
        <w:wordWrap/>
        <w:overflowPunct/>
        <w:topLinePunct w:val="0"/>
        <w:autoSpaceDE/>
        <w:autoSpaceDN/>
        <w:bidi w:val="0"/>
        <w:adjustRightInd/>
        <w:snapToGrid/>
        <w:spacing w:line="600" w:lineRule="exact"/>
        <w:ind w:firstLine="641"/>
        <w:textAlignment w:val="auto"/>
        <w:rPr>
          <w:rFonts w:ascii="宋体" w:hAnsi="宋体" w:eastAsia="宋体"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第十</w:t>
      </w:r>
      <w:r>
        <w:rPr>
          <w:rFonts w:hint="eastAsia" w:ascii="黑体" w:hAnsi="黑体" w:eastAsia="黑体" w:cs="黑体"/>
          <w:b w:val="0"/>
          <w:bCs w:val="0"/>
          <w:color w:val="auto"/>
          <w:kern w:val="0"/>
          <w:sz w:val="32"/>
          <w:szCs w:val="32"/>
          <w:highlight w:val="none"/>
          <w:u w:val="none"/>
          <w:lang w:eastAsia="zh-CN"/>
        </w:rPr>
        <w:t>一</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中央财政下达</w:t>
      </w:r>
      <w:r>
        <w:rPr>
          <w:rFonts w:hint="eastAsia" w:ascii="仿宋_GB2312" w:hAnsi="宋体" w:eastAsia="仿宋_GB2312" w:cs="宋体"/>
          <w:color w:val="auto"/>
          <w:kern w:val="0"/>
          <w:sz w:val="32"/>
          <w:szCs w:val="32"/>
          <w:highlight w:val="none"/>
          <w:u w:val="none"/>
        </w:rPr>
        <w:t>粮油生产保障资金预算</w:t>
      </w:r>
      <w:r>
        <w:rPr>
          <w:rFonts w:hint="eastAsia" w:ascii="仿宋_GB2312" w:hAnsi="宋体" w:eastAsia="仿宋_GB2312" w:cs="宋体"/>
          <w:color w:val="auto"/>
          <w:kern w:val="0"/>
          <w:sz w:val="32"/>
          <w:szCs w:val="32"/>
          <w:highlight w:val="none"/>
          <w:u w:val="none"/>
          <w:lang w:eastAsia="zh-CN"/>
        </w:rPr>
        <w:t>后，省财政厅及时将资金分解下达到省农业农村厅。</w:t>
      </w:r>
      <w:r>
        <w:rPr>
          <w:rFonts w:hint="eastAsia" w:ascii="仿宋_GB2312" w:hAnsi="Times New Roman" w:eastAsia="仿宋_GB2312" w:cs="宋体"/>
          <w:b w:val="0"/>
          <w:bCs w:val="0"/>
          <w:color w:val="auto"/>
          <w:kern w:val="0"/>
          <w:sz w:val="32"/>
          <w:szCs w:val="32"/>
          <w:highlight w:val="none"/>
          <w:u w:val="none"/>
          <w:lang w:eastAsia="zh-CN"/>
        </w:rPr>
        <w:t>省农业农村厅根据有关资金使用管理规定，向</w:t>
      </w:r>
      <w:r>
        <w:rPr>
          <w:rFonts w:hint="eastAsia" w:ascii="仿宋_GB2312" w:hAnsi="Times New Roman" w:eastAsia="仿宋_GB2312" w:cs="宋体"/>
          <w:b w:val="0"/>
          <w:bCs w:val="0"/>
          <w:color w:val="auto"/>
          <w:kern w:val="0"/>
          <w:sz w:val="32"/>
          <w:szCs w:val="32"/>
          <w:highlight w:val="none"/>
          <w:u w:val="none"/>
          <w:lang w:val="en-US" w:eastAsia="zh-CN"/>
        </w:rPr>
        <w:t>省财政厅提出资金分配方案和区域绩效目标，确保省财政厅在规定时限内下达资金指标，</w:t>
      </w:r>
      <w:r>
        <w:rPr>
          <w:rFonts w:hint="eastAsia" w:ascii="仿宋_GB2312" w:hAnsi="Times New Roman" w:eastAsia="仿宋_GB2312" w:cs="宋体"/>
          <w:b w:val="0"/>
          <w:bCs w:val="0"/>
          <w:color w:val="auto"/>
          <w:kern w:val="0"/>
          <w:sz w:val="32"/>
          <w:szCs w:val="32"/>
          <w:highlight w:val="none"/>
          <w:u w:val="none"/>
        </w:rPr>
        <w:t>并同步下达区域绩效目标，作为开展绩效监控、绩效评价的依据。</w:t>
      </w:r>
      <w:r>
        <w:rPr>
          <w:rFonts w:hint="eastAsia" w:ascii="仿宋_GB2312" w:hAnsi="宋体" w:eastAsia="仿宋_GB2312" w:cs="宋体"/>
          <w:color w:val="auto"/>
          <w:kern w:val="0"/>
          <w:sz w:val="32"/>
          <w:szCs w:val="32"/>
          <w:highlight w:val="none"/>
          <w:u w:val="none"/>
        </w:rPr>
        <w:t>粮油生产保障资金分配结果在资金预算下达文件印发后20日内向社会公开</w:t>
      </w:r>
      <w:r>
        <w:rPr>
          <w:rFonts w:hint="eastAsia" w:ascii="仿宋_GB2312" w:hAnsi="宋体" w:eastAsia="仿宋_GB2312" w:cs="宋体"/>
          <w:color w:val="auto"/>
          <w:kern w:val="0"/>
          <w:sz w:val="32"/>
          <w:szCs w:val="32"/>
          <w:highlight w:val="none"/>
          <w:u w:val="none"/>
          <w:lang w:eastAsia="zh-CN"/>
        </w:rPr>
        <w:t>，</w:t>
      </w:r>
      <w:r>
        <w:rPr>
          <w:rFonts w:hint="eastAsia" w:ascii="仿宋_GB2312" w:hAnsi="宋体" w:eastAsia="仿宋_GB2312" w:cs="宋体"/>
          <w:color w:val="auto"/>
          <w:kern w:val="0"/>
          <w:sz w:val="32"/>
          <w:szCs w:val="32"/>
          <w:highlight w:val="none"/>
          <w:u w:val="none"/>
        </w:rPr>
        <w:t>涉及国家秘密的除外。</w:t>
      </w:r>
    </w:p>
    <w:p>
      <w:pPr>
        <w:keepNext w:val="0"/>
        <w:keepLines w:val="0"/>
        <w:pageBreakBefore w:val="0"/>
        <w:widowControl/>
        <w:kinsoku/>
        <w:wordWrap/>
        <w:overflowPunct/>
        <w:topLinePunct w:val="0"/>
        <w:autoSpaceDE/>
        <w:autoSpaceDN/>
        <w:bidi w:val="0"/>
        <w:adjustRightInd/>
        <w:snapToGrid/>
        <w:spacing w:line="600" w:lineRule="exact"/>
        <w:ind w:firstLine="600"/>
        <w:textAlignment w:val="auto"/>
        <w:rPr>
          <w:rFonts w:hint="eastAsia" w:ascii="仿宋_GB2312" w:hAnsi="宋体" w:eastAsia="仿宋_GB2312" w:cs="宋体"/>
          <w:b w:val="0"/>
          <w:bCs w:val="0"/>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第十</w:t>
      </w:r>
      <w:r>
        <w:rPr>
          <w:rFonts w:hint="eastAsia" w:ascii="黑体" w:hAnsi="黑体" w:eastAsia="黑体" w:cs="黑体"/>
          <w:b w:val="0"/>
          <w:bCs w:val="0"/>
          <w:color w:val="auto"/>
          <w:kern w:val="0"/>
          <w:sz w:val="32"/>
          <w:szCs w:val="32"/>
          <w:highlight w:val="none"/>
          <w:u w:val="none"/>
          <w:lang w:eastAsia="zh-CN"/>
        </w:rPr>
        <w:t>二</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粮油生产保障资金的支付，按照国库集中支付制度有关规定执行。属于政府采购管理范围的，按照政府采购法律制度规定执行。</w:t>
      </w:r>
    </w:p>
    <w:p>
      <w:pPr>
        <w:keepNext w:val="0"/>
        <w:keepLines w:val="0"/>
        <w:pageBreakBefore w:val="0"/>
        <w:widowControl/>
        <w:kinsoku/>
        <w:wordWrap/>
        <w:overflowPunct/>
        <w:topLinePunct w:val="0"/>
        <w:autoSpaceDE/>
        <w:autoSpaceDN/>
        <w:bidi w:val="0"/>
        <w:adjustRightInd/>
        <w:snapToGrid/>
        <w:spacing w:line="600" w:lineRule="exact"/>
        <w:ind w:left="1080" w:hanging="1080"/>
        <w:jc w:val="center"/>
        <w:textAlignment w:val="auto"/>
        <w:rPr>
          <w:rFonts w:hint="eastAsia" w:ascii="宋体" w:hAnsi="宋体" w:eastAsia="宋体" w:cs="宋体"/>
          <w:b/>
          <w:bCs/>
          <w:color w:val="auto"/>
          <w:kern w:val="0"/>
          <w:sz w:val="32"/>
          <w:szCs w:val="32"/>
          <w:highlight w:val="none"/>
          <w:u w:val="none"/>
        </w:rPr>
      </w:pPr>
    </w:p>
    <w:p>
      <w:pPr>
        <w:keepNext w:val="0"/>
        <w:keepLines w:val="0"/>
        <w:pageBreakBefore w:val="0"/>
        <w:widowControl/>
        <w:kinsoku/>
        <w:wordWrap/>
        <w:overflowPunct/>
        <w:topLinePunct w:val="0"/>
        <w:autoSpaceDE/>
        <w:autoSpaceDN/>
        <w:bidi w:val="0"/>
        <w:adjustRightInd/>
        <w:snapToGrid/>
        <w:spacing w:line="600" w:lineRule="exact"/>
        <w:ind w:left="1080" w:hanging="1080"/>
        <w:jc w:val="center"/>
        <w:textAlignment w:val="auto"/>
        <w:rPr>
          <w:rFonts w:hint="eastAsia" w:ascii="黑体" w:hAnsi="黑体" w:eastAsia="黑体" w:cs="黑体"/>
          <w:b w:val="0"/>
          <w:bCs w:val="0"/>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第四章</w:t>
      </w:r>
      <w:r>
        <w:rPr>
          <w:rFonts w:hint="eastAsia" w:ascii="黑体" w:hAnsi="黑体" w:eastAsia="黑体" w:cs="黑体"/>
          <w:b w:val="0"/>
          <w:bCs w:val="0"/>
          <w:color w:val="auto"/>
          <w:kern w:val="0"/>
          <w:sz w:val="32"/>
          <w:szCs w:val="32"/>
          <w:highlight w:val="none"/>
          <w:u w:val="none"/>
          <w:lang w:val="en"/>
        </w:rPr>
        <w:t xml:space="preserve"> </w:t>
      </w:r>
      <w:r>
        <w:rPr>
          <w:rFonts w:hint="eastAsia" w:ascii="黑体" w:hAnsi="黑体" w:eastAsia="黑体" w:cs="黑体"/>
          <w:b w:val="0"/>
          <w:bCs w:val="0"/>
          <w:color w:val="auto"/>
          <w:kern w:val="0"/>
          <w:sz w:val="32"/>
          <w:szCs w:val="32"/>
          <w:highlight w:val="none"/>
          <w:u w:val="none"/>
        </w:rPr>
        <w:t>资金使用和管理</w:t>
      </w:r>
    </w:p>
    <w:p>
      <w:pPr>
        <w:keepNext w:val="0"/>
        <w:keepLines w:val="0"/>
        <w:pageBreakBefore w:val="0"/>
        <w:widowControl/>
        <w:kinsoku/>
        <w:wordWrap/>
        <w:overflowPunct/>
        <w:topLinePunct w:val="0"/>
        <w:autoSpaceDE/>
        <w:autoSpaceDN/>
        <w:bidi w:val="0"/>
        <w:adjustRightInd/>
        <w:snapToGrid/>
        <w:spacing w:line="600" w:lineRule="exact"/>
        <w:ind w:firstLine="630"/>
        <w:textAlignment w:val="auto"/>
        <w:rPr>
          <w:rFonts w:hint="eastAsia" w:ascii="仿宋_GB2312" w:hAnsi="宋体" w:eastAsia="仿宋_GB2312" w:cs="宋体"/>
          <w:b/>
          <w:bCs/>
          <w:color w:val="auto"/>
          <w:kern w:val="0"/>
          <w:sz w:val="32"/>
          <w:szCs w:val="32"/>
          <w:highlight w:val="none"/>
          <w:u w:val="none"/>
        </w:rPr>
      </w:pPr>
    </w:p>
    <w:p>
      <w:pPr>
        <w:keepNext w:val="0"/>
        <w:keepLines w:val="0"/>
        <w:pageBreakBefore w:val="0"/>
        <w:kinsoku/>
        <w:wordWrap/>
        <w:topLinePunct w:val="0"/>
        <w:autoSpaceDE/>
        <w:autoSpaceDN/>
        <w:bidi w:val="0"/>
        <w:spacing w:line="600" w:lineRule="exact"/>
        <w:ind w:firstLine="640" w:firstLineChars="200"/>
        <w:textAlignment w:val="auto"/>
        <w:rPr>
          <w:rFonts w:ascii="黑体" w:hAnsi="黑体" w:eastAsia="黑体"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第十</w:t>
      </w:r>
      <w:r>
        <w:rPr>
          <w:rFonts w:hint="eastAsia" w:ascii="黑体" w:hAnsi="黑体" w:eastAsia="黑体" w:cs="黑体"/>
          <w:b w:val="0"/>
          <w:bCs w:val="0"/>
          <w:color w:val="auto"/>
          <w:kern w:val="0"/>
          <w:sz w:val="32"/>
          <w:szCs w:val="32"/>
          <w:highlight w:val="none"/>
          <w:u w:val="none"/>
          <w:lang w:eastAsia="zh-CN"/>
        </w:rPr>
        <w:t>三</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粮油生产保障资金</w:t>
      </w:r>
      <w:r>
        <w:rPr>
          <w:rFonts w:hint="eastAsia" w:ascii="仿宋_GB2312" w:hAnsi="宋体" w:eastAsia="仿宋_GB2312" w:cs="宋体"/>
          <w:color w:val="auto"/>
          <w:kern w:val="0"/>
          <w:sz w:val="32"/>
          <w:szCs w:val="32"/>
          <w:highlight w:val="none"/>
          <w:u w:val="none"/>
          <w:lang w:eastAsia="zh-CN"/>
        </w:rPr>
        <w:t>按照资金投入与任务相匹配原则进行使用管理，</w:t>
      </w:r>
      <w:r>
        <w:rPr>
          <w:rFonts w:hint="eastAsia" w:ascii="仿宋_GB2312" w:hAnsi="宋体" w:eastAsia="仿宋_GB2312" w:cs="宋体"/>
          <w:color w:val="auto"/>
          <w:kern w:val="0"/>
          <w:sz w:val="32"/>
          <w:szCs w:val="32"/>
          <w:highlight w:val="none"/>
          <w:u w:val="none"/>
        </w:rPr>
        <w:t>并实施年度动态调整。任务</w:t>
      </w:r>
      <w:r>
        <w:rPr>
          <w:rFonts w:hint="eastAsia" w:ascii="仿宋_GB2312" w:hAnsi="宋体" w:eastAsia="仿宋_GB2312" w:cs="宋体"/>
          <w:color w:val="auto"/>
          <w:kern w:val="0"/>
          <w:sz w:val="32"/>
          <w:szCs w:val="32"/>
          <w:highlight w:val="none"/>
          <w:u w:val="none"/>
          <w:lang w:eastAsia="zh-CN"/>
        </w:rPr>
        <w:t>根据</w:t>
      </w:r>
      <w:r>
        <w:rPr>
          <w:rFonts w:hint="eastAsia" w:ascii="仿宋_GB2312" w:hAnsi="宋体" w:eastAsia="仿宋_GB2312" w:cs="宋体"/>
          <w:color w:val="auto"/>
          <w:kern w:val="0"/>
          <w:sz w:val="32"/>
          <w:szCs w:val="32"/>
          <w:highlight w:val="none"/>
          <w:u w:val="none"/>
        </w:rPr>
        <w:t>粮油生产保障</w:t>
      </w:r>
      <w:r>
        <w:rPr>
          <w:rFonts w:hint="eastAsia" w:ascii="仿宋_GB2312" w:hAnsi="宋体" w:eastAsia="仿宋_GB2312" w:cs="宋体"/>
          <w:color w:val="auto"/>
          <w:kern w:val="0"/>
          <w:sz w:val="32"/>
          <w:szCs w:val="32"/>
          <w:highlight w:val="none"/>
          <w:u w:val="none"/>
          <w:lang w:eastAsia="zh-CN"/>
        </w:rPr>
        <w:t>资金</w:t>
      </w:r>
      <w:r>
        <w:rPr>
          <w:rFonts w:hint="eastAsia" w:ascii="仿宋_GB2312" w:hAnsi="宋体" w:eastAsia="仿宋_GB2312" w:cs="宋体"/>
          <w:color w:val="auto"/>
          <w:kern w:val="0"/>
          <w:sz w:val="32"/>
          <w:szCs w:val="32"/>
          <w:highlight w:val="none"/>
          <w:u w:val="none"/>
        </w:rPr>
        <w:t>支持的年度重点工作</w:t>
      </w:r>
      <w:r>
        <w:rPr>
          <w:rFonts w:hint="eastAsia" w:ascii="仿宋_GB2312" w:hAnsi="宋体" w:eastAsia="仿宋_GB2312" w:cs="宋体"/>
          <w:color w:val="auto"/>
          <w:kern w:val="0"/>
          <w:sz w:val="32"/>
          <w:szCs w:val="32"/>
          <w:highlight w:val="none"/>
          <w:u w:val="none"/>
          <w:lang w:eastAsia="zh-CN"/>
        </w:rPr>
        <w:t>研究确定，</w:t>
      </w:r>
      <w:r>
        <w:rPr>
          <w:rFonts w:hint="eastAsia" w:ascii="仿宋_GB2312" w:hAnsi="宋体" w:eastAsia="仿宋_GB2312" w:cs="宋体"/>
          <w:color w:val="auto"/>
          <w:kern w:val="0"/>
          <w:sz w:val="32"/>
          <w:szCs w:val="32"/>
          <w:highlight w:val="none"/>
          <w:u w:val="none"/>
        </w:rPr>
        <w:t>与资金预算同步下达。下达预算时可明确</w:t>
      </w:r>
      <w:r>
        <w:rPr>
          <w:rFonts w:hint="eastAsia" w:ascii="仿宋_GB2312" w:hAnsi="宋体" w:eastAsia="仿宋_GB2312" w:cs="宋体"/>
          <w:color w:val="auto"/>
          <w:kern w:val="0"/>
          <w:sz w:val="32"/>
          <w:szCs w:val="32"/>
          <w:highlight w:val="none"/>
          <w:u w:val="none"/>
          <w:lang w:eastAsia="zh-CN"/>
        </w:rPr>
        <w:t>相关重点</w:t>
      </w:r>
      <w:r>
        <w:rPr>
          <w:rFonts w:hint="eastAsia" w:ascii="仿宋_GB2312" w:hAnsi="宋体" w:eastAsia="仿宋_GB2312" w:cs="宋体"/>
          <w:color w:val="auto"/>
          <w:kern w:val="0"/>
          <w:sz w:val="32"/>
          <w:szCs w:val="32"/>
          <w:highlight w:val="none"/>
          <w:u w:val="none"/>
        </w:rPr>
        <w:t>任务对应资金额度。各</w:t>
      </w:r>
      <w:r>
        <w:rPr>
          <w:rFonts w:hint="eastAsia" w:ascii="仿宋_GB2312" w:hAnsi="宋体" w:eastAsia="仿宋_GB2312" w:cs="宋体"/>
          <w:color w:val="auto"/>
          <w:kern w:val="0"/>
          <w:sz w:val="32"/>
          <w:szCs w:val="32"/>
          <w:highlight w:val="none"/>
          <w:u w:val="none"/>
          <w:lang w:eastAsia="zh-CN"/>
        </w:rPr>
        <w:t>地</w:t>
      </w:r>
      <w:r>
        <w:rPr>
          <w:rFonts w:hint="eastAsia" w:ascii="仿宋_GB2312" w:hAnsi="宋体" w:eastAsia="仿宋_GB2312" w:cs="宋体"/>
          <w:color w:val="auto"/>
          <w:kern w:val="0"/>
          <w:sz w:val="32"/>
          <w:szCs w:val="32"/>
          <w:highlight w:val="none"/>
          <w:u w:val="none"/>
        </w:rPr>
        <w:t>不得跨转移支付项目整合资金，不得超出任务范围安排资金，不得将中央财政资金直接切块用于省级及以下地方性政策任务。</w:t>
      </w:r>
    </w:p>
    <w:p>
      <w:pPr>
        <w:keepNext w:val="0"/>
        <w:keepLines w:val="0"/>
        <w:pageBreakBefore w:val="0"/>
        <w:widowControl/>
        <w:kinsoku/>
        <w:wordWrap/>
        <w:overflowPunct/>
        <w:topLinePunct w:val="0"/>
        <w:autoSpaceDE/>
        <w:autoSpaceDN/>
        <w:bidi w:val="0"/>
        <w:adjustRightInd/>
        <w:snapToGrid/>
        <w:spacing w:line="600" w:lineRule="exact"/>
        <w:textAlignment w:val="auto"/>
        <w:rPr>
          <w:rFonts w:ascii="宋体" w:hAnsi="宋体" w:eastAsia="宋体"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b/>
          <w:bCs/>
          <w:color w:val="auto"/>
          <w:kern w:val="0"/>
          <w:sz w:val="32"/>
          <w:szCs w:val="32"/>
          <w:highlight w:val="none"/>
          <w:u w:val="none"/>
          <w:lang w:val="en-US" w:eastAsia="zh-CN"/>
        </w:rPr>
        <w:t xml:space="preserve"> </w:t>
      </w:r>
      <w:r>
        <w:rPr>
          <w:rFonts w:hint="eastAsia" w:ascii="黑体" w:hAnsi="黑体" w:eastAsia="黑体" w:cs="黑体"/>
          <w:b w:val="0"/>
          <w:bCs w:val="0"/>
          <w:color w:val="auto"/>
          <w:kern w:val="0"/>
          <w:sz w:val="32"/>
          <w:szCs w:val="32"/>
          <w:highlight w:val="none"/>
          <w:u w:val="none"/>
        </w:rPr>
        <w:t>第十</w:t>
      </w:r>
      <w:r>
        <w:rPr>
          <w:rFonts w:hint="eastAsia" w:ascii="黑体" w:hAnsi="黑体" w:eastAsia="黑体" w:cs="黑体"/>
          <w:b w:val="0"/>
          <w:bCs w:val="0"/>
          <w:color w:val="auto"/>
          <w:kern w:val="0"/>
          <w:sz w:val="32"/>
          <w:szCs w:val="32"/>
          <w:highlight w:val="none"/>
          <w:u w:val="none"/>
          <w:lang w:eastAsia="zh-CN"/>
        </w:rPr>
        <w:t>四</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b/>
          <w:bCs/>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各级财政、农业农村部门应当加快预算执行，提高资金使用效益。结转结余的粮油生产保障资金，按照《中华人民共和国预算法》</w:t>
      </w:r>
      <w:r>
        <w:rPr>
          <w:rFonts w:hint="eastAsia" w:ascii="仿宋_GB2312" w:hAnsi="Times New Roman" w:eastAsia="仿宋_GB2312" w:cs="宋体"/>
          <w:b w:val="0"/>
          <w:bCs w:val="0"/>
          <w:color w:val="auto"/>
          <w:kern w:val="0"/>
          <w:sz w:val="32"/>
          <w:szCs w:val="32"/>
          <w:highlight w:val="none"/>
          <w:u w:val="none"/>
          <w:lang w:eastAsia="zh-CN"/>
        </w:rPr>
        <w:t>以及国家和省</w:t>
      </w:r>
      <w:r>
        <w:rPr>
          <w:rFonts w:hint="eastAsia" w:ascii="仿宋_GB2312" w:hAnsi="宋体" w:eastAsia="仿宋_GB2312" w:cs="宋体"/>
          <w:color w:val="auto"/>
          <w:kern w:val="0"/>
          <w:sz w:val="32"/>
          <w:szCs w:val="32"/>
          <w:highlight w:val="none"/>
          <w:u w:val="none"/>
        </w:rPr>
        <w:t>有关结转结余资金管理的相关规定处理。</w:t>
      </w:r>
    </w:p>
    <w:p>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宋体" w:eastAsia="仿宋_GB2312" w:cs="宋体"/>
          <w:b/>
          <w:bCs/>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　　</w:t>
      </w:r>
      <w:r>
        <w:rPr>
          <w:rFonts w:hint="eastAsia" w:ascii="黑体" w:hAnsi="黑体" w:eastAsia="黑体" w:cs="黑体"/>
          <w:b w:val="0"/>
          <w:bCs w:val="0"/>
          <w:color w:val="auto"/>
          <w:kern w:val="0"/>
          <w:sz w:val="32"/>
          <w:szCs w:val="32"/>
          <w:highlight w:val="none"/>
          <w:u w:val="none"/>
        </w:rPr>
        <w:t>第十</w:t>
      </w:r>
      <w:r>
        <w:rPr>
          <w:rFonts w:hint="eastAsia" w:ascii="黑体" w:hAnsi="黑体" w:eastAsia="黑体" w:cs="黑体"/>
          <w:b w:val="0"/>
          <w:bCs w:val="0"/>
          <w:color w:val="auto"/>
          <w:kern w:val="0"/>
          <w:sz w:val="32"/>
          <w:szCs w:val="32"/>
          <w:highlight w:val="none"/>
          <w:u w:val="none"/>
          <w:lang w:eastAsia="zh-CN"/>
        </w:rPr>
        <w:t>五</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Times New Roman" w:eastAsia="仿宋_GB2312" w:cs="宋体"/>
          <w:b w:val="0"/>
          <w:bCs w:val="0"/>
          <w:color w:val="auto"/>
          <w:kern w:val="0"/>
          <w:sz w:val="32"/>
          <w:szCs w:val="32"/>
          <w:highlight w:val="none"/>
          <w:u w:val="none"/>
          <w:lang w:eastAsia="zh-CN"/>
        </w:rPr>
        <w:t>市县</w:t>
      </w:r>
      <w:r>
        <w:rPr>
          <w:rFonts w:hint="eastAsia" w:ascii="仿宋_GB2312" w:hAnsi="宋体" w:eastAsia="仿宋_GB2312" w:cs="宋体"/>
          <w:color w:val="auto"/>
          <w:kern w:val="0"/>
          <w:sz w:val="32"/>
          <w:szCs w:val="32"/>
          <w:highlight w:val="none"/>
          <w:u w:val="none"/>
        </w:rPr>
        <w:t>财政部门会同农业农村部门，根据本</w:t>
      </w:r>
      <w:r>
        <w:rPr>
          <w:rFonts w:hint="eastAsia" w:ascii="仿宋_GB2312" w:hAnsi="宋体" w:eastAsia="仿宋_GB2312" w:cs="宋体"/>
          <w:color w:val="auto"/>
          <w:kern w:val="0"/>
          <w:sz w:val="32"/>
          <w:szCs w:val="32"/>
          <w:highlight w:val="none"/>
          <w:u w:val="none"/>
          <w:lang w:eastAsia="zh-CN"/>
        </w:rPr>
        <w:t>细则</w:t>
      </w:r>
      <w:r>
        <w:rPr>
          <w:rFonts w:hint="eastAsia" w:ascii="仿宋_GB2312" w:hAnsi="宋体" w:eastAsia="仿宋_GB2312" w:cs="宋体"/>
          <w:color w:val="auto"/>
          <w:kern w:val="0"/>
          <w:sz w:val="32"/>
          <w:szCs w:val="32"/>
          <w:highlight w:val="none"/>
          <w:u w:val="none"/>
        </w:rPr>
        <w:t>和</w:t>
      </w:r>
      <w:r>
        <w:rPr>
          <w:rFonts w:hint="eastAsia" w:ascii="仿宋_GB2312" w:hAnsi="Times New Roman" w:eastAsia="仿宋_GB2312" w:cs="宋体"/>
          <w:b w:val="0"/>
          <w:bCs w:val="0"/>
          <w:color w:val="auto"/>
          <w:kern w:val="0"/>
          <w:sz w:val="32"/>
          <w:szCs w:val="32"/>
          <w:highlight w:val="none"/>
          <w:u w:val="none"/>
          <w:lang w:eastAsia="zh-CN"/>
        </w:rPr>
        <w:t>省财政厅、省农业农村厅</w:t>
      </w:r>
      <w:r>
        <w:rPr>
          <w:rFonts w:hint="eastAsia" w:ascii="仿宋_GB2312" w:hAnsi="宋体" w:eastAsia="仿宋_GB2312" w:cs="宋体"/>
          <w:color w:val="auto"/>
          <w:kern w:val="0"/>
          <w:sz w:val="32"/>
          <w:szCs w:val="32"/>
          <w:highlight w:val="none"/>
          <w:u w:val="none"/>
        </w:rPr>
        <w:t>下达的工作任务与绩效目标，结合本地区</w:t>
      </w:r>
      <w:r>
        <w:rPr>
          <w:rFonts w:hint="eastAsia" w:ascii="仿宋_GB2312" w:hAnsi="宋体" w:eastAsia="仿宋_GB2312" w:cs="宋体"/>
          <w:b w:val="0"/>
          <w:bCs w:val="0"/>
          <w:color w:val="auto"/>
          <w:kern w:val="0"/>
          <w:sz w:val="32"/>
          <w:szCs w:val="32"/>
          <w:highlight w:val="none"/>
          <w:u w:val="none"/>
        </w:rPr>
        <w:t>粮油生产保障</w:t>
      </w:r>
      <w:r>
        <w:rPr>
          <w:rFonts w:hint="eastAsia" w:ascii="仿宋_GB2312" w:hAnsi="宋体" w:eastAsia="仿宋_GB2312" w:cs="宋体"/>
          <w:color w:val="auto"/>
          <w:kern w:val="0"/>
          <w:sz w:val="32"/>
          <w:szCs w:val="32"/>
          <w:highlight w:val="none"/>
          <w:u w:val="none"/>
        </w:rPr>
        <w:t>实际情况，制定本</w:t>
      </w:r>
      <w:r>
        <w:rPr>
          <w:rFonts w:hint="eastAsia" w:ascii="仿宋_GB2312" w:hAnsi="宋体" w:eastAsia="仿宋_GB2312" w:cs="宋体"/>
          <w:color w:val="auto"/>
          <w:kern w:val="0"/>
          <w:sz w:val="32"/>
          <w:szCs w:val="32"/>
          <w:highlight w:val="none"/>
          <w:u w:val="none"/>
          <w:lang w:eastAsia="zh-CN"/>
        </w:rPr>
        <w:t>地</w:t>
      </w:r>
      <w:r>
        <w:rPr>
          <w:rFonts w:hint="eastAsia" w:ascii="仿宋_GB2312" w:hAnsi="宋体" w:eastAsia="仿宋_GB2312" w:cs="宋体"/>
          <w:color w:val="auto"/>
          <w:kern w:val="0"/>
          <w:sz w:val="32"/>
          <w:szCs w:val="32"/>
          <w:highlight w:val="none"/>
          <w:u w:val="none"/>
        </w:rPr>
        <w:t>年度资金使用方案，</w:t>
      </w:r>
      <w:r>
        <w:rPr>
          <w:rFonts w:hint="eastAsia" w:ascii="仿宋_GB2312" w:hAnsi="宋体" w:eastAsia="仿宋_GB2312" w:cs="宋体"/>
          <w:color w:val="auto"/>
          <w:kern w:val="0"/>
          <w:sz w:val="32"/>
          <w:szCs w:val="32"/>
          <w:highlight w:val="none"/>
          <w:u w:val="none"/>
          <w:lang w:eastAsia="zh-CN"/>
        </w:rPr>
        <w:t>并</w:t>
      </w:r>
      <w:r>
        <w:rPr>
          <w:rFonts w:hint="eastAsia" w:ascii="仿宋_GB2312" w:hAnsi="宋体" w:eastAsia="仿宋_GB2312" w:cs="宋体"/>
          <w:color w:val="auto"/>
          <w:kern w:val="0"/>
          <w:sz w:val="32"/>
          <w:szCs w:val="32"/>
          <w:highlight w:val="none"/>
          <w:u w:val="none"/>
        </w:rPr>
        <w:t>以正式文件报</w:t>
      </w:r>
      <w:r>
        <w:rPr>
          <w:rFonts w:hint="eastAsia" w:ascii="仿宋_GB2312" w:hAnsi="Times New Roman" w:eastAsia="仿宋_GB2312" w:cs="宋体"/>
          <w:b w:val="0"/>
          <w:bCs w:val="0"/>
          <w:color w:val="auto"/>
          <w:kern w:val="0"/>
          <w:sz w:val="32"/>
          <w:szCs w:val="32"/>
          <w:highlight w:val="none"/>
          <w:u w:val="none"/>
          <w:lang w:eastAsia="zh-CN"/>
        </w:rPr>
        <w:t>省财政厅、省农业农村厅</w:t>
      </w:r>
      <w:r>
        <w:rPr>
          <w:rFonts w:hint="eastAsia" w:ascii="仿宋_GB2312" w:hAnsi="宋体" w:eastAsia="仿宋_GB2312" w:cs="宋体"/>
          <w:color w:val="auto"/>
          <w:kern w:val="0"/>
          <w:sz w:val="32"/>
          <w:szCs w:val="32"/>
          <w:highlight w:val="none"/>
          <w:u w:val="none"/>
        </w:rPr>
        <w:t>备案。</w:t>
      </w:r>
    </w:p>
    <w:p>
      <w:pPr>
        <w:keepNext w:val="0"/>
        <w:keepLines w:val="0"/>
        <w:pageBreakBefore w:val="0"/>
        <w:widowControl/>
        <w:kinsoku/>
        <w:wordWrap/>
        <w:overflowPunct/>
        <w:topLinePunct w:val="0"/>
        <w:autoSpaceDE/>
        <w:autoSpaceDN/>
        <w:bidi w:val="0"/>
        <w:adjustRightInd/>
        <w:snapToGrid/>
        <w:spacing w:line="600" w:lineRule="exact"/>
        <w:ind w:firstLine="648"/>
        <w:textAlignment w:val="auto"/>
        <w:rPr>
          <w:rFonts w:hint="eastAsia" w:ascii="仿宋_GB2312" w:hAnsi="宋体" w:eastAsia="仿宋_GB2312" w:cs="宋体"/>
          <w:b w:val="0"/>
          <w:bCs w:val="0"/>
          <w:color w:val="auto"/>
          <w:kern w:val="0"/>
          <w:sz w:val="32"/>
          <w:szCs w:val="32"/>
          <w:highlight w:val="none"/>
          <w:u w:val="none"/>
          <w:lang w:eastAsia="zh-CN"/>
        </w:rPr>
      </w:pPr>
      <w:r>
        <w:rPr>
          <w:rFonts w:hint="eastAsia" w:ascii="黑体" w:hAnsi="黑体" w:eastAsia="黑体" w:cs="黑体"/>
          <w:b w:val="0"/>
          <w:bCs w:val="0"/>
          <w:color w:val="auto"/>
          <w:kern w:val="0"/>
          <w:sz w:val="32"/>
          <w:szCs w:val="32"/>
          <w:highlight w:val="none"/>
          <w:u w:val="none"/>
        </w:rPr>
        <w:t>第十</w:t>
      </w:r>
      <w:r>
        <w:rPr>
          <w:rFonts w:hint="eastAsia" w:ascii="黑体" w:hAnsi="黑体" w:eastAsia="黑体" w:cs="黑体"/>
          <w:b w:val="0"/>
          <w:bCs w:val="0"/>
          <w:color w:val="auto"/>
          <w:kern w:val="0"/>
          <w:sz w:val="32"/>
          <w:szCs w:val="32"/>
          <w:highlight w:val="none"/>
          <w:u w:val="none"/>
          <w:lang w:eastAsia="zh-CN"/>
        </w:rPr>
        <w:t>六</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各级农业农村部门应当组织核实资金支持对象的资格、条件，督促检查工作任务完成情况，为财政部门按规定标准分配、审核拨付资金提供依据</w:t>
      </w:r>
      <w:r>
        <w:rPr>
          <w:rFonts w:hint="eastAsia" w:ascii="仿宋_GB2312" w:hAnsi="宋体" w:eastAsia="仿宋_GB2312" w:cs="宋体"/>
          <w:color w:val="auto"/>
          <w:kern w:val="0"/>
          <w:sz w:val="32"/>
          <w:szCs w:val="32"/>
          <w:highlight w:val="none"/>
          <w:u w:val="none"/>
          <w:lang w:eastAsia="zh-CN"/>
        </w:rPr>
        <w:t>，对</w:t>
      </w:r>
      <w:r>
        <w:rPr>
          <w:rFonts w:hint="eastAsia" w:ascii="仿宋_GB2312" w:hAnsi="宋体" w:eastAsia="仿宋_GB2312" w:cs="宋体"/>
          <w:color w:val="auto"/>
          <w:kern w:val="0"/>
          <w:sz w:val="32"/>
          <w:szCs w:val="32"/>
          <w:highlight w:val="none"/>
          <w:u w:val="none"/>
        </w:rPr>
        <w:t>不符合法律</w:t>
      </w:r>
      <w:r>
        <w:rPr>
          <w:rFonts w:hint="eastAsia" w:ascii="仿宋_GB2312" w:hAnsi="宋体" w:eastAsia="仿宋_GB2312" w:cs="宋体"/>
          <w:color w:val="auto"/>
          <w:kern w:val="0"/>
          <w:sz w:val="32"/>
          <w:szCs w:val="32"/>
          <w:highlight w:val="none"/>
          <w:u w:val="none"/>
          <w:lang w:eastAsia="zh-CN"/>
        </w:rPr>
        <w:t>和</w:t>
      </w:r>
      <w:r>
        <w:rPr>
          <w:rFonts w:hint="eastAsia" w:ascii="仿宋_GB2312" w:hAnsi="宋体" w:eastAsia="仿宋_GB2312" w:cs="宋体"/>
          <w:color w:val="auto"/>
          <w:kern w:val="0"/>
          <w:sz w:val="32"/>
          <w:szCs w:val="32"/>
          <w:highlight w:val="none"/>
          <w:u w:val="none"/>
        </w:rPr>
        <w:t>行政法规等有关规定</w:t>
      </w:r>
      <w:r>
        <w:rPr>
          <w:rFonts w:hint="eastAsia" w:ascii="仿宋_GB2312" w:hAnsi="宋体" w:eastAsia="仿宋_GB2312" w:cs="宋体"/>
          <w:color w:val="auto"/>
          <w:kern w:val="0"/>
          <w:sz w:val="32"/>
          <w:szCs w:val="32"/>
          <w:highlight w:val="none"/>
          <w:u w:val="none"/>
          <w:lang w:eastAsia="zh-CN"/>
        </w:rPr>
        <w:t>、</w:t>
      </w:r>
      <w:r>
        <w:rPr>
          <w:rFonts w:hint="eastAsia" w:ascii="仿宋_GB2312" w:hAnsi="宋体" w:eastAsia="仿宋_GB2312" w:cs="宋体"/>
          <w:color w:val="auto"/>
          <w:kern w:val="0"/>
          <w:sz w:val="32"/>
          <w:szCs w:val="32"/>
          <w:highlight w:val="none"/>
          <w:u w:val="none"/>
        </w:rPr>
        <w:t>政策到期</w:t>
      </w:r>
      <w:r>
        <w:rPr>
          <w:rFonts w:hint="eastAsia" w:ascii="仿宋_GB2312" w:hAnsi="宋体" w:eastAsia="仿宋_GB2312" w:cs="宋体"/>
          <w:b w:val="0"/>
          <w:bCs w:val="0"/>
          <w:color w:val="auto"/>
          <w:kern w:val="0"/>
          <w:sz w:val="32"/>
          <w:szCs w:val="32"/>
          <w:highlight w:val="none"/>
          <w:u w:val="none"/>
          <w:lang w:eastAsia="zh-CN"/>
        </w:rPr>
        <w:t>以及已从中央基建投资等其他渠道获得性质类同的中央财政资金支持的项目严格审核，不得申请</w:t>
      </w:r>
      <w:r>
        <w:rPr>
          <w:rFonts w:hint="eastAsia" w:ascii="仿宋_GB2312" w:hAnsi="宋体" w:eastAsia="仿宋_GB2312" w:cs="宋体"/>
          <w:color w:val="auto"/>
          <w:kern w:val="0"/>
          <w:sz w:val="32"/>
          <w:szCs w:val="32"/>
          <w:highlight w:val="none"/>
          <w:u w:val="none"/>
        </w:rPr>
        <w:t>粮油生产保障资金</w:t>
      </w:r>
      <w:r>
        <w:rPr>
          <w:rFonts w:hint="eastAsia" w:ascii="仿宋_GB2312" w:hAnsi="宋体" w:eastAsia="仿宋_GB2312" w:cs="宋体"/>
          <w:b w:val="0"/>
          <w:bCs w:val="0"/>
          <w:color w:val="auto"/>
          <w:kern w:val="0"/>
          <w:sz w:val="32"/>
          <w:szCs w:val="32"/>
          <w:highlight w:val="none"/>
          <w:u w:val="none"/>
          <w:lang w:eastAsia="zh-CN"/>
        </w:rPr>
        <w:t>支持。</w:t>
      </w:r>
    </w:p>
    <w:p>
      <w:pPr>
        <w:keepNext w:val="0"/>
        <w:keepLines w:val="0"/>
        <w:pageBreakBefore w:val="0"/>
        <w:widowControl/>
        <w:kinsoku/>
        <w:wordWrap/>
        <w:overflowPunct/>
        <w:topLinePunct w:val="0"/>
        <w:autoSpaceDE/>
        <w:autoSpaceDN/>
        <w:bidi w:val="0"/>
        <w:adjustRightInd/>
        <w:snapToGrid/>
        <w:spacing w:line="600" w:lineRule="exact"/>
        <w:ind w:firstLine="615"/>
        <w:textAlignment w:val="auto"/>
        <w:rPr>
          <w:rFonts w:hint="eastAsia" w:ascii="仿宋_GB2312" w:hAnsi="宋体" w:eastAsia="仿宋_GB2312" w:cs="宋体"/>
          <w:color w:val="auto"/>
          <w:kern w:val="0"/>
          <w:sz w:val="32"/>
          <w:szCs w:val="32"/>
          <w:highlight w:val="none"/>
          <w:u w:val="none"/>
          <w:lang w:eastAsia="zh-CN"/>
        </w:rPr>
      </w:pPr>
      <w:r>
        <w:rPr>
          <w:rFonts w:hint="eastAsia" w:ascii="黑体" w:hAnsi="黑体" w:eastAsia="黑体" w:cs="黑体"/>
          <w:b w:val="0"/>
          <w:bCs w:val="0"/>
          <w:color w:val="auto"/>
          <w:kern w:val="0"/>
          <w:sz w:val="32"/>
          <w:szCs w:val="32"/>
          <w:highlight w:val="none"/>
          <w:u w:val="none"/>
        </w:rPr>
        <w:t>第十</w:t>
      </w:r>
      <w:r>
        <w:rPr>
          <w:rFonts w:hint="eastAsia" w:ascii="黑体" w:hAnsi="黑体" w:eastAsia="黑体" w:cs="黑体"/>
          <w:b w:val="0"/>
          <w:bCs w:val="0"/>
          <w:color w:val="auto"/>
          <w:kern w:val="0"/>
          <w:sz w:val="32"/>
          <w:szCs w:val="32"/>
          <w:highlight w:val="none"/>
          <w:u w:val="none"/>
          <w:lang w:eastAsia="zh-CN"/>
        </w:rPr>
        <w:t>七</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b w:val="0"/>
          <w:bCs w:val="0"/>
          <w:color w:val="auto"/>
          <w:kern w:val="0"/>
          <w:sz w:val="32"/>
          <w:szCs w:val="32"/>
          <w:highlight w:val="none"/>
          <w:u w:val="none"/>
        </w:rPr>
        <w:t>安排给8个脱贫县（原国家扶贫开发工作重点县和连片特困地区县）的资金，按照</w:t>
      </w:r>
      <w:r>
        <w:rPr>
          <w:rFonts w:hint="eastAsia" w:ascii="仿宋_GB2312" w:hAnsi="宋体" w:eastAsia="仿宋_GB2312" w:cs="宋体"/>
          <w:color w:val="auto"/>
          <w:kern w:val="0"/>
          <w:sz w:val="32"/>
          <w:szCs w:val="32"/>
          <w:highlight w:val="none"/>
          <w:u w:val="none"/>
          <w:lang w:eastAsia="zh-CN"/>
        </w:rPr>
        <w:t>国家和省</w:t>
      </w:r>
      <w:r>
        <w:rPr>
          <w:rFonts w:hint="eastAsia" w:ascii="仿宋_GB2312" w:hAnsi="宋体" w:eastAsia="仿宋_GB2312" w:cs="宋体"/>
          <w:b w:val="0"/>
          <w:bCs w:val="0"/>
          <w:color w:val="auto"/>
          <w:kern w:val="0"/>
          <w:sz w:val="32"/>
          <w:szCs w:val="32"/>
          <w:highlight w:val="none"/>
          <w:u w:val="none"/>
        </w:rPr>
        <w:t>有关规定执行</w:t>
      </w:r>
      <w:r>
        <w:rPr>
          <w:rFonts w:hint="eastAsia" w:ascii="仿宋_GB2312" w:hAnsi="宋体" w:eastAsia="仿宋_GB2312" w:cs="宋体"/>
          <w:b w:val="0"/>
          <w:bCs w:val="0"/>
          <w:color w:val="auto"/>
          <w:kern w:val="0"/>
          <w:sz w:val="32"/>
          <w:szCs w:val="32"/>
          <w:highlight w:val="none"/>
          <w:u w:val="none"/>
          <w:lang w:eastAsia="zh-CN"/>
        </w:rPr>
        <w:t>。</w:t>
      </w:r>
    </w:p>
    <w:p>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宋体" w:eastAsia="仿宋_GB2312" w:cs="宋体"/>
          <w:color w:val="auto"/>
          <w:kern w:val="0"/>
          <w:sz w:val="32"/>
          <w:szCs w:val="32"/>
          <w:highlight w:val="none"/>
          <w:u w:val="none"/>
        </w:rPr>
      </w:pPr>
    </w:p>
    <w:p>
      <w:pPr>
        <w:pStyle w:val="2"/>
        <w:rPr>
          <w:rFonts w:hint="eastAsia"/>
          <w:color w:val="auto"/>
          <w:highlight w:val="none"/>
          <w:u w:val="none"/>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ascii="黑体" w:hAnsi="黑体" w:eastAsia="黑体" w:cs="宋体"/>
          <w:color w:val="auto"/>
          <w:kern w:val="0"/>
          <w:sz w:val="32"/>
          <w:szCs w:val="32"/>
          <w:highlight w:val="none"/>
          <w:u w:val="none"/>
        </w:rPr>
      </w:pPr>
      <w:r>
        <w:rPr>
          <w:rFonts w:hint="eastAsia" w:ascii="黑体" w:hAnsi="黑体" w:eastAsia="黑体" w:cs="宋体"/>
          <w:color w:val="auto"/>
          <w:kern w:val="0"/>
          <w:sz w:val="32"/>
          <w:szCs w:val="32"/>
          <w:highlight w:val="none"/>
          <w:u w:val="none"/>
        </w:rPr>
        <w:t>第五章 绩效管理和监督</w:t>
      </w:r>
    </w:p>
    <w:p>
      <w:pPr>
        <w:keepNext w:val="0"/>
        <w:keepLines w:val="0"/>
        <w:pageBreakBefore w:val="0"/>
        <w:widowControl/>
        <w:kinsoku/>
        <w:wordWrap/>
        <w:overflowPunct/>
        <w:topLinePunct w:val="0"/>
        <w:autoSpaceDE/>
        <w:autoSpaceDN/>
        <w:bidi w:val="0"/>
        <w:adjustRightInd/>
        <w:snapToGrid/>
        <w:spacing w:line="600" w:lineRule="exact"/>
        <w:ind w:firstLine="600"/>
        <w:textAlignment w:val="auto"/>
        <w:rPr>
          <w:rFonts w:hint="eastAsia" w:ascii="仿宋_GB2312" w:hAnsi="宋体" w:eastAsia="仿宋_GB2312" w:cs="宋体"/>
          <w:b/>
          <w:bCs/>
          <w:color w:val="auto"/>
          <w:kern w:val="0"/>
          <w:sz w:val="32"/>
          <w:szCs w:val="32"/>
          <w:highlight w:val="none"/>
          <w:u w:val="none"/>
        </w:rPr>
      </w:pPr>
    </w:p>
    <w:p>
      <w:pPr>
        <w:pStyle w:val="2"/>
        <w:keepNext w:val="0"/>
        <w:keepLines w:val="0"/>
        <w:pageBreakBefore w:val="0"/>
        <w:widowControl w:val="0"/>
        <w:kinsoku/>
        <w:wordWrap/>
        <w:overflowPunct/>
        <w:topLinePunct w:val="0"/>
        <w:autoSpaceDE/>
        <w:autoSpaceDN/>
        <w:bidi w:val="0"/>
        <w:adjustRightInd/>
        <w:snapToGrid/>
        <w:spacing w:line="600" w:lineRule="exact"/>
        <w:ind w:left="0" w:firstLine="640" w:firstLineChars="200"/>
        <w:textAlignment w:val="auto"/>
        <w:rPr>
          <w:rFonts w:hint="eastAsia" w:ascii="仿宋_GB2312" w:hAnsi="仿宋_GB2312" w:eastAsia="仿宋_GB2312" w:cs="仿宋_GB2312"/>
          <w:b w:val="0"/>
          <w:bCs w:val="0"/>
          <w:color w:val="auto"/>
          <w:spacing w:val="-6"/>
          <w:sz w:val="32"/>
          <w:szCs w:val="32"/>
          <w:highlight w:val="none"/>
          <w:u w:val="none"/>
          <w:lang w:val="en" w:eastAsia="zh-CN"/>
        </w:rPr>
      </w:pPr>
      <w:r>
        <w:rPr>
          <w:rFonts w:hint="eastAsia" w:ascii="黑体" w:hAnsi="黑体" w:eastAsia="黑体" w:cs="黑体"/>
          <w:b w:val="0"/>
          <w:bCs w:val="0"/>
          <w:color w:val="auto"/>
          <w:kern w:val="0"/>
          <w:sz w:val="32"/>
          <w:szCs w:val="32"/>
          <w:highlight w:val="none"/>
          <w:u w:val="none"/>
        </w:rPr>
        <w:t>第十</w:t>
      </w:r>
      <w:r>
        <w:rPr>
          <w:rFonts w:hint="eastAsia" w:ascii="黑体" w:hAnsi="黑体" w:eastAsia="黑体" w:cs="黑体"/>
          <w:b w:val="0"/>
          <w:bCs w:val="0"/>
          <w:color w:val="auto"/>
          <w:kern w:val="0"/>
          <w:sz w:val="32"/>
          <w:szCs w:val="32"/>
          <w:highlight w:val="none"/>
          <w:u w:val="none"/>
          <w:lang w:eastAsia="zh-CN"/>
        </w:rPr>
        <w:t>八</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粮油生产保障资金实行全过程预算绩效管理，各级财政、农业农村部门</w:t>
      </w:r>
      <w:r>
        <w:rPr>
          <w:rFonts w:hint="eastAsia" w:ascii="仿宋_GB2312" w:hAnsi="宋体" w:eastAsia="仿宋_GB2312" w:cs="宋体"/>
          <w:color w:val="auto"/>
          <w:kern w:val="0"/>
          <w:sz w:val="32"/>
          <w:szCs w:val="32"/>
          <w:highlight w:val="none"/>
          <w:u w:val="none"/>
          <w:lang w:eastAsia="zh-CN"/>
        </w:rPr>
        <w:t>参</w:t>
      </w:r>
      <w:r>
        <w:rPr>
          <w:rFonts w:hint="eastAsia" w:ascii="仿宋_GB2312" w:hAnsi="宋体" w:eastAsia="仿宋_GB2312" w:cs="宋体"/>
          <w:color w:val="auto"/>
          <w:kern w:val="0"/>
          <w:sz w:val="32"/>
          <w:szCs w:val="32"/>
          <w:highlight w:val="none"/>
          <w:u w:val="none"/>
        </w:rPr>
        <w:t>照</w:t>
      </w:r>
      <w:r>
        <w:rPr>
          <w:rFonts w:hint="eastAsia" w:ascii="仿宋_GB2312" w:hAnsi="宋体" w:eastAsia="仿宋_GB2312" w:cs="宋体"/>
          <w:color w:val="auto"/>
          <w:kern w:val="0"/>
          <w:sz w:val="32"/>
          <w:szCs w:val="32"/>
          <w:highlight w:val="none"/>
          <w:u w:val="none"/>
          <w:lang w:eastAsia="zh-CN"/>
        </w:rPr>
        <w:t>《吉林省农业相关转移支付资金绩效管理办法实施细则》（吉财农〔2021〕120号）</w:t>
      </w:r>
      <w:r>
        <w:rPr>
          <w:rFonts w:hint="eastAsia" w:ascii="仿宋_GB2312" w:hAnsi="宋体" w:eastAsia="仿宋_GB2312" w:cs="宋体"/>
          <w:color w:val="auto"/>
          <w:kern w:val="0"/>
          <w:sz w:val="32"/>
          <w:szCs w:val="32"/>
          <w:highlight w:val="none"/>
          <w:u w:val="none"/>
        </w:rPr>
        <w:t>等有关制度规定，设定资金绩效目标、开展绩效目标执行情况监控和绩效评价等工作，</w:t>
      </w:r>
      <w:r>
        <w:rPr>
          <w:rFonts w:hint="eastAsia" w:ascii="仿宋_GB2312" w:hAnsi="宋体" w:eastAsia="仿宋_GB2312" w:cs="宋体"/>
          <w:color w:val="auto"/>
          <w:kern w:val="0"/>
          <w:sz w:val="32"/>
          <w:szCs w:val="32"/>
          <w:highlight w:val="none"/>
          <w:u w:val="none"/>
          <w:lang w:eastAsia="zh-CN"/>
        </w:rPr>
        <w:t>绩效目标设定应与资金量、成本效益等相匹配。</w:t>
      </w:r>
      <w:r>
        <w:rPr>
          <w:rFonts w:hint="eastAsia" w:ascii="仿宋_GB2312" w:hAnsi="Times New Roman" w:eastAsia="仿宋_GB2312" w:cs="宋体"/>
          <w:b w:val="0"/>
          <w:bCs w:val="0"/>
          <w:color w:val="auto"/>
          <w:kern w:val="0"/>
          <w:sz w:val="32"/>
          <w:szCs w:val="32"/>
          <w:highlight w:val="none"/>
          <w:u w:val="none"/>
          <w:lang w:eastAsia="zh-CN"/>
        </w:rPr>
        <w:t>省财政厅</w:t>
      </w:r>
      <w:r>
        <w:rPr>
          <w:rFonts w:hint="eastAsia" w:ascii="仿宋_GB2312" w:hAnsi="仿宋_GB2312" w:eastAsia="仿宋_GB2312" w:cs="仿宋_GB2312"/>
          <w:b w:val="0"/>
          <w:bCs w:val="0"/>
          <w:color w:val="auto"/>
          <w:spacing w:val="-6"/>
          <w:sz w:val="32"/>
          <w:szCs w:val="32"/>
          <w:highlight w:val="none"/>
          <w:u w:val="none"/>
          <w:lang w:val="en" w:eastAsia="zh-CN"/>
        </w:rPr>
        <w:t>根据工作需要适时组织开展重点绩效评价。</w:t>
      </w:r>
    </w:p>
    <w:p>
      <w:pPr>
        <w:keepNext w:val="0"/>
        <w:keepLines w:val="0"/>
        <w:pageBreakBefore w:val="0"/>
        <w:kinsoku/>
        <w:wordWrap/>
        <w:overflowPunct/>
        <w:topLinePunct w:val="0"/>
        <w:autoSpaceDE/>
        <w:autoSpaceDN/>
        <w:bidi w:val="0"/>
        <w:adjustRightInd/>
        <w:snapToGrid/>
        <w:spacing w:line="600" w:lineRule="exact"/>
        <w:ind w:firstLine="616" w:firstLineChars="200"/>
        <w:textAlignment w:val="auto"/>
        <w:rPr>
          <w:color w:val="auto"/>
          <w:sz w:val="32"/>
          <w:szCs w:val="32"/>
          <w:highlight w:val="none"/>
          <w:u w:val="none"/>
        </w:rPr>
      </w:pPr>
      <w:r>
        <w:rPr>
          <w:rFonts w:hint="eastAsia" w:ascii="仿宋_GB2312" w:hAnsi="仿宋_GB2312" w:eastAsia="仿宋_GB2312" w:cs="仿宋_GB2312"/>
          <w:b w:val="0"/>
          <w:bCs w:val="0"/>
          <w:color w:val="auto"/>
          <w:spacing w:val="-6"/>
          <w:sz w:val="32"/>
          <w:szCs w:val="32"/>
          <w:highlight w:val="none"/>
          <w:u w:val="none"/>
          <w:lang w:val="en" w:eastAsia="zh-CN"/>
        </w:rPr>
        <w:t>各级财政、农业农村部门要加强绩效评价结果应用，按规定将绩效评价结果作为粮油生产保障资金预算安排、资金分配、改进管理和完善政策的重要依据；按规定做好绩效信息公开。</w:t>
      </w:r>
    </w:p>
    <w:p>
      <w:pPr>
        <w:keepNext w:val="0"/>
        <w:keepLines w:val="0"/>
        <w:pageBreakBefore w:val="0"/>
        <w:widowControl/>
        <w:kinsoku/>
        <w:wordWrap/>
        <w:overflowPunct/>
        <w:topLinePunct w:val="0"/>
        <w:autoSpaceDE/>
        <w:autoSpaceDN/>
        <w:bidi w:val="0"/>
        <w:adjustRightInd/>
        <w:snapToGrid/>
        <w:spacing w:line="600" w:lineRule="exact"/>
        <w:ind w:firstLine="600"/>
        <w:textAlignment w:val="auto"/>
        <w:rPr>
          <w:rFonts w:hint="eastAsia" w:ascii="仿宋_GB2312" w:hAnsi="宋体" w:eastAsia="仿宋_GB2312" w:cs="宋体"/>
          <w:color w:val="auto"/>
          <w:kern w:val="0"/>
          <w:sz w:val="32"/>
          <w:szCs w:val="32"/>
          <w:highlight w:val="none"/>
          <w:u w:val="none"/>
          <w:lang w:eastAsia="zh-CN"/>
        </w:rPr>
      </w:pPr>
      <w:r>
        <w:rPr>
          <w:rFonts w:hint="eastAsia" w:ascii="黑体" w:hAnsi="黑体" w:eastAsia="黑体" w:cs="黑体"/>
          <w:b w:val="0"/>
          <w:bCs w:val="0"/>
          <w:color w:val="auto"/>
          <w:kern w:val="0"/>
          <w:sz w:val="32"/>
          <w:szCs w:val="32"/>
          <w:highlight w:val="none"/>
          <w:u w:val="none"/>
        </w:rPr>
        <w:t>第</w:t>
      </w:r>
      <w:r>
        <w:rPr>
          <w:rFonts w:hint="eastAsia" w:ascii="黑体" w:hAnsi="黑体" w:eastAsia="黑体" w:cs="黑体"/>
          <w:b w:val="0"/>
          <w:bCs w:val="0"/>
          <w:color w:val="auto"/>
          <w:kern w:val="0"/>
          <w:sz w:val="32"/>
          <w:szCs w:val="32"/>
          <w:highlight w:val="none"/>
          <w:u w:val="none"/>
          <w:lang w:eastAsia="zh-CN"/>
        </w:rPr>
        <w:t>十九</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各级财政、农业农村部门应当加强对粮油生产保障资金分配、使用、管理情况的监督，</w:t>
      </w:r>
      <w:r>
        <w:rPr>
          <w:rFonts w:hint="default" w:ascii="仿宋_GB2312" w:hAnsi="宋体" w:eastAsia="仿宋_GB2312" w:cs="宋体"/>
          <w:color w:val="auto"/>
          <w:kern w:val="0"/>
          <w:sz w:val="32"/>
          <w:szCs w:val="32"/>
          <w:highlight w:val="none"/>
          <w:u w:val="none"/>
        </w:rPr>
        <w:t>综合运用大数据等技术手段提升监督效能，及时发现和纠正存在问题</w:t>
      </w:r>
      <w:r>
        <w:rPr>
          <w:rFonts w:hint="eastAsia" w:ascii="仿宋_GB2312" w:hAnsi="宋体" w:eastAsia="仿宋_GB2312" w:cs="宋体"/>
          <w:color w:val="auto"/>
          <w:kern w:val="0"/>
          <w:sz w:val="32"/>
          <w:szCs w:val="32"/>
          <w:highlight w:val="none"/>
          <w:u w:val="none"/>
        </w:rPr>
        <w:t>。</w:t>
      </w:r>
      <w:r>
        <w:rPr>
          <w:rFonts w:hint="eastAsia" w:ascii="仿宋_GB2312" w:hAnsi="宋体" w:eastAsia="仿宋_GB2312" w:cs="宋体"/>
          <w:color w:val="auto"/>
          <w:kern w:val="0"/>
          <w:sz w:val="32"/>
          <w:szCs w:val="32"/>
          <w:highlight w:val="none"/>
          <w:u w:val="none"/>
          <w:lang w:eastAsia="zh-CN"/>
        </w:rPr>
        <w:t>各级财政、农业农村部门应当按照防范和化解财政风险要求，强化流程控制、依法合规分配和使用资金，实行不相容岗位（职责）分离控制。</w:t>
      </w:r>
    </w:p>
    <w:p>
      <w:pPr>
        <w:keepNext w:val="0"/>
        <w:keepLines w:val="0"/>
        <w:pageBreakBefore w:val="0"/>
        <w:widowControl/>
        <w:kinsoku/>
        <w:wordWrap/>
        <w:overflowPunct/>
        <w:topLinePunct w:val="0"/>
        <w:autoSpaceDE/>
        <w:autoSpaceDN/>
        <w:bidi w:val="0"/>
        <w:adjustRightInd/>
        <w:snapToGrid/>
        <w:spacing w:line="600" w:lineRule="exact"/>
        <w:ind w:firstLine="651"/>
        <w:textAlignment w:val="auto"/>
        <w:rPr>
          <w:rFonts w:hint="eastAsia" w:ascii="仿宋_GB2312" w:hAnsi="宋体" w:eastAsia="仿宋_GB2312"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w:t>
      </w:r>
      <w:r>
        <w:rPr>
          <w:rFonts w:hint="eastAsia" w:ascii="黑体" w:hAnsi="黑体" w:eastAsia="黑体" w:cs="黑体"/>
          <w:b w:val="0"/>
          <w:bCs w:val="0"/>
          <w:color w:val="auto"/>
          <w:kern w:val="0"/>
          <w:sz w:val="32"/>
          <w:szCs w:val="32"/>
          <w:highlight w:val="none"/>
          <w:u w:val="none"/>
          <w:lang w:eastAsia="zh-CN"/>
        </w:rPr>
        <w:t>二十</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各级财政、农业农村部门及其工作人员在资金分配、审核等工作中，存在违反规定修改基础数据、分配资金</w:t>
      </w:r>
      <w:r>
        <w:rPr>
          <w:rFonts w:hint="eastAsia" w:ascii="仿宋_GB2312" w:hAnsi="宋体" w:eastAsia="仿宋_GB2312" w:cs="宋体"/>
          <w:color w:val="auto"/>
          <w:kern w:val="0"/>
          <w:sz w:val="32"/>
          <w:szCs w:val="32"/>
          <w:highlight w:val="none"/>
          <w:u w:val="none"/>
          <w:lang w:eastAsia="zh-CN"/>
        </w:rPr>
        <w:t>，</w:t>
      </w:r>
      <w:r>
        <w:rPr>
          <w:rFonts w:hint="eastAsia" w:ascii="仿宋_GB2312" w:hAnsi="宋体" w:eastAsia="仿宋_GB2312" w:cs="宋体"/>
          <w:color w:val="auto"/>
          <w:kern w:val="0"/>
          <w:sz w:val="32"/>
          <w:szCs w:val="32"/>
          <w:highlight w:val="none"/>
          <w:u w:val="none"/>
        </w:rPr>
        <w:t>向不符合条件的单位、个人（或项目）分配资金或者擅自超出规定的范围、标准分配或使用资金，以及存在其他滥用职权、玩忽职守、徇私舞弊等违法违规行为的，依法追究相应责任；涉嫌犯罪的，依法移送有关机关处理。</w:t>
      </w:r>
    </w:p>
    <w:p>
      <w:pPr>
        <w:keepNext w:val="0"/>
        <w:keepLines w:val="0"/>
        <w:pageBreakBefore w:val="0"/>
        <w:widowControl/>
        <w:kinsoku/>
        <w:wordWrap/>
        <w:overflowPunct/>
        <w:topLinePunct w:val="0"/>
        <w:autoSpaceDE/>
        <w:autoSpaceDN/>
        <w:bidi w:val="0"/>
        <w:adjustRightInd/>
        <w:snapToGrid/>
        <w:spacing w:line="600" w:lineRule="exact"/>
        <w:ind w:firstLine="651"/>
        <w:textAlignment w:val="auto"/>
        <w:rPr>
          <w:rFonts w:hint="eastAsia" w:ascii="仿宋_GB2312" w:hAnsi="宋体" w:eastAsia="仿宋_GB2312"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第二十</w:t>
      </w:r>
      <w:r>
        <w:rPr>
          <w:rFonts w:hint="eastAsia" w:ascii="黑体" w:hAnsi="黑体" w:eastAsia="黑体" w:cs="黑体"/>
          <w:b w:val="0"/>
          <w:bCs w:val="0"/>
          <w:color w:val="auto"/>
          <w:kern w:val="0"/>
          <w:sz w:val="32"/>
          <w:szCs w:val="32"/>
          <w:highlight w:val="none"/>
          <w:u w:val="none"/>
          <w:lang w:eastAsia="zh-CN"/>
        </w:rPr>
        <w:t>一</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资金使用单位和个人虚报冒领、骗取套取、挤占挪用</w:t>
      </w:r>
      <w:r>
        <w:rPr>
          <w:rFonts w:hint="eastAsia" w:ascii="仿宋_GB2312" w:hAnsi="宋体" w:eastAsia="仿宋_GB2312" w:cs="宋体"/>
          <w:color w:val="auto"/>
          <w:kern w:val="0"/>
          <w:sz w:val="32"/>
          <w:szCs w:val="32"/>
          <w:highlight w:val="none"/>
          <w:u w:val="none"/>
          <w:lang w:eastAsia="zh-CN"/>
        </w:rPr>
        <w:t>粮油生产保障</w:t>
      </w:r>
      <w:r>
        <w:rPr>
          <w:rFonts w:hint="eastAsia" w:ascii="仿宋_GB2312" w:hAnsi="宋体" w:eastAsia="仿宋_GB2312" w:cs="宋体"/>
          <w:color w:val="auto"/>
          <w:kern w:val="0"/>
          <w:sz w:val="32"/>
          <w:szCs w:val="32"/>
          <w:highlight w:val="none"/>
          <w:u w:val="none"/>
        </w:rPr>
        <w:t>资金，以及存在其他违反本</w:t>
      </w:r>
      <w:r>
        <w:rPr>
          <w:rFonts w:hint="eastAsia" w:ascii="仿宋_GB2312" w:hAnsi="宋体" w:eastAsia="仿宋_GB2312" w:cs="宋体"/>
          <w:color w:val="auto"/>
          <w:kern w:val="0"/>
          <w:sz w:val="32"/>
          <w:szCs w:val="32"/>
          <w:highlight w:val="none"/>
          <w:u w:val="none"/>
          <w:lang w:eastAsia="zh-CN"/>
        </w:rPr>
        <w:t>细则</w:t>
      </w:r>
      <w:r>
        <w:rPr>
          <w:rFonts w:hint="eastAsia" w:ascii="仿宋_GB2312" w:hAnsi="宋体" w:eastAsia="仿宋_GB2312" w:cs="宋体"/>
          <w:color w:val="auto"/>
          <w:kern w:val="0"/>
          <w:sz w:val="32"/>
          <w:szCs w:val="32"/>
          <w:highlight w:val="none"/>
          <w:u w:val="none"/>
        </w:rPr>
        <w:t>规定行为的，依法追究相应责任。</w:t>
      </w:r>
    </w:p>
    <w:p>
      <w:pPr>
        <w:pStyle w:val="3"/>
        <w:rPr>
          <w:rFonts w:hint="eastAsia" w:ascii="宋体" w:hAnsi="宋体" w:eastAsia="宋体" w:cs="宋体"/>
          <w:b/>
          <w:bCs/>
          <w:color w:val="auto"/>
          <w:kern w:val="0"/>
          <w:sz w:val="32"/>
          <w:szCs w:val="32"/>
          <w:highlight w:val="none"/>
          <w:u w:val="none"/>
        </w:rPr>
      </w:pPr>
    </w:p>
    <w:p>
      <w:pPr>
        <w:keepNext w:val="0"/>
        <w:keepLines w:val="0"/>
        <w:pageBreakBefore w:val="0"/>
        <w:widowControl/>
        <w:kinsoku/>
        <w:wordWrap/>
        <w:overflowPunct/>
        <w:topLinePunct w:val="0"/>
        <w:autoSpaceDE/>
        <w:autoSpaceDN/>
        <w:bidi w:val="0"/>
        <w:adjustRightInd/>
        <w:snapToGrid/>
        <w:spacing w:line="600" w:lineRule="exact"/>
        <w:ind w:left="1080" w:hanging="1080"/>
        <w:jc w:val="center"/>
        <w:textAlignment w:val="auto"/>
        <w:rPr>
          <w:rFonts w:hint="eastAsia" w:ascii="黑体" w:hAnsi="黑体" w:eastAsia="黑体" w:cs="黑体"/>
          <w:b w:val="0"/>
          <w:bCs w:val="0"/>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第六章 </w:t>
      </w:r>
      <w:r>
        <w:rPr>
          <w:rFonts w:hint="eastAsia" w:ascii="黑体" w:hAnsi="黑体" w:eastAsia="黑体" w:cs="黑体"/>
          <w:b w:val="0"/>
          <w:bCs w:val="0"/>
          <w:color w:val="auto"/>
          <w:kern w:val="0"/>
          <w:sz w:val="32"/>
          <w:szCs w:val="32"/>
          <w:highlight w:val="none"/>
          <w:u w:val="none"/>
          <w:lang w:val="en"/>
        </w:rPr>
        <w:t xml:space="preserve"> </w:t>
      </w:r>
      <w:r>
        <w:rPr>
          <w:rFonts w:hint="eastAsia" w:ascii="黑体" w:hAnsi="黑体" w:eastAsia="黑体" w:cs="黑体"/>
          <w:b w:val="0"/>
          <w:bCs w:val="0"/>
          <w:color w:val="auto"/>
          <w:kern w:val="0"/>
          <w:sz w:val="32"/>
          <w:szCs w:val="32"/>
          <w:highlight w:val="none"/>
          <w:u w:val="none"/>
        </w:rPr>
        <w:t>附则</w:t>
      </w:r>
    </w:p>
    <w:p>
      <w:pPr>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　　</w:t>
      </w:r>
    </w:p>
    <w:p>
      <w:pPr>
        <w:keepNext w:val="0"/>
        <w:keepLines w:val="0"/>
        <w:pageBreakBefore w:val="0"/>
        <w:widowControl/>
        <w:kinsoku/>
        <w:wordWrap/>
        <w:overflowPunct/>
        <w:topLinePunct w:val="0"/>
        <w:autoSpaceDE/>
        <w:autoSpaceDN/>
        <w:bidi w:val="0"/>
        <w:adjustRightInd/>
        <w:snapToGrid/>
        <w:spacing w:line="600" w:lineRule="exact"/>
        <w:ind w:firstLine="640" w:firstLineChars="200"/>
        <w:textAlignment w:val="auto"/>
        <w:rPr>
          <w:rFonts w:hint="eastAsia" w:ascii="仿宋_GB2312" w:hAnsi="宋体" w:eastAsia="仿宋_GB2312" w:cs="宋体"/>
          <w:color w:val="auto"/>
          <w:kern w:val="0"/>
          <w:sz w:val="32"/>
          <w:szCs w:val="32"/>
          <w:highlight w:val="none"/>
          <w:u w:val="none"/>
        </w:rPr>
      </w:pPr>
      <w:r>
        <w:rPr>
          <w:rFonts w:hint="eastAsia" w:ascii="黑体" w:hAnsi="黑体" w:eastAsia="黑体" w:cs="黑体"/>
          <w:b w:val="0"/>
          <w:bCs w:val="0"/>
          <w:color w:val="auto"/>
          <w:kern w:val="0"/>
          <w:sz w:val="32"/>
          <w:szCs w:val="32"/>
          <w:highlight w:val="none"/>
          <w:u w:val="none"/>
        </w:rPr>
        <w:t>第二十</w:t>
      </w:r>
      <w:r>
        <w:rPr>
          <w:rFonts w:hint="eastAsia" w:ascii="黑体" w:hAnsi="黑体" w:eastAsia="黑体" w:cs="黑体"/>
          <w:b w:val="0"/>
          <w:bCs w:val="0"/>
          <w:color w:val="auto"/>
          <w:kern w:val="0"/>
          <w:sz w:val="32"/>
          <w:szCs w:val="32"/>
          <w:highlight w:val="none"/>
          <w:u w:val="none"/>
          <w:lang w:eastAsia="zh-CN"/>
        </w:rPr>
        <w:t>二</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本</w:t>
      </w:r>
      <w:r>
        <w:rPr>
          <w:rFonts w:hint="eastAsia" w:ascii="仿宋_GB2312" w:hAnsi="宋体" w:eastAsia="仿宋_GB2312" w:cs="宋体"/>
          <w:color w:val="auto"/>
          <w:kern w:val="0"/>
          <w:sz w:val="32"/>
          <w:szCs w:val="32"/>
          <w:highlight w:val="none"/>
          <w:u w:val="none"/>
          <w:lang w:eastAsia="zh-CN"/>
        </w:rPr>
        <w:t>细则</w:t>
      </w:r>
      <w:r>
        <w:rPr>
          <w:rFonts w:hint="eastAsia" w:ascii="仿宋_GB2312" w:hAnsi="宋体" w:eastAsia="仿宋_GB2312" w:cs="宋体"/>
          <w:color w:val="auto"/>
          <w:kern w:val="0"/>
          <w:sz w:val="32"/>
          <w:szCs w:val="32"/>
          <w:highlight w:val="none"/>
          <w:u w:val="none"/>
        </w:rPr>
        <w:t>由</w:t>
      </w:r>
      <w:r>
        <w:rPr>
          <w:rFonts w:hint="eastAsia" w:ascii="仿宋_GB2312" w:hAnsi="Times New Roman" w:eastAsia="仿宋_GB2312" w:cs="宋体"/>
          <w:b w:val="0"/>
          <w:bCs w:val="0"/>
          <w:color w:val="auto"/>
          <w:kern w:val="0"/>
          <w:sz w:val="32"/>
          <w:szCs w:val="32"/>
          <w:highlight w:val="none"/>
          <w:u w:val="none"/>
          <w:lang w:eastAsia="zh-CN"/>
        </w:rPr>
        <w:t>省财政厅会同省农业农村厅</w:t>
      </w:r>
      <w:r>
        <w:rPr>
          <w:rFonts w:hint="eastAsia" w:ascii="仿宋_GB2312" w:hAnsi="宋体" w:eastAsia="仿宋_GB2312" w:cs="宋体"/>
          <w:color w:val="auto"/>
          <w:kern w:val="0"/>
          <w:sz w:val="32"/>
          <w:szCs w:val="32"/>
          <w:highlight w:val="none"/>
          <w:u w:val="none"/>
        </w:rPr>
        <w:t>负责解释。</w:t>
      </w:r>
      <w:r>
        <w:rPr>
          <w:rFonts w:hint="eastAsia" w:ascii="仿宋_GB2312" w:hAnsi="Times New Roman" w:eastAsia="仿宋_GB2312" w:cs="宋体"/>
          <w:b w:val="0"/>
          <w:bCs w:val="0"/>
          <w:color w:val="auto"/>
          <w:kern w:val="0"/>
          <w:sz w:val="32"/>
          <w:szCs w:val="32"/>
          <w:highlight w:val="none"/>
          <w:u w:val="none"/>
          <w:lang w:eastAsia="zh-CN"/>
        </w:rPr>
        <w:t>细则中未尽事宜，按照省下发的年度项目实施方案执行。</w:t>
      </w:r>
    </w:p>
    <w:p>
      <w:pPr>
        <w:keepNext w:val="0"/>
        <w:keepLines w:val="0"/>
        <w:pageBreakBefore w:val="0"/>
        <w:widowControl/>
        <w:kinsoku/>
        <w:wordWrap/>
        <w:overflowPunct/>
        <w:topLinePunct w:val="0"/>
        <w:autoSpaceDE/>
        <w:autoSpaceDN/>
        <w:bidi w:val="0"/>
        <w:adjustRightInd/>
        <w:snapToGrid/>
        <w:spacing w:line="600" w:lineRule="exact"/>
        <w:textAlignment w:val="auto"/>
        <w:rPr>
          <w:rFonts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t>　　</w:t>
      </w:r>
      <w:r>
        <w:rPr>
          <w:rFonts w:hint="eastAsia" w:ascii="黑体" w:hAnsi="黑体" w:eastAsia="黑体" w:cs="黑体"/>
          <w:b w:val="0"/>
          <w:bCs w:val="0"/>
          <w:color w:val="auto"/>
          <w:kern w:val="0"/>
          <w:sz w:val="32"/>
          <w:szCs w:val="32"/>
          <w:highlight w:val="none"/>
          <w:u w:val="none"/>
        </w:rPr>
        <w:t>第二十</w:t>
      </w:r>
      <w:r>
        <w:rPr>
          <w:rFonts w:hint="eastAsia" w:ascii="黑体" w:hAnsi="黑体" w:eastAsia="黑体" w:cs="黑体"/>
          <w:b w:val="0"/>
          <w:bCs w:val="0"/>
          <w:color w:val="auto"/>
          <w:kern w:val="0"/>
          <w:sz w:val="32"/>
          <w:szCs w:val="32"/>
          <w:highlight w:val="none"/>
          <w:u w:val="none"/>
          <w:lang w:eastAsia="zh-CN"/>
        </w:rPr>
        <w:t>三</w:t>
      </w:r>
      <w:r>
        <w:rPr>
          <w:rFonts w:hint="eastAsia" w:ascii="黑体" w:hAnsi="黑体" w:eastAsia="黑体" w:cs="黑体"/>
          <w:b w:val="0"/>
          <w:bCs w:val="0"/>
          <w:color w:val="auto"/>
          <w:kern w:val="0"/>
          <w:sz w:val="32"/>
          <w:szCs w:val="32"/>
          <w:highlight w:val="none"/>
          <w:u w:val="none"/>
        </w:rPr>
        <w:t>条</w:t>
      </w:r>
      <w:r>
        <w:rPr>
          <w:rFonts w:hint="eastAsia" w:ascii="仿宋_GB2312" w:hAnsi="宋体" w:eastAsia="仿宋_GB2312" w:cs="宋体"/>
          <w:color w:val="auto"/>
          <w:kern w:val="0"/>
          <w:sz w:val="32"/>
          <w:szCs w:val="32"/>
          <w:highlight w:val="none"/>
          <w:u w:val="none"/>
          <w:lang w:val="en-US" w:eastAsia="zh-CN"/>
        </w:rPr>
        <w:t xml:space="preserve"> </w:t>
      </w:r>
      <w:r>
        <w:rPr>
          <w:rFonts w:hint="eastAsia" w:ascii="仿宋_GB2312" w:hAnsi="宋体" w:eastAsia="仿宋_GB2312" w:cs="宋体"/>
          <w:color w:val="auto"/>
          <w:kern w:val="0"/>
          <w:sz w:val="32"/>
          <w:szCs w:val="32"/>
          <w:highlight w:val="none"/>
          <w:u w:val="none"/>
        </w:rPr>
        <w:t>本</w:t>
      </w:r>
      <w:r>
        <w:rPr>
          <w:rFonts w:hint="eastAsia" w:ascii="仿宋_GB2312" w:hAnsi="宋体" w:eastAsia="仿宋_GB2312" w:cs="宋体"/>
          <w:color w:val="auto"/>
          <w:kern w:val="0"/>
          <w:sz w:val="32"/>
          <w:szCs w:val="32"/>
          <w:highlight w:val="none"/>
          <w:u w:val="none"/>
          <w:lang w:eastAsia="zh-CN"/>
        </w:rPr>
        <w:t>细则</w:t>
      </w:r>
      <w:r>
        <w:rPr>
          <w:rFonts w:hint="eastAsia" w:ascii="仿宋_GB2312" w:hAnsi="宋体" w:eastAsia="仿宋_GB2312" w:cs="宋体"/>
          <w:color w:val="auto"/>
          <w:kern w:val="0"/>
          <w:sz w:val="32"/>
          <w:szCs w:val="32"/>
          <w:highlight w:val="none"/>
          <w:u w:val="none"/>
        </w:rPr>
        <w:t>自</w:t>
      </w:r>
      <w:r>
        <w:rPr>
          <w:rFonts w:hint="eastAsia" w:ascii="仿宋_GB2312" w:hAnsi="Times New Roman" w:eastAsia="仿宋_GB2312" w:cs="Times New Roman"/>
          <w:b w:val="0"/>
          <w:bCs w:val="0"/>
          <w:color w:val="auto"/>
          <w:kern w:val="0"/>
          <w:sz w:val="32"/>
          <w:szCs w:val="32"/>
          <w:highlight w:val="none"/>
          <w:u w:val="none"/>
        </w:rPr>
        <w:t>印发之日</w:t>
      </w:r>
      <w:r>
        <w:rPr>
          <w:rFonts w:hint="eastAsia" w:ascii="仿宋_GB2312" w:hAnsi="宋体" w:eastAsia="仿宋_GB2312" w:cs="宋体"/>
          <w:color w:val="auto"/>
          <w:kern w:val="0"/>
          <w:sz w:val="32"/>
          <w:szCs w:val="32"/>
          <w:highlight w:val="none"/>
          <w:u w:val="none"/>
        </w:rPr>
        <w:t>起施行。</w:t>
      </w:r>
    </w:p>
    <w:p>
      <w:pPr>
        <w:rPr>
          <w:rFonts w:hint="eastAsia" w:ascii="仿宋_GB2312" w:hAnsi="宋体" w:eastAsia="仿宋_GB2312" w:cs="宋体"/>
          <w:color w:val="auto"/>
          <w:kern w:val="0"/>
          <w:sz w:val="32"/>
          <w:szCs w:val="32"/>
          <w:highlight w:val="none"/>
          <w:u w:val="none"/>
        </w:rPr>
      </w:pPr>
      <w:r>
        <w:rPr>
          <w:rFonts w:hint="eastAsia" w:ascii="仿宋_GB2312" w:hAnsi="宋体" w:eastAsia="仿宋_GB2312" w:cs="宋体"/>
          <w:color w:val="auto"/>
          <w:kern w:val="0"/>
          <w:sz w:val="32"/>
          <w:szCs w:val="32"/>
          <w:highlight w:val="none"/>
          <w:u w:val="none"/>
        </w:rPr>
        <w:br w:type="page"/>
      </w:r>
    </w:p>
    <w:p>
      <w:pPr>
        <w:rPr>
          <w:color w:val="auto"/>
          <w:u w:val="none"/>
        </w:rPr>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F5E6BF"/>
    <w:multiLevelType w:val="singleLevel"/>
    <w:tmpl w:val="3FF5E6B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oNotDisplayPageBoundaries w:val="true"/>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FlMzVmNzZhNmJiNDI2Y2U1NGU4OGRhYTYzNGQ1ZWUifQ=="/>
  </w:docVars>
  <w:rsids>
    <w:rsidRoot w:val="47726CC5"/>
    <w:rsid w:val="47726CC5"/>
    <w:rsid w:val="7E78D70D"/>
    <w:rsid w:val="7F6709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style>
  <w:style w:type="paragraph" w:styleId="3">
    <w:name w:val="Body Text First Indent 2"/>
    <w:basedOn w:val="4"/>
    <w:unhideWhenUsed/>
    <w:qFormat/>
    <w:uiPriority w:val="99"/>
    <w:pPr>
      <w:ind w:firstLine="420" w:firstLineChars="200"/>
    </w:pPr>
  </w:style>
  <w:style w:type="paragraph" w:styleId="4">
    <w:name w:val="Body Text Indent"/>
    <w:basedOn w:val="1"/>
    <w:qFormat/>
    <w:uiPriority w:val="0"/>
    <w:pPr>
      <w:ind w:left="1596" w:hanging="969"/>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2023-05-22T05:17:00Z</dcterms:created>
  <dc:creator>Administrator</dc:creator>
  <cp:lastModifiedBy>inspur</cp:lastModifiedBy>
  <dcterms:modified xsi:type="dcterms:W3CDTF">2023-05-23T12:40:46Z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E7FC05C9BC7044A8BB26EC41D6F3DA73</vt:lpwstr>
  </property>
</Properties>
</file>