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12"/>
        </w:tabs>
        <w:wordWrap w:val="0"/>
        <w:ind w:right="617" w:rightChars="193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仿宋_GB2312" w:cs="仿宋_GB2312"/>
          <w:sz w:val="32"/>
          <w:szCs w:val="32"/>
        </w:rPr>
        <w:t>—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仿宋_GB2312" w:cs="仿宋_GB2312"/>
          <w:sz w:val="32"/>
          <w:szCs w:val="32"/>
        </w:rPr>
        <w:t>年吉林省政府债券承销团成员名单</w:t>
      </w:r>
    </w:p>
    <w:p>
      <w:pPr>
        <w:spacing w:line="560" w:lineRule="exact"/>
        <w:ind w:firstLine="640" w:firstLineChars="200"/>
        <w:rPr>
          <w:rFonts w:hint="eastAsia"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 w:val="0"/>
          <w:bCs/>
          <w:sz w:val="32"/>
          <w:szCs w:val="32"/>
        </w:rPr>
        <w:t>一、主承销商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 中国工商银行股份有限公司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 中国农业银行股份有限公司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 中国建设银行股份有限公司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 中国银行股份有限公司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 交通银行股份有限公司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 兴业银行股份有限公司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trike w:val="0"/>
          <w:dstrike w:val="0"/>
          <w:color w:val="auto"/>
          <w:sz w:val="32"/>
          <w:szCs w:val="32"/>
          <w:highlight w:val="none"/>
        </w:rPr>
        <w:t>7.</w:t>
      </w:r>
      <w:r>
        <w:rPr>
          <w:rFonts w:hint="eastAsia" w:ascii="宋体" w:hAnsi="宋体" w:eastAsia="仿宋_GB2312"/>
          <w:sz w:val="32"/>
          <w:szCs w:val="32"/>
          <w:highlight w:val="none"/>
        </w:rPr>
        <w:t xml:space="preserve"> 中国民生银行股份有限公司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8.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 xml:space="preserve"> 渤海银行股份有限公司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 xml:space="preserve">9. </w:t>
      </w:r>
      <w:r>
        <w:rPr>
          <w:rFonts w:hint="eastAsia" w:ascii="宋体" w:hAnsi="宋体" w:eastAsia="仿宋_GB2312"/>
          <w:sz w:val="32"/>
          <w:szCs w:val="32"/>
          <w:highlight w:val="none"/>
          <w:lang w:eastAsia="zh-CN"/>
        </w:rPr>
        <w:t>盛京</w:t>
      </w:r>
      <w:r>
        <w:rPr>
          <w:rFonts w:hint="eastAsia" w:ascii="宋体" w:hAnsi="宋体" w:eastAsia="仿宋_GB2312"/>
          <w:sz w:val="32"/>
          <w:szCs w:val="32"/>
          <w:highlight w:val="none"/>
        </w:rPr>
        <w:t>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 xml:space="preserve">10. </w:t>
      </w:r>
      <w:r>
        <w:rPr>
          <w:rFonts w:hint="eastAsia" w:ascii="宋体" w:hAnsi="宋体" w:eastAsia="仿宋_GB2312"/>
          <w:sz w:val="32"/>
          <w:szCs w:val="32"/>
          <w:highlight w:val="none"/>
        </w:rPr>
        <w:t>吉林银行股份有限公司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11. 中信证券股份有限公司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12. 华泰证券股份有限公司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13. 中信建投证券股份有限公司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14. 国泰君安证券股份有限公司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15. 光大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16. 海通证券股份有限公司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17. 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中国国际金融股份有限公司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18. 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国开证券股份有限公司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19. 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中国银河证券股份有限公司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20. 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中泰证券股份有限公司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b w:val="0"/>
          <w:bCs/>
          <w:sz w:val="32"/>
          <w:szCs w:val="32"/>
          <w:highlight w:val="none"/>
        </w:rPr>
      </w:pPr>
      <w:r>
        <w:rPr>
          <w:rFonts w:hint="eastAsia" w:ascii="宋体" w:hAnsi="宋体" w:eastAsia="仿宋_GB2312"/>
          <w:b w:val="0"/>
          <w:bCs/>
          <w:sz w:val="32"/>
          <w:szCs w:val="32"/>
          <w:highlight w:val="none"/>
        </w:rPr>
        <w:t>二、承销团一般成员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宋体" w:hAnsi="宋体" w:eastAsia="仿宋_GB2312"/>
          <w:sz w:val="32"/>
          <w:szCs w:val="32"/>
          <w:highlight w:val="none"/>
        </w:rPr>
        <w:t>. 中国邮政储蓄银行股份有限公司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招商银行股份有限公司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仿宋_GB2312"/>
          <w:sz w:val="32"/>
          <w:szCs w:val="32"/>
        </w:rPr>
        <w:t>中信银行股份有限公司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仿宋_GB2312"/>
          <w:sz w:val="32"/>
          <w:szCs w:val="32"/>
          <w:highlight w:val="none"/>
        </w:rPr>
        <w:t>. 中国光大银行股份有限公司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  <w:highlight w:val="none"/>
        </w:rPr>
        <w:t>. 上海浦东发展银行股份有限公司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广发银行股份有限公司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仿宋_GB2312"/>
          <w:sz w:val="32"/>
          <w:szCs w:val="32"/>
          <w:highlight w:val="none"/>
        </w:rPr>
        <w:t>. 长春发展农村商业银行股份有限公司</w:t>
      </w:r>
      <w:bookmarkStart w:id="0" w:name="成文日期"/>
      <w:bookmarkEnd w:id="0"/>
      <w:bookmarkStart w:id="1" w:name="抄送单位"/>
      <w:bookmarkEnd w:id="1"/>
      <w:bookmarkStart w:id="2" w:name="信息公开"/>
      <w:bookmarkEnd w:id="2"/>
      <w:bookmarkStart w:id="3" w:name="印发日期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  <w:highlight w:val="none"/>
        </w:rPr>
        <w:t>. 吉林九台农村商业银行股份有限公司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仿宋_GB2312"/>
          <w:sz w:val="32"/>
          <w:szCs w:val="32"/>
          <w:highlight w:val="none"/>
        </w:rPr>
        <w:t>长春农村商业银行股份有限公司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30. </w:t>
      </w:r>
      <w:r>
        <w:rPr>
          <w:rFonts w:hint="eastAsia" w:ascii="宋体" w:hAnsi="宋体" w:eastAsia="仿宋_GB2312"/>
          <w:sz w:val="32"/>
          <w:szCs w:val="32"/>
          <w:lang w:eastAsia="zh-CN"/>
        </w:rPr>
        <w:t>平安银行股份有限公司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32"/>
          <w:szCs w:val="32"/>
          <w:lang w:eastAsia="zh-CN"/>
        </w:rPr>
        <w:t>成都银行股份有限公司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32. 富邦华一银行有限公司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东方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东北证券股份有限公司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华西证券股份有限公司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申万宏源证券有限公司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中银国际证券股份有限公司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广发证券股份有限公司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招商证券股份有限公司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兴业证券股份有限公司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国信证券股份有限公司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平安证券股份有限公司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粤开证券股份有限公司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财信证券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股份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财达证券股份有限公司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6. 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国新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国都证券股份有限公司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安信证券股份有限公司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中航证券有限公司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开源证券股份有限公司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华安证券股份有限公司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浙商证券股份有限公司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申港证券股份有限公司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东兴证券股份有限公司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国海证券股份有限公司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华林证券股份有限公司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中山证券有限责任公司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. 九州证券股份有限公司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59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长江证券股份有限公司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第一创业证券股份有限公司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61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华创证券有限责任公司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62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万联证券股份有限公司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63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民生证券股份有限公司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64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中德证券有限责任公司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65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南京证券股份有限公司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66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国金证券股份有限公司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67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信达证券股份有限公司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68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东吴证券股份有限公司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69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西部证券股份有限公司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70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西南证券股份有限公司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71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</w:rPr>
        <w:t>联储证券有限责任公司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 xml:space="preserve">72.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首创</w:t>
      </w:r>
      <w:r>
        <w:rPr>
          <w:rFonts w:hint="eastAsia" w:ascii="宋体" w:hAnsi="宋体" w:eastAsia="仿宋_GB2312"/>
          <w:color w:val="auto"/>
          <w:sz w:val="32"/>
          <w:szCs w:val="32"/>
        </w:rPr>
        <w:t>证券股份有限公司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中邮</w:t>
      </w:r>
      <w:r>
        <w:rPr>
          <w:rFonts w:hint="eastAsia" w:ascii="宋体" w:hAnsi="宋体" w:eastAsia="仿宋_GB2312"/>
          <w:color w:val="auto"/>
          <w:sz w:val="32"/>
          <w:szCs w:val="32"/>
        </w:rPr>
        <w:t>证券有限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责任</w:t>
      </w:r>
      <w:r>
        <w:rPr>
          <w:rFonts w:hint="eastAsia" w:ascii="宋体" w:hAnsi="宋体" w:eastAsia="仿宋_GB2312"/>
          <w:color w:val="auto"/>
          <w:sz w:val="32"/>
          <w:szCs w:val="32"/>
        </w:rPr>
        <w:t>公司</w:t>
      </w:r>
    </w:p>
    <w:p>
      <w:pPr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中原</w:t>
      </w:r>
      <w:r>
        <w:rPr>
          <w:rFonts w:hint="eastAsia" w:ascii="宋体" w:hAnsi="宋体" w:eastAsia="仿宋_GB2312"/>
          <w:color w:val="auto"/>
          <w:sz w:val="32"/>
          <w:szCs w:val="32"/>
        </w:rPr>
        <w:t>证券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股份</w:t>
      </w:r>
      <w:r>
        <w:rPr>
          <w:rFonts w:hint="eastAsia" w:ascii="宋体" w:hAnsi="宋体" w:eastAsia="仿宋_GB2312"/>
          <w:color w:val="auto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川财</w:t>
      </w:r>
      <w:r>
        <w:rPr>
          <w:rFonts w:hint="eastAsia" w:ascii="宋体" w:hAnsi="宋体" w:eastAsia="仿宋_GB2312"/>
          <w:color w:val="auto"/>
          <w:sz w:val="32"/>
          <w:szCs w:val="32"/>
        </w:rPr>
        <w:t>证券有限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责任</w:t>
      </w:r>
      <w:r>
        <w:rPr>
          <w:rFonts w:hint="eastAsia" w:ascii="宋体" w:hAnsi="宋体" w:eastAsia="仿宋_GB2312"/>
          <w:color w:val="auto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/>
        <w:jc w:val="both"/>
        <w:textAlignment w:val="auto"/>
        <w:outlineLvl w:val="9"/>
        <w:rPr>
          <w:rFonts w:hint="eastAsia" w:ascii="宋体" w:hAnsi="宋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/>
        <w:jc w:val="both"/>
        <w:textAlignment w:val="auto"/>
        <w:outlineLvl w:val="9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2021—2023年吉林省政府债券柜台业务承办机构名单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中国工商银行股份有限公司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中国农业银行股份有限公司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中国建设银行股份有限公司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中国银行股份有限公司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交通银行股份有限公司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招商银行股份有限公司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上海浦东发展银行股份有限公司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宋体" w:hAnsi="宋体" w:eastAsia="仿宋_GB2312"/>
          <w:sz w:val="32"/>
          <w:szCs w:val="32"/>
          <w:highlight w:val="none"/>
        </w:rPr>
        <w:t>国光大银行股份有限公司</w:t>
      </w:r>
    </w:p>
    <w:p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2098" w:right="1588" w:bottom="2098" w:left="1588" w:header="851" w:footer="1588" w:gutter="0"/>
      <w:pgNumType w:start="1"/>
      <w:cols w:space="720" w:num="1"/>
      <w:docGrid w:type="line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1</w:t>
    </w:r>
    <w:r>
      <w:rPr>
        <w:sz w:val="28"/>
      </w:rPr>
      <w:fldChar w:fldCharType="end"/>
    </w:r>
    <w:r>
      <w:rPr>
        <w:rStyle w:val="5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D1ED"/>
    <w:multiLevelType w:val="singleLevel"/>
    <w:tmpl w:val="60E3D1E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B2C93"/>
    <w:rsid w:val="5D3B2C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1"/>
    <w:link w:val="3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2023-08-22T03:07:00Z</dcterms:created>
  <dc:creator>txq</dc:creator>
  <cp:lastModifiedBy>txq</cp:lastModifiedBy>
  <cp:lastPrinted>2023-08-22T03:08:41Z</cp:lastPrinted>
  <dcterms:modified xsi:type="dcterms:W3CDTF">2023-08-22T03:10:09Z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