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w:t>
      </w:r>
    </w:p>
    <w:p>
      <w:pPr>
        <w:jc w:val="both"/>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吉林省支持</w:t>
      </w:r>
      <w:r>
        <w:rPr>
          <w:rFonts w:hint="eastAsia" w:ascii="方正小标宋简体" w:hAnsi="方正小标宋简体" w:eastAsia="方正小标宋简体" w:cs="方正小标宋简体"/>
          <w:color w:val="auto"/>
          <w:sz w:val="44"/>
          <w:szCs w:val="44"/>
          <w:highlight w:val="none"/>
        </w:rPr>
        <w:t>非国有博物馆</w:t>
      </w:r>
      <w:r>
        <w:rPr>
          <w:rFonts w:hint="eastAsia" w:ascii="方正小标宋简体" w:hAnsi="方正小标宋简体" w:eastAsia="方正小标宋简体" w:cs="方正小标宋简体"/>
          <w:color w:val="auto"/>
          <w:sz w:val="44"/>
          <w:szCs w:val="44"/>
          <w:highlight w:val="none"/>
          <w:lang w:eastAsia="zh-CN"/>
        </w:rPr>
        <w:t>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奖补资金实施细则</w:t>
      </w: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w:t>
      </w:r>
      <w:r>
        <w:rPr>
          <w:rFonts w:hint="eastAsia" w:ascii="仿宋_GB2312" w:hAnsi="仿宋_GB2312" w:eastAsia="仿宋_GB2312" w:cs="仿宋_GB2312"/>
          <w:color w:val="auto"/>
          <w:sz w:val="32"/>
          <w:szCs w:val="32"/>
          <w:highlight w:val="none"/>
          <w:lang w:eastAsia="zh-CN"/>
        </w:rPr>
        <w:t>推动我省非国有博物馆加快发展，提升办馆质量和服务水平，更好的发挥其公共文化服务功能，根据</w:t>
      </w:r>
      <w:r>
        <w:rPr>
          <w:rFonts w:hint="eastAsia" w:ascii="仿宋_GB2312" w:hAnsi="仿宋_GB2312" w:eastAsia="仿宋_GB2312" w:cs="仿宋_GB2312"/>
          <w:color w:val="auto"/>
          <w:sz w:val="32"/>
          <w:szCs w:val="32"/>
          <w:highlight w:val="none"/>
          <w:lang w:val="en-US" w:eastAsia="zh-CN"/>
        </w:rPr>
        <w:t>《关于促进非国有博物馆发展的意见》（吉文发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285号）</w:t>
      </w:r>
      <w:r>
        <w:rPr>
          <w:rFonts w:hint="eastAsia" w:ascii="仿宋_GB2312" w:hAnsi="仿宋_GB2312" w:eastAsia="仿宋_GB2312" w:cs="仿宋_GB2312"/>
          <w:color w:val="auto"/>
          <w:sz w:val="32"/>
          <w:szCs w:val="32"/>
          <w:highlight w:val="none"/>
          <w:lang w:eastAsia="zh-CN"/>
        </w:rPr>
        <w:t>等法律法规</w:t>
      </w:r>
      <w:r>
        <w:rPr>
          <w:rFonts w:hint="eastAsia" w:ascii="仿宋_GB2312" w:hAnsi="仿宋_GB2312" w:eastAsia="仿宋_GB2312" w:cs="仿宋_GB2312"/>
          <w:color w:val="auto"/>
          <w:sz w:val="32"/>
          <w:szCs w:val="32"/>
          <w:highlight w:val="none"/>
          <w:lang w:val="en-US" w:eastAsia="zh-CN"/>
        </w:rPr>
        <w:t>要求和财政专项资金管理有关规定，</w:t>
      </w:r>
      <w:r>
        <w:rPr>
          <w:rFonts w:hint="eastAsia" w:ascii="仿宋_GB2312" w:hAnsi="仿宋_GB2312" w:eastAsia="仿宋_GB2312" w:cs="仿宋_GB2312"/>
          <w:color w:val="auto"/>
          <w:sz w:val="32"/>
          <w:szCs w:val="32"/>
          <w:highlight w:val="none"/>
        </w:rPr>
        <w:t>结合工作实际，制</w:t>
      </w:r>
      <w:r>
        <w:rPr>
          <w:rFonts w:hint="eastAsia" w:ascii="仿宋_GB2312" w:hAnsi="仿宋_GB2312" w:eastAsia="仿宋_GB2312" w:cs="仿宋_GB2312"/>
          <w:color w:val="auto"/>
          <w:sz w:val="32"/>
          <w:szCs w:val="32"/>
          <w:highlight w:val="none"/>
          <w:lang w:eastAsia="zh-CN"/>
        </w:rPr>
        <w:t>定本实施细则。</w:t>
      </w: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第二条</w:t>
      </w:r>
      <w:r>
        <w:rPr>
          <w:rFonts w:hint="eastAsia" w:ascii="仿宋_GB2312" w:hAnsi="仿宋_GB2312" w:eastAsia="仿宋_GB2312" w:cs="仿宋_GB2312"/>
          <w:color w:val="auto"/>
          <w:sz w:val="32"/>
          <w:szCs w:val="32"/>
          <w:highlight w:val="none"/>
          <w:lang w:val="en-US" w:eastAsia="zh-CN"/>
        </w:rPr>
        <w:t xml:space="preserve">  本实施细则所称非国有博物馆</w:t>
      </w:r>
      <w:r>
        <w:rPr>
          <w:rFonts w:hint="eastAsia" w:ascii="仿宋_GB2312" w:hAnsi="仿宋_GB2312" w:eastAsia="仿宋_GB2312" w:cs="仿宋_GB2312"/>
          <w:color w:val="auto"/>
          <w:sz w:val="32"/>
          <w:szCs w:val="32"/>
          <w:highlight w:val="none"/>
        </w:rPr>
        <w:t>是指以教育、研究和欣赏为目的，收藏、保护并向公众展示人类活动和自然环境的见证物，由社会力量利用或主要利用非国有文物、标本、资料等资产设立，</w:t>
      </w:r>
      <w:r>
        <w:rPr>
          <w:rFonts w:hint="eastAsia" w:ascii="仿宋_GB2312" w:hAnsi="仿宋_GB2312" w:eastAsia="仿宋_GB2312" w:cs="仿宋_GB2312"/>
          <w:color w:val="auto"/>
          <w:sz w:val="32"/>
          <w:szCs w:val="32"/>
          <w:highlight w:val="none"/>
          <w:lang w:val="en-US" w:eastAsia="zh-CN"/>
        </w:rPr>
        <w:t>在我省</w:t>
      </w:r>
      <w:r>
        <w:rPr>
          <w:rFonts w:hint="eastAsia" w:ascii="仿宋_GB2312" w:hAnsi="仿宋_GB2312" w:eastAsia="仿宋_GB2312" w:cs="仿宋_GB2312"/>
          <w:color w:val="auto"/>
          <w:sz w:val="32"/>
          <w:szCs w:val="32"/>
          <w:highlight w:val="none"/>
          <w:lang w:eastAsia="zh-CN"/>
        </w:rPr>
        <w:t>省级文物主管部门备案并</w:t>
      </w:r>
      <w:r>
        <w:rPr>
          <w:rFonts w:hint="eastAsia" w:ascii="仿宋_GB2312" w:hAnsi="仿宋_GB2312" w:eastAsia="仿宋_GB2312" w:cs="仿宋_GB2312"/>
          <w:color w:val="auto"/>
          <w:sz w:val="32"/>
          <w:szCs w:val="32"/>
          <w:highlight w:val="none"/>
        </w:rPr>
        <w:t>经管理机关依法登记</w:t>
      </w:r>
      <w:r>
        <w:rPr>
          <w:rFonts w:hint="eastAsia" w:ascii="仿宋_GB2312" w:hAnsi="仿宋_GB2312" w:eastAsia="仿宋_GB2312" w:cs="仿宋_GB2312"/>
          <w:color w:val="auto"/>
          <w:sz w:val="32"/>
          <w:szCs w:val="32"/>
          <w:highlight w:val="none"/>
          <w:lang w:eastAsia="zh-CN"/>
        </w:rPr>
        <w:t>，取得民办非企业单位登记证书的</w:t>
      </w:r>
      <w:r>
        <w:rPr>
          <w:rFonts w:hint="eastAsia" w:ascii="仿宋_GB2312" w:hAnsi="仿宋_GB2312" w:eastAsia="仿宋_GB2312" w:cs="仿宋_GB2312"/>
          <w:color w:val="auto"/>
          <w:sz w:val="32"/>
          <w:szCs w:val="32"/>
          <w:highlight w:val="none"/>
        </w:rPr>
        <w:t>非营利组织。</w:t>
      </w: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第三条</w:t>
      </w:r>
      <w:r>
        <w:rPr>
          <w:rFonts w:hint="eastAsia" w:ascii="仿宋_GB2312" w:hAnsi="仿宋_GB2312" w:eastAsia="仿宋_GB2312" w:cs="仿宋_GB2312"/>
          <w:color w:val="auto"/>
          <w:sz w:val="32"/>
          <w:szCs w:val="32"/>
          <w:highlight w:val="none"/>
          <w:lang w:val="en-US" w:eastAsia="zh-CN"/>
        </w:rPr>
        <w:t xml:space="preserve">  本</w:t>
      </w:r>
      <w:r>
        <w:rPr>
          <w:rFonts w:hint="eastAsia" w:ascii="仿宋_GB2312" w:hAnsi="仿宋_GB2312" w:eastAsia="仿宋_GB2312" w:cs="仿宋_GB2312"/>
          <w:color w:val="auto"/>
          <w:sz w:val="32"/>
          <w:szCs w:val="32"/>
          <w:highlight w:val="none"/>
          <w:lang w:eastAsia="zh-CN"/>
        </w:rPr>
        <w:t>实施细则</w:t>
      </w:r>
      <w:r>
        <w:rPr>
          <w:rFonts w:hint="eastAsia" w:ascii="仿宋_GB2312" w:hAnsi="仿宋_GB2312" w:eastAsia="仿宋_GB2312" w:cs="仿宋_GB2312"/>
          <w:color w:val="auto"/>
          <w:sz w:val="32"/>
          <w:szCs w:val="32"/>
          <w:highlight w:val="none"/>
          <w:lang w:val="en-US" w:eastAsia="zh-CN"/>
        </w:rPr>
        <w:t>所称支持非国有博物馆发展奖补资金（以下简称“奖补资金”）是由省级一般公共预算安排的，专门用于支持省内非国有博物馆参与开展公共文化服务活动的资金。</w:t>
      </w: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奖补资金管理、分配和使用应遵循以下原则：</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（一）突出重点，奖强扶优。</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（二）兼顾特色，注重普惠。</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（三）公开透明，科学规范。</w:t>
      </w:r>
    </w:p>
    <w:p>
      <w:pPr>
        <w:keepNext w:val="0"/>
        <w:keepLines w:val="0"/>
        <w:pageBreakBefore w:val="0"/>
        <w:kinsoku/>
        <w:wordWrap/>
        <w:overflowPunct/>
        <w:topLinePunct w:val="0"/>
        <w:autoSpaceDE w:val="0"/>
        <w:autoSpaceDN/>
        <w:bidi w:val="0"/>
        <w:adjustRightInd/>
        <w:snapToGrid/>
        <w:spacing w:line="540" w:lineRule="exact"/>
        <w:ind w:left="638" w:leftChars="304"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（四）强化引导作用，先实施后奖补。</w:t>
      </w:r>
    </w:p>
    <w:p>
      <w:pPr>
        <w:keepNext w:val="0"/>
        <w:keepLines w:val="0"/>
        <w:pageBreakBefore w:val="0"/>
        <w:kinsoku/>
        <w:wordWrap/>
        <w:overflowPunct/>
        <w:topLinePunct w:val="0"/>
        <w:autoSpaceDE w:val="0"/>
        <w:autoSpaceDN/>
        <w:bidi w:val="0"/>
        <w:adjustRightInd/>
        <w:snapToGrid/>
        <w:spacing w:line="540" w:lineRule="exact"/>
        <w:ind w:left="638" w:leftChars="304" w:firstLine="0" w:firstLineChars="0"/>
        <w:textAlignment w:val="auto"/>
        <w:rPr>
          <w:rStyle w:val="5"/>
          <w:rFonts w:hint="eastAsia" w:ascii="仿宋_GB2312" w:hAnsi="仿宋_GB2312" w:eastAsia="仿宋_GB2312" w:cs="仿宋_GB2312"/>
          <w:b/>
          <w:bCs w:val="0"/>
          <w:i w:val="0"/>
          <w:caps w:val="0"/>
          <w:color w:val="auto"/>
          <w:spacing w:val="0"/>
          <w:sz w:val="32"/>
          <w:szCs w:val="32"/>
          <w:highlight w:val="none"/>
        </w:rPr>
      </w:pPr>
      <w:r>
        <w:rPr>
          <w:rFonts w:hint="eastAsia" w:ascii="仿宋_GB2312" w:hAnsi="仿宋_GB2312" w:eastAsia="仿宋_GB2312" w:cs="仿宋_GB2312"/>
          <w:color w:val="auto"/>
          <w:sz w:val="32"/>
          <w:szCs w:val="32"/>
          <w:highlight w:val="none"/>
          <w:lang w:val="en-US" w:eastAsia="zh-CN"/>
        </w:rPr>
        <w:t>（五）突出公益事业，发挥藏品特点。</w:t>
      </w: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b/>
          <w:bCs w:val="0"/>
          <w:i w:val="0"/>
          <w:caps w:val="0"/>
          <w:color w:val="auto"/>
          <w:spacing w:val="0"/>
          <w:sz w:val="32"/>
          <w:szCs w:val="32"/>
          <w:highlight w:val="none"/>
          <w:lang w:eastAsia="zh-CN"/>
        </w:rPr>
      </w:pPr>
      <w:r>
        <w:rPr>
          <w:rStyle w:val="5"/>
          <w:rFonts w:hint="eastAsia" w:ascii="仿宋_GB2312" w:hAnsi="仿宋_GB2312" w:eastAsia="仿宋_GB2312" w:cs="仿宋_GB2312"/>
          <w:b/>
          <w:bCs w:val="0"/>
          <w:i w:val="0"/>
          <w:caps w:val="0"/>
          <w:color w:val="auto"/>
          <w:spacing w:val="0"/>
          <w:sz w:val="32"/>
          <w:szCs w:val="32"/>
          <w:highlight w:val="none"/>
        </w:rPr>
        <w:t>第</w:t>
      </w:r>
      <w:r>
        <w:rPr>
          <w:rStyle w:val="5"/>
          <w:rFonts w:hint="eastAsia" w:ascii="仿宋_GB2312" w:hAnsi="仿宋_GB2312" w:eastAsia="仿宋_GB2312" w:cs="仿宋_GB2312"/>
          <w:b/>
          <w:bCs w:val="0"/>
          <w:i w:val="0"/>
          <w:caps w:val="0"/>
          <w:color w:val="auto"/>
          <w:spacing w:val="0"/>
          <w:sz w:val="32"/>
          <w:szCs w:val="32"/>
          <w:highlight w:val="none"/>
          <w:lang w:eastAsia="zh-CN"/>
        </w:rPr>
        <w:t>五</w:t>
      </w:r>
      <w:r>
        <w:rPr>
          <w:rStyle w:val="5"/>
          <w:rFonts w:hint="eastAsia" w:ascii="仿宋_GB2312" w:hAnsi="仿宋_GB2312" w:eastAsia="仿宋_GB2312" w:cs="仿宋_GB2312"/>
          <w:b/>
          <w:bCs w:val="0"/>
          <w:i w:val="0"/>
          <w:caps w:val="0"/>
          <w:color w:val="auto"/>
          <w:spacing w:val="0"/>
          <w:sz w:val="32"/>
          <w:szCs w:val="32"/>
          <w:highlight w:val="none"/>
        </w:rPr>
        <w:t>条</w:t>
      </w:r>
      <w:r>
        <w:rPr>
          <w:rFonts w:hint="eastAsia" w:ascii="仿宋_GB2312" w:hAnsi="仿宋_GB2312" w:eastAsia="仿宋_GB2312" w:cs="仿宋_GB2312"/>
          <w:b/>
          <w:bCs w:val="0"/>
          <w:i w:val="0"/>
          <w:caps w:val="0"/>
          <w:color w:val="auto"/>
          <w:spacing w:val="0"/>
          <w:sz w:val="32"/>
          <w:szCs w:val="32"/>
          <w:highlight w:val="none"/>
        </w:rPr>
        <w:t>　</w:t>
      </w:r>
      <w:r>
        <w:rPr>
          <w:rFonts w:hint="eastAsia" w:ascii="仿宋_GB2312" w:hAnsi="仿宋_GB2312" w:eastAsia="仿宋_GB2312" w:cs="仿宋_GB2312"/>
          <w:b w:val="0"/>
          <w:bCs/>
          <w:i w:val="0"/>
          <w:caps w:val="0"/>
          <w:color w:val="auto"/>
          <w:spacing w:val="0"/>
          <w:sz w:val="32"/>
          <w:szCs w:val="32"/>
          <w:highlight w:val="none"/>
          <w:lang w:eastAsia="zh-CN"/>
        </w:rPr>
        <w:t>申报条件</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eastAsia="zh-CN"/>
        </w:rPr>
        <w:t>（一）藏品已按要求建立档案，并报文物主管部门备案。具有吉林地域特点、民族特色和填补门类空白。能够积极组织临时展览和社教活动。积极为吉林文博事业做出贡献。</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eastAsia="zh-CN"/>
        </w:rPr>
        <w:t>（二）</w:t>
      </w:r>
      <w:r>
        <w:rPr>
          <w:rFonts w:hint="eastAsia" w:ascii="仿宋_GB2312" w:hAnsi="仿宋_GB2312" w:eastAsia="仿宋_GB2312" w:cs="仿宋_GB2312"/>
          <w:i w:val="0"/>
          <w:caps w:val="0"/>
          <w:color w:val="auto"/>
          <w:spacing w:val="0"/>
          <w:sz w:val="32"/>
          <w:szCs w:val="32"/>
          <w:highlight w:val="none"/>
          <w:u w:val="none"/>
          <w:lang w:val="en-US" w:eastAsia="zh-CN"/>
        </w:rPr>
        <w:t>具有固定场所，博物馆展厅（室）面积原则上不低于400平方米；馆藏品数量为300件（套）以上。配备与办馆规模相适应的专业技术</w:t>
      </w:r>
      <w:r>
        <w:rPr>
          <w:rFonts w:hint="eastAsia" w:ascii="仿宋_GB2312" w:hAnsi="仿宋_GB2312" w:eastAsia="仿宋_GB2312" w:cs="仿宋_GB2312"/>
          <w:i w:val="0"/>
          <w:caps w:val="0"/>
          <w:color w:val="auto"/>
          <w:spacing w:val="0"/>
          <w:sz w:val="32"/>
          <w:szCs w:val="32"/>
          <w:highlight w:val="none"/>
          <w:lang w:val="en-US" w:eastAsia="zh-CN"/>
        </w:rPr>
        <w:t>人员，不应少于6人，大专及以上学历专职人员不少于60%，且专职人员60%以上；举办者利用自有资金能够维持博物馆正常运营。</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eastAsia="zh-CN"/>
        </w:rPr>
        <w:t>（三）</w:t>
      </w:r>
      <w:r>
        <w:rPr>
          <w:rFonts w:hint="eastAsia" w:ascii="仿宋_GB2312" w:hAnsi="仿宋_GB2312" w:eastAsia="仿宋_GB2312" w:cs="仿宋_GB2312"/>
          <w:i w:val="0"/>
          <w:caps w:val="0"/>
          <w:color w:val="auto"/>
          <w:spacing w:val="0"/>
          <w:sz w:val="32"/>
          <w:szCs w:val="32"/>
          <w:highlight w:val="none"/>
          <w:lang w:val="en-US" w:eastAsia="zh-CN"/>
        </w:rPr>
        <w:t>全年免费或低票价开放不低于240天。每月至少开展社会教育活动1次，全年不少于12次。年接待观众不低</w:t>
      </w:r>
      <w:r>
        <w:rPr>
          <w:rFonts w:hint="eastAsia" w:ascii="仿宋_GB2312" w:hAnsi="仿宋_GB2312" w:eastAsia="仿宋_GB2312" w:cs="仿宋_GB2312"/>
          <w:i w:val="0"/>
          <w:caps w:val="0"/>
          <w:color w:val="auto"/>
          <w:spacing w:val="0"/>
          <w:sz w:val="32"/>
          <w:szCs w:val="32"/>
          <w:highlight w:val="none"/>
          <w:u w:val="none"/>
          <w:lang w:val="en-US" w:eastAsia="zh-CN"/>
        </w:rPr>
        <w:t>于2万人次。</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eastAsia="zh-CN"/>
        </w:rPr>
        <w:t>（四）</w:t>
      </w:r>
      <w:r>
        <w:rPr>
          <w:rFonts w:hint="eastAsia" w:ascii="仿宋_GB2312" w:hAnsi="仿宋_GB2312" w:eastAsia="仿宋_GB2312" w:cs="仿宋_GB2312"/>
          <w:i w:val="0"/>
          <w:caps w:val="0"/>
          <w:color w:val="auto"/>
          <w:spacing w:val="0"/>
          <w:sz w:val="32"/>
          <w:szCs w:val="32"/>
          <w:highlight w:val="none"/>
          <w:lang w:val="en-US" w:eastAsia="zh-CN"/>
        </w:rPr>
        <w:t>年度绩效考评工作，获良好及以上档次。财务管理规范。近3年内，未受到违法违规行政处罚，</w:t>
      </w:r>
      <w:r>
        <w:rPr>
          <w:rFonts w:hint="eastAsia" w:ascii="仿宋_GB2312" w:hAnsi="仿宋_GB2312" w:eastAsia="仿宋_GB2312" w:cs="仿宋_GB2312"/>
          <w:color w:val="auto"/>
          <w:sz w:val="32"/>
          <w:szCs w:val="32"/>
          <w:highlight w:val="none"/>
          <w:lang w:val="en-US" w:eastAsia="zh-CN"/>
        </w:rPr>
        <w:t>未发生安全责任事故。</w:t>
      </w: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bCs/>
          <w:i w:val="0"/>
          <w:caps w:val="0"/>
          <w:color w:val="auto"/>
          <w:spacing w:val="0"/>
          <w:sz w:val="32"/>
          <w:szCs w:val="32"/>
          <w:highlight w:val="none"/>
          <w:lang w:val="en-US" w:eastAsia="zh-CN"/>
        </w:rPr>
        <w:t xml:space="preserve">第六条  </w:t>
      </w:r>
      <w:r>
        <w:rPr>
          <w:rFonts w:hint="eastAsia" w:ascii="仿宋_GB2312" w:hAnsi="仿宋_GB2312" w:eastAsia="仿宋_GB2312" w:cs="仿宋_GB2312"/>
          <w:b w:val="0"/>
          <w:bCs w:val="0"/>
          <w:i w:val="0"/>
          <w:caps w:val="0"/>
          <w:color w:val="auto"/>
          <w:spacing w:val="0"/>
          <w:sz w:val="32"/>
          <w:szCs w:val="32"/>
          <w:highlight w:val="none"/>
          <w:lang w:val="en-US" w:eastAsia="zh-CN"/>
        </w:rPr>
        <w:t>奖补范围和标准</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（一）举办公益性展览。</w:t>
      </w:r>
      <w:r>
        <w:rPr>
          <w:rFonts w:hint="eastAsia" w:ascii="仿宋_GB2312" w:hAnsi="仿宋_GB2312" w:eastAsia="仿宋_GB2312" w:cs="仿宋_GB2312"/>
          <w:b w:val="0"/>
          <w:bCs w:val="0"/>
          <w:i w:val="0"/>
          <w:iCs w:val="0"/>
          <w:caps w:val="0"/>
          <w:color w:val="auto"/>
          <w:spacing w:val="0"/>
          <w:sz w:val="32"/>
          <w:szCs w:val="32"/>
          <w:highlight w:val="none"/>
          <w:lang w:val="en-US" w:eastAsia="zh-CN"/>
        </w:rPr>
        <w:t>除基本陈列布展外，对上一年度在馆内推出新的公</w:t>
      </w:r>
      <w:r>
        <w:rPr>
          <w:rFonts w:hint="eastAsia" w:ascii="仿宋_GB2312" w:hAnsi="仿宋_GB2312" w:eastAsia="仿宋_GB2312" w:cs="仿宋_GB2312"/>
          <w:b w:val="0"/>
          <w:bCs w:val="0"/>
          <w:i w:val="0"/>
          <w:caps w:val="0"/>
          <w:color w:val="auto"/>
          <w:spacing w:val="0"/>
          <w:sz w:val="32"/>
          <w:szCs w:val="32"/>
          <w:highlight w:val="none"/>
          <w:lang w:val="en-US" w:eastAsia="zh-CN"/>
        </w:rPr>
        <w:t>益性展览给予奖补。奖补标准：根据每次展览面积大小、展线长度、展品数量和展览时长等因素，分为大型、中型和小型展览，对应补助额度最高不超过20万元、10万元和2万元。单馆获得此项补助最高不超过80万元。</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1.大型展览：须至少满足展览面积500平方米以上、展线长度150米以上、展览时间3个月以上、参展品300件/套以上中三个条件。</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2.中型展览：须至少满足展览面积200-500平方米、展线长度50-150米、展览时间30天以上、参展品100-300件/套中三个条件。</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3.小型展览：须至少满足展览面积100-200平米以内、展线长度50米以下、展览时间15-30天、参展品100件/套中的三个条件。</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（二）开展社教活动。对</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利用馆藏品资源积极深入当地社区、学校、部队和机关企事业单位等场所，</w:t>
      </w:r>
      <w:r>
        <w:rPr>
          <w:rFonts w:hint="eastAsia" w:ascii="仿宋_GB2312" w:hAnsi="仿宋_GB2312" w:eastAsia="仿宋_GB2312" w:cs="仿宋_GB2312"/>
          <w:i w:val="0"/>
          <w:caps w:val="0"/>
          <w:color w:val="auto"/>
          <w:spacing w:val="0"/>
          <w:sz w:val="32"/>
          <w:szCs w:val="32"/>
          <w:highlight w:val="none"/>
          <w:lang w:val="en-US" w:eastAsia="zh-CN"/>
        </w:rPr>
        <w:t>开展社会教育活动的给予奖补。奖补标准：全年开展社教活动达12次的，每次补助1000元，奖补1.2万元；在此基础上，每增加1次社教活动，再补助1000元。单馆获得此项补助最多不超过3万元。</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三）免费开放补助。对面向社会公众，实施免费开放的给予奖补。奖补标准：对实际到馆登记参观人数达到2万人的，补助2万元；2万人以上的，参观人数每增加500人次，再补助1000元。单馆获得此项补助最多不超过5万。</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default"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以上各项补助可兼得，单馆年度奖补额度原则上不超过上年度非国有博物馆运维经费的总额度。</w:t>
      </w: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第七条  </w:t>
      </w:r>
      <w:r>
        <w:rPr>
          <w:rFonts w:hint="eastAsia" w:ascii="仿宋_GB2312" w:hAnsi="仿宋_GB2312" w:eastAsia="仿宋_GB2312" w:cs="仿宋_GB2312"/>
          <w:b w:val="0"/>
          <w:bCs w:val="0"/>
          <w:i w:val="0"/>
          <w:caps w:val="0"/>
          <w:color w:val="auto"/>
          <w:spacing w:val="0"/>
          <w:sz w:val="32"/>
          <w:szCs w:val="32"/>
          <w:highlight w:val="none"/>
          <w:lang w:val="en-US" w:eastAsia="zh-CN"/>
        </w:rPr>
        <w:t>申报程序</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（一）每年省财政厅和省文旅厅印发申报指南，确定支持重点、申报范围、申报条件、申报材料和申报时间等。</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非国有博物馆按属地原则，向所在地文物行政主管部门提交申报材料。属地文物行政主管部门联合同级财政部门，按职责分工审核相关申报材料，以财政部门文号联合行文出具资金申请报告，报送省财政厅和省文旅厅。</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（三）省文旅厅根据有关规定和要求，对申报材料进行核对评审后，提出资金分配方案，联合省财政厅研究确定后下达资金。</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b/>
          <w:bCs/>
          <w:i w:val="0"/>
          <w:caps w:val="0"/>
          <w:color w:val="auto"/>
          <w:spacing w:val="0"/>
          <w:sz w:val="32"/>
          <w:szCs w:val="32"/>
          <w:highlight w:val="none"/>
          <w:lang w:val="en-US" w:eastAsia="zh-CN"/>
        </w:rPr>
        <w:t xml:space="preserve">第八条  </w:t>
      </w:r>
      <w:r>
        <w:rPr>
          <w:rFonts w:hint="eastAsia" w:ascii="仿宋_GB2312" w:hAnsi="仿宋_GB2312" w:eastAsia="仿宋_GB2312" w:cs="仿宋_GB2312"/>
          <w:b w:val="0"/>
          <w:bCs w:val="0"/>
          <w:i w:val="0"/>
          <w:caps w:val="0"/>
          <w:color w:val="auto"/>
          <w:spacing w:val="0"/>
          <w:sz w:val="32"/>
          <w:szCs w:val="32"/>
          <w:highlight w:val="none"/>
          <w:lang w:val="en-US" w:eastAsia="zh-CN"/>
        </w:rPr>
        <w:t>申报材料包括：</w:t>
      </w:r>
    </w:p>
    <w:p>
      <w:pPr>
        <w:keepNext w:val="0"/>
        <w:keepLines w:val="0"/>
        <w:pageBreakBefore w:val="0"/>
        <w:kinsoku/>
        <w:wordWrap/>
        <w:overflowPunct/>
        <w:topLinePunct w:val="0"/>
        <w:autoSpaceDE w:val="0"/>
        <w:autoSpaceDN/>
        <w:bidi w:val="0"/>
        <w:adjustRightInd/>
        <w:snapToGrid/>
        <w:spacing w:line="540" w:lineRule="exact"/>
        <w:ind w:firstLine="642"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（一）资金申请报告。内容包括全面阐述上年度非国有博物馆场馆开放运行、开展公共文化服务工作、完善设备设施、整体资金投入、财政补助资金使用等实际情况和当年工作计划等。</w:t>
      </w:r>
    </w:p>
    <w:p>
      <w:pPr>
        <w:keepNext w:val="0"/>
        <w:keepLines w:val="0"/>
        <w:pageBreakBefore w:val="0"/>
        <w:kinsoku/>
        <w:wordWrap/>
        <w:overflowPunct/>
        <w:topLinePunct w:val="0"/>
        <w:autoSpaceDE w:val="0"/>
        <w:autoSpaceDN/>
        <w:bidi w:val="0"/>
        <w:adjustRightInd/>
        <w:snapToGrid/>
        <w:spacing w:line="540" w:lineRule="exact"/>
        <w:ind w:firstLine="642"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（二）上年度开展公共文化服务工作自评报告、绩效目标完成情况。</w:t>
      </w:r>
    </w:p>
    <w:p>
      <w:pPr>
        <w:keepNext w:val="0"/>
        <w:keepLines w:val="0"/>
        <w:pageBreakBefore w:val="0"/>
        <w:kinsoku/>
        <w:wordWrap/>
        <w:overflowPunct/>
        <w:topLinePunct w:val="0"/>
        <w:autoSpaceDE w:val="0"/>
        <w:autoSpaceDN/>
        <w:bidi w:val="0"/>
        <w:adjustRightInd/>
        <w:snapToGrid/>
        <w:spacing w:line="540" w:lineRule="exact"/>
        <w:ind w:firstLine="642"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（三）本年度公共文化服务工作计划及项目预算和绩效目标。</w:t>
      </w:r>
    </w:p>
    <w:p>
      <w:pPr>
        <w:keepNext w:val="0"/>
        <w:keepLines w:val="0"/>
        <w:pageBreakBefore w:val="0"/>
        <w:kinsoku/>
        <w:wordWrap/>
        <w:overflowPunct/>
        <w:topLinePunct w:val="0"/>
        <w:autoSpaceDE w:val="0"/>
        <w:autoSpaceDN/>
        <w:bidi w:val="0"/>
        <w:adjustRightInd/>
        <w:snapToGrid/>
        <w:spacing w:line="540" w:lineRule="exact"/>
        <w:ind w:firstLine="642"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（四）基本保障条件相关证明材料。</w:t>
      </w:r>
    </w:p>
    <w:p>
      <w:pPr>
        <w:keepNext w:val="0"/>
        <w:keepLines w:val="0"/>
        <w:pageBreakBefore w:val="0"/>
        <w:kinsoku/>
        <w:wordWrap/>
        <w:overflowPunct/>
        <w:topLinePunct w:val="0"/>
        <w:autoSpaceDE w:val="0"/>
        <w:autoSpaceDN/>
        <w:bidi w:val="0"/>
        <w:adjustRightInd/>
        <w:snapToGrid/>
        <w:spacing w:line="540" w:lineRule="exact"/>
        <w:ind w:firstLine="642"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（五）免费或低收费开放时间及开展公共文化服务的参观人次、经费支出等相关证明材料。</w:t>
      </w:r>
    </w:p>
    <w:p>
      <w:pPr>
        <w:keepNext w:val="0"/>
        <w:keepLines w:val="0"/>
        <w:pageBreakBefore w:val="0"/>
        <w:kinsoku/>
        <w:wordWrap/>
        <w:overflowPunct/>
        <w:topLinePunct w:val="0"/>
        <w:autoSpaceDE w:val="0"/>
        <w:autoSpaceDN/>
        <w:bidi w:val="0"/>
        <w:adjustRightInd/>
        <w:snapToGrid/>
        <w:spacing w:line="540" w:lineRule="exact"/>
        <w:ind w:firstLine="642"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（六）其他有关材料。</w:t>
      </w:r>
    </w:p>
    <w:p>
      <w:pPr>
        <w:keepNext w:val="0"/>
        <w:keepLines w:val="0"/>
        <w:pageBreakBefore w:val="0"/>
        <w:kinsoku/>
        <w:wordWrap/>
        <w:overflowPunct/>
        <w:topLinePunct w:val="0"/>
        <w:autoSpaceDE w:val="0"/>
        <w:autoSpaceDN/>
        <w:bidi w:val="0"/>
        <w:adjustRightInd/>
        <w:snapToGrid/>
        <w:spacing w:line="540" w:lineRule="exact"/>
        <w:ind w:firstLine="642"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b/>
          <w:bCs/>
          <w:i w:val="0"/>
          <w:caps w:val="0"/>
          <w:color w:val="auto"/>
          <w:spacing w:val="0"/>
          <w:sz w:val="32"/>
          <w:szCs w:val="32"/>
          <w:highlight w:val="none"/>
          <w:lang w:val="en-US" w:eastAsia="zh-CN"/>
        </w:rPr>
        <w:t xml:space="preserve">第九条 </w:t>
      </w:r>
      <w:r>
        <w:rPr>
          <w:rFonts w:hint="eastAsia" w:ascii="仿宋_GB2312" w:hAnsi="仿宋_GB2312" w:eastAsia="仿宋_GB2312" w:cs="仿宋_GB2312"/>
          <w:i w:val="0"/>
          <w:caps w:val="0"/>
          <w:color w:val="auto"/>
          <w:spacing w:val="0"/>
          <w:sz w:val="32"/>
          <w:szCs w:val="32"/>
          <w:highlight w:val="none"/>
          <w:lang w:val="en-US" w:eastAsia="zh-CN"/>
        </w:rPr>
        <w:t xml:space="preserve"> 资金使用范围：</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（一）陈列布展。非国有博物馆完善基本展陈和举办的公益性主题展览、临时展览、</w:t>
      </w:r>
      <w:r>
        <w:rPr>
          <w:rFonts w:hint="eastAsia" w:ascii="仿宋_GB2312" w:hAnsi="仿宋_GB2312" w:eastAsia="仿宋_GB2312" w:cs="仿宋_GB2312"/>
          <w:i w:val="0"/>
          <w:caps w:val="0"/>
          <w:color w:val="auto"/>
          <w:spacing w:val="0"/>
          <w:sz w:val="32"/>
          <w:szCs w:val="32"/>
          <w:highlight w:val="none"/>
          <w:u w:val="none"/>
          <w:lang w:val="en-US" w:eastAsia="zh-CN"/>
        </w:rPr>
        <w:t>省内巡展等。主要包括方案设计费、材料费、设备费、劳务费、施工费、监理费、专家咨询费等。</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（二）公共文化服务项目。非国有博物馆博物馆举办组织开展的面向中小学和特定人群的公共文化服务项目和社会教育活动等</w:t>
      </w:r>
      <w:r>
        <w:rPr>
          <w:rFonts w:hint="eastAsia" w:ascii="仿宋_GB2312" w:hAnsi="仿宋_GB2312" w:eastAsia="仿宋_GB2312" w:cs="仿宋_GB2312"/>
          <w:i w:val="0"/>
          <w:caps w:val="0"/>
          <w:color w:val="auto"/>
          <w:spacing w:val="0"/>
          <w:sz w:val="32"/>
          <w:szCs w:val="32"/>
          <w:highlight w:val="none"/>
          <w:u w:val="none"/>
          <w:lang w:val="en-US" w:eastAsia="zh-CN"/>
        </w:rPr>
        <w:t>。主要包括方案设计、材料费、教材费和专家咨询费等。</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（三）安防消防及展陈专用设备设施更新维护和馆藏国家三级及以上文物保护等。主要</w:t>
      </w:r>
      <w:r>
        <w:rPr>
          <w:rFonts w:hint="eastAsia" w:ascii="仿宋_GB2312" w:hAnsi="仿宋_GB2312" w:eastAsia="仿宋_GB2312" w:cs="仿宋_GB2312"/>
          <w:i w:val="0"/>
          <w:caps w:val="0"/>
          <w:color w:val="auto"/>
          <w:spacing w:val="0"/>
          <w:sz w:val="32"/>
          <w:szCs w:val="32"/>
          <w:highlight w:val="none"/>
          <w:u w:val="none"/>
          <w:lang w:val="en-US" w:eastAsia="zh-CN"/>
        </w:rPr>
        <w:t>包括规划及方案设计费、风险评估费、材料费、设备费、劳务费、施工费、监理费。</w:t>
      </w:r>
    </w:p>
    <w:p>
      <w:pPr>
        <w:keepNext w:val="0"/>
        <w:keepLines w:val="0"/>
        <w:pageBreakBefore w:val="0"/>
        <w:kinsoku/>
        <w:wordWrap/>
        <w:overflowPunct/>
        <w:topLinePunct w:val="0"/>
        <w:autoSpaceDE w:val="0"/>
        <w:autoSpaceDN/>
        <w:bidi w:val="0"/>
        <w:adjustRightInd/>
        <w:snapToGrid/>
        <w:spacing w:line="540" w:lineRule="exact"/>
        <w:ind w:firstLine="642"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第十条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i w:val="0"/>
          <w:caps w:val="0"/>
          <w:color w:val="auto"/>
          <w:spacing w:val="0"/>
          <w:sz w:val="32"/>
          <w:szCs w:val="32"/>
          <w:highlight w:val="none"/>
          <w:lang w:val="en-US" w:eastAsia="zh-CN"/>
        </w:rPr>
        <w:t>资金不得用于以下方面支出：</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val="en-US" w:eastAsia="zh-CN"/>
        </w:rPr>
        <w:t>（一）</w:t>
      </w:r>
      <w:r>
        <w:rPr>
          <w:rFonts w:hint="eastAsia" w:ascii="仿宋_GB2312" w:hAnsi="仿宋_GB2312" w:eastAsia="仿宋_GB2312" w:cs="仿宋_GB2312"/>
          <w:color w:val="auto"/>
          <w:sz w:val="32"/>
          <w:szCs w:val="32"/>
          <w:highlight w:val="none"/>
        </w:rPr>
        <w:t>征地拆迁、基本建设、应急抢救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文物征集、超出</w:t>
      </w:r>
      <w:r>
        <w:rPr>
          <w:rFonts w:hint="eastAsia" w:ascii="仿宋_GB2312" w:hAnsi="仿宋_GB2312" w:eastAsia="仿宋_GB2312" w:cs="仿宋_GB2312"/>
          <w:color w:val="auto"/>
          <w:sz w:val="32"/>
          <w:szCs w:val="32"/>
          <w:highlight w:val="none"/>
          <w:lang w:eastAsia="zh-CN"/>
        </w:rPr>
        <w:t>展陈</w:t>
      </w:r>
      <w:r>
        <w:rPr>
          <w:rFonts w:hint="eastAsia" w:ascii="仿宋_GB2312" w:hAnsi="仿宋_GB2312" w:eastAsia="仿宋_GB2312" w:cs="仿宋_GB2312"/>
          <w:color w:val="auto"/>
          <w:sz w:val="32"/>
          <w:szCs w:val="32"/>
          <w:highlight w:val="none"/>
        </w:rPr>
        <w:t>方案内容的维修</w:t>
      </w:r>
      <w:r>
        <w:rPr>
          <w:rFonts w:hint="eastAsia" w:ascii="仿宋_GB2312" w:hAnsi="仿宋_GB2312" w:eastAsia="仿宋_GB2312" w:cs="仿宋_GB2312"/>
          <w:color w:val="auto"/>
          <w:sz w:val="32"/>
          <w:szCs w:val="32"/>
          <w:highlight w:val="none"/>
          <w:lang w:eastAsia="zh-CN"/>
        </w:rPr>
        <w:t>及环境整治支出。</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（二）罚款、捐款、赞助、投资和偿还债务等支出。</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（三）日常管理工作和人员工资福利性支出。</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（四）国家和省规定的禁止</w:t>
      </w:r>
      <w:bookmarkStart w:id="0" w:name="_GoBack"/>
      <w:bookmarkEnd w:id="0"/>
      <w:r>
        <w:rPr>
          <w:rFonts w:hint="eastAsia" w:ascii="仿宋_GB2312" w:hAnsi="仿宋_GB2312" w:eastAsia="仿宋_GB2312" w:cs="仿宋_GB2312"/>
          <w:color w:val="auto"/>
          <w:sz w:val="32"/>
          <w:szCs w:val="32"/>
          <w:highlight w:val="none"/>
          <w:lang w:eastAsia="zh-CN"/>
        </w:rPr>
        <w:t>列支的其他支出。</w:t>
      </w:r>
    </w:p>
    <w:p>
      <w:pPr>
        <w:keepNext w:val="0"/>
        <w:keepLines w:val="0"/>
        <w:pageBreakBefore w:val="0"/>
        <w:kinsoku/>
        <w:wordWrap/>
        <w:overflowPunct/>
        <w:topLinePunct w:val="0"/>
        <w:autoSpaceDE w:val="0"/>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第十一条</w:t>
      </w:r>
      <w:r>
        <w:rPr>
          <w:rFonts w:hint="eastAsia" w:ascii="仿宋_GB2312" w:hAnsi="仿宋_GB2312" w:eastAsia="仿宋_GB2312" w:cs="仿宋_GB2312"/>
          <w:color w:val="auto"/>
          <w:sz w:val="32"/>
          <w:szCs w:val="32"/>
          <w:highlight w:val="none"/>
          <w:lang w:val="en-US" w:eastAsia="zh-CN"/>
        </w:rPr>
        <w:t xml:space="preserve">  项目实施单位应当严格按照专项资金使用范围安排使用资金。要建立健全内部监督管理和约束机制，对奖补资金单独核算，建立奖补资金使用明细账目，提高资金管理和使用的安全性、规范性和有效性。市县文物行政主管部门和同级财政部门要做好奖补资金日常监管工作，发现问题及时处理，并及时向省财政厅和省文旅厅报备。</w:t>
      </w: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val="en-US" w:eastAsia="zh-CN"/>
        </w:rPr>
        <w:t>省文旅厅负责审核非国有博物馆项目绩效，在此基础上，制定奖补资金年度整体绩效目标，及时分解并通知相关市县及非国有博物馆。负责对奖补资金进行监督管理和跟踪问效，组织开展项目绩效评价和奖补资金整体评价工作，按要求向省财政厅提报年度整体绩效自评报告。省财政厅根据工作需要，开展财政绩效评价工作。相关绩效评价结果等将作为预算安排和资金分配的依据。</w:t>
      </w: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本办法由省</w:t>
      </w:r>
      <w:r>
        <w:rPr>
          <w:rFonts w:hint="eastAsia" w:ascii="仿宋_GB2312" w:hAnsi="仿宋_GB2312" w:eastAsia="仿宋_GB2312" w:cs="仿宋_GB2312"/>
          <w:color w:val="auto"/>
          <w:sz w:val="32"/>
          <w:szCs w:val="32"/>
          <w:highlight w:val="none"/>
          <w:lang w:eastAsia="zh-CN"/>
        </w:rPr>
        <w:t>财政厅、省</w:t>
      </w:r>
      <w:r>
        <w:rPr>
          <w:rFonts w:hint="eastAsia" w:ascii="仿宋_GB2312" w:hAnsi="仿宋_GB2312" w:eastAsia="仿宋_GB2312" w:cs="仿宋_GB2312"/>
          <w:color w:val="auto"/>
          <w:sz w:val="32"/>
          <w:szCs w:val="32"/>
          <w:highlight w:val="none"/>
        </w:rPr>
        <w:t>文</w:t>
      </w:r>
      <w:r>
        <w:rPr>
          <w:rFonts w:hint="eastAsia" w:ascii="仿宋_GB2312" w:hAnsi="仿宋_GB2312" w:eastAsia="仿宋_GB2312" w:cs="仿宋_GB2312"/>
          <w:color w:val="auto"/>
          <w:sz w:val="32"/>
          <w:szCs w:val="32"/>
          <w:highlight w:val="none"/>
          <w:lang w:eastAsia="zh-CN"/>
        </w:rPr>
        <w:t>旅</w:t>
      </w:r>
      <w:r>
        <w:rPr>
          <w:rFonts w:hint="eastAsia" w:ascii="仿宋_GB2312" w:hAnsi="仿宋_GB2312" w:eastAsia="仿宋_GB2312" w:cs="仿宋_GB2312"/>
          <w:color w:val="auto"/>
          <w:sz w:val="32"/>
          <w:szCs w:val="32"/>
          <w:highlight w:val="none"/>
        </w:rPr>
        <w:t>厅负责解释。</w:t>
      </w:r>
    </w:p>
    <w:p>
      <w:pPr>
        <w:keepNext w:val="0"/>
        <w:keepLines w:val="0"/>
        <w:pageBreakBefore w:val="0"/>
        <w:kinsoku/>
        <w:wordWrap/>
        <w:overflowPunct/>
        <w:topLinePunct w:val="0"/>
        <w:autoSpaceDE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发布之日起执行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《吉林省支持非国有博物馆发展奖补资金实施细则》（吉财教〔2019〕355号）</w:t>
      </w:r>
      <w:r>
        <w:rPr>
          <w:rFonts w:hint="eastAsia" w:ascii="仿宋_GB2312" w:hAnsi="仿宋_GB2312" w:eastAsia="仿宋_GB2312" w:cs="仿宋_GB2312"/>
          <w:color w:val="auto"/>
          <w:sz w:val="32"/>
          <w:szCs w:val="32"/>
          <w:highlight w:val="none"/>
          <w:shd w:val="clear" w:color="auto" w:fill="FFFFFF"/>
        </w:rPr>
        <w:t>同时废止。</w:t>
      </w:r>
    </w:p>
    <w:p>
      <w:pPr>
        <w:keepNext w:val="0"/>
        <w:keepLines w:val="0"/>
        <w:pageBreakBefore w:val="0"/>
        <w:widowControl/>
        <w:kinsoku/>
        <w:wordWrap/>
        <w:overflowPunct/>
        <w:topLinePunct w:val="0"/>
        <w:autoSpaceDN/>
        <w:bidi w:val="0"/>
        <w:adjustRightInd/>
        <w:snapToGrid/>
        <w:spacing w:line="540" w:lineRule="exact"/>
        <w:jc w:val="left"/>
        <w:textAlignment w:val="auto"/>
        <w:rPr>
          <w:rFonts w:hint="eastAsia" w:ascii="仿宋_GB2312" w:hAnsi="仿宋_GB2312" w:eastAsia="仿宋_GB2312" w:cs="仿宋_GB2312"/>
          <w:color w:val="auto"/>
          <w:sz w:val="32"/>
          <w:szCs w:val="32"/>
          <w:highlight w:val="none"/>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D25CE"/>
    <w:rsid w:val="00062036"/>
    <w:rsid w:val="001C5A3B"/>
    <w:rsid w:val="002D75BB"/>
    <w:rsid w:val="00E93DA9"/>
    <w:rsid w:val="00EF3AE7"/>
    <w:rsid w:val="01990A55"/>
    <w:rsid w:val="01F261C9"/>
    <w:rsid w:val="01FA101E"/>
    <w:rsid w:val="025E7D77"/>
    <w:rsid w:val="02BC4639"/>
    <w:rsid w:val="02D073D8"/>
    <w:rsid w:val="034F368C"/>
    <w:rsid w:val="046E11BA"/>
    <w:rsid w:val="04A16D0B"/>
    <w:rsid w:val="058233F3"/>
    <w:rsid w:val="0639341C"/>
    <w:rsid w:val="06F12D23"/>
    <w:rsid w:val="07790760"/>
    <w:rsid w:val="07834906"/>
    <w:rsid w:val="07B214BE"/>
    <w:rsid w:val="08180EE9"/>
    <w:rsid w:val="08242812"/>
    <w:rsid w:val="08A631ED"/>
    <w:rsid w:val="09906375"/>
    <w:rsid w:val="09D16488"/>
    <w:rsid w:val="09DB7F9E"/>
    <w:rsid w:val="0AA73886"/>
    <w:rsid w:val="0AAD015D"/>
    <w:rsid w:val="0B153DF7"/>
    <w:rsid w:val="0B7244BD"/>
    <w:rsid w:val="0C033FF5"/>
    <w:rsid w:val="0C3D7942"/>
    <w:rsid w:val="0C482A1D"/>
    <w:rsid w:val="0C7150A5"/>
    <w:rsid w:val="0CB22FE6"/>
    <w:rsid w:val="0D447307"/>
    <w:rsid w:val="0DAB4A09"/>
    <w:rsid w:val="0DCF3AFC"/>
    <w:rsid w:val="0F0A0643"/>
    <w:rsid w:val="0F1B2862"/>
    <w:rsid w:val="11C54312"/>
    <w:rsid w:val="11EB741B"/>
    <w:rsid w:val="132A7716"/>
    <w:rsid w:val="137E232F"/>
    <w:rsid w:val="13E8784D"/>
    <w:rsid w:val="13F10778"/>
    <w:rsid w:val="14064261"/>
    <w:rsid w:val="14537D9F"/>
    <w:rsid w:val="145A5E09"/>
    <w:rsid w:val="165F0559"/>
    <w:rsid w:val="172920DC"/>
    <w:rsid w:val="1A3D1177"/>
    <w:rsid w:val="1B320C67"/>
    <w:rsid w:val="1B383D34"/>
    <w:rsid w:val="1B6603B7"/>
    <w:rsid w:val="1B9F4DE1"/>
    <w:rsid w:val="1BD90E15"/>
    <w:rsid w:val="1C7D77E8"/>
    <w:rsid w:val="1C853396"/>
    <w:rsid w:val="1CB24499"/>
    <w:rsid w:val="1CE430D3"/>
    <w:rsid w:val="1E090CCC"/>
    <w:rsid w:val="1E195356"/>
    <w:rsid w:val="1E211E55"/>
    <w:rsid w:val="1E29229C"/>
    <w:rsid w:val="1E337836"/>
    <w:rsid w:val="1E85202F"/>
    <w:rsid w:val="1EAD566E"/>
    <w:rsid w:val="1ED01768"/>
    <w:rsid w:val="1F530D2F"/>
    <w:rsid w:val="1F6416A0"/>
    <w:rsid w:val="1FD47541"/>
    <w:rsid w:val="207526D0"/>
    <w:rsid w:val="21BC3D3E"/>
    <w:rsid w:val="21FA68CF"/>
    <w:rsid w:val="220D0FE8"/>
    <w:rsid w:val="22AD6AB7"/>
    <w:rsid w:val="22FC3F84"/>
    <w:rsid w:val="234A7B51"/>
    <w:rsid w:val="238B7DEB"/>
    <w:rsid w:val="23A26610"/>
    <w:rsid w:val="23B322ED"/>
    <w:rsid w:val="262713D7"/>
    <w:rsid w:val="267140B7"/>
    <w:rsid w:val="27636202"/>
    <w:rsid w:val="2770E9C5"/>
    <w:rsid w:val="287F323C"/>
    <w:rsid w:val="29657F00"/>
    <w:rsid w:val="2A4512F8"/>
    <w:rsid w:val="2AA429B3"/>
    <w:rsid w:val="2AB63109"/>
    <w:rsid w:val="2B3E63DF"/>
    <w:rsid w:val="2BB85B0D"/>
    <w:rsid w:val="2C224689"/>
    <w:rsid w:val="2C3E195E"/>
    <w:rsid w:val="2DB9421E"/>
    <w:rsid w:val="2DDD0666"/>
    <w:rsid w:val="2E4C168F"/>
    <w:rsid w:val="2EC87A7E"/>
    <w:rsid w:val="2EC94490"/>
    <w:rsid w:val="2F0D1482"/>
    <w:rsid w:val="2FA059E5"/>
    <w:rsid w:val="2FC73521"/>
    <w:rsid w:val="30031D23"/>
    <w:rsid w:val="30A075C7"/>
    <w:rsid w:val="30E35446"/>
    <w:rsid w:val="31091AB9"/>
    <w:rsid w:val="31AD0587"/>
    <w:rsid w:val="31B57A61"/>
    <w:rsid w:val="32496085"/>
    <w:rsid w:val="32BD6FFF"/>
    <w:rsid w:val="32CE513D"/>
    <w:rsid w:val="32DD25CE"/>
    <w:rsid w:val="33064502"/>
    <w:rsid w:val="33897DAF"/>
    <w:rsid w:val="33F1457C"/>
    <w:rsid w:val="34BF67D8"/>
    <w:rsid w:val="358C3EAD"/>
    <w:rsid w:val="365C1350"/>
    <w:rsid w:val="380A1955"/>
    <w:rsid w:val="386F5D73"/>
    <w:rsid w:val="39436B49"/>
    <w:rsid w:val="3980609F"/>
    <w:rsid w:val="39E556BB"/>
    <w:rsid w:val="39FC21BB"/>
    <w:rsid w:val="3B11248F"/>
    <w:rsid w:val="3B223CDB"/>
    <w:rsid w:val="3C19370A"/>
    <w:rsid w:val="3CB66EF6"/>
    <w:rsid w:val="3CF73F4A"/>
    <w:rsid w:val="3DDF940E"/>
    <w:rsid w:val="3DE954FB"/>
    <w:rsid w:val="3E2774F8"/>
    <w:rsid w:val="3E5E12E8"/>
    <w:rsid w:val="3EA5400B"/>
    <w:rsid w:val="3EEE6AF9"/>
    <w:rsid w:val="3F055FB6"/>
    <w:rsid w:val="3F497D3F"/>
    <w:rsid w:val="3FA66512"/>
    <w:rsid w:val="3FF5073A"/>
    <w:rsid w:val="40195BCE"/>
    <w:rsid w:val="403D12B4"/>
    <w:rsid w:val="40617818"/>
    <w:rsid w:val="40F9630B"/>
    <w:rsid w:val="41061D7A"/>
    <w:rsid w:val="412B2842"/>
    <w:rsid w:val="418A6B93"/>
    <w:rsid w:val="41D62AA4"/>
    <w:rsid w:val="42F81F96"/>
    <w:rsid w:val="433C6EC2"/>
    <w:rsid w:val="43B9736F"/>
    <w:rsid w:val="43ED7267"/>
    <w:rsid w:val="43F23B4A"/>
    <w:rsid w:val="44114EDE"/>
    <w:rsid w:val="457572C5"/>
    <w:rsid w:val="45EA380F"/>
    <w:rsid w:val="46645DA2"/>
    <w:rsid w:val="46F57767"/>
    <w:rsid w:val="47276971"/>
    <w:rsid w:val="472E2DF9"/>
    <w:rsid w:val="473E1780"/>
    <w:rsid w:val="47474A1C"/>
    <w:rsid w:val="47AF063C"/>
    <w:rsid w:val="47B57D26"/>
    <w:rsid w:val="48ED1E51"/>
    <w:rsid w:val="49CC126B"/>
    <w:rsid w:val="4C18787D"/>
    <w:rsid w:val="4CC0351C"/>
    <w:rsid w:val="50183CA2"/>
    <w:rsid w:val="503B1837"/>
    <w:rsid w:val="5181715B"/>
    <w:rsid w:val="51FD8F99"/>
    <w:rsid w:val="5234135F"/>
    <w:rsid w:val="52632C80"/>
    <w:rsid w:val="53412DAB"/>
    <w:rsid w:val="539217D5"/>
    <w:rsid w:val="53C6195A"/>
    <w:rsid w:val="541A6A5D"/>
    <w:rsid w:val="56A67263"/>
    <w:rsid w:val="573D2B12"/>
    <w:rsid w:val="578A6C00"/>
    <w:rsid w:val="57923E33"/>
    <w:rsid w:val="58090EA3"/>
    <w:rsid w:val="585F2ECB"/>
    <w:rsid w:val="586C0212"/>
    <w:rsid w:val="58B02BF1"/>
    <w:rsid w:val="597A3283"/>
    <w:rsid w:val="5A1E149C"/>
    <w:rsid w:val="5A7255BD"/>
    <w:rsid w:val="5BFF69C4"/>
    <w:rsid w:val="5C514C06"/>
    <w:rsid w:val="5E0B0970"/>
    <w:rsid w:val="5E4E5793"/>
    <w:rsid w:val="5E611AD4"/>
    <w:rsid w:val="5EE534CA"/>
    <w:rsid w:val="5F6630E3"/>
    <w:rsid w:val="5F6B3739"/>
    <w:rsid w:val="5F992BDA"/>
    <w:rsid w:val="5FB1F10C"/>
    <w:rsid w:val="5FBC7844"/>
    <w:rsid w:val="601856F1"/>
    <w:rsid w:val="60253FA7"/>
    <w:rsid w:val="60731F73"/>
    <w:rsid w:val="60EE6ADA"/>
    <w:rsid w:val="61132521"/>
    <w:rsid w:val="61AA3BAC"/>
    <w:rsid w:val="61C8409B"/>
    <w:rsid w:val="61E6665C"/>
    <w:rsid w:val="623525B7"/>
    <w:rsid w:val="627D2B46"/>
    <w:rsid w:val="62C95ABD"/>
    <w:rsid w:val="63B631CF"/>
    <w:rsid w:val="63E87188"/>
    <w:rsid w:val="64014859"/>
    <w:rsid w:val="64120B96"/>
    <w:rsid w:val="64C77FC4"/>
    <w:rsid w:val="656F190F"/>
    <w:rsid w:val="658C65AB"/>
    <w:rsid w:val="65FE7187"/>
    <w:rsid w:val="662E45B9"/>
    <w:rsid w:val="667A3320"/>
    <w:rsid w:val="679F5607"/>
    <w:rsid w:val="679F6EDC"/>
    <w:rsid w:val="67D32FC7"/>
    <w:rsid w:val="69E87215"/>
    <w:rsid w:val="69F33B66"/>
    <w:rsid w:val="6A8450DD"/>
    <w:rsid w:val="6B407A86"/>
    <w:rsid w:val="6BBE36DF"/>
    <w:rsid w:val="6C5970B1"/>
    <w:rsid w:val="6C737ACD"/>
    <w:rsid w:val="6CA200F0"/>
    <w:rsid w:val="6CD53A3B"/>
    <w:rsid w:val="6DA6526E"/>
    <w:rsid w:val="6DDC2210"/>
    <w:rsid w:val="6EA520FC"/>
    <w:rsid w:val="6EC31E66"/>
    <w:rsid w:val="706369B0"/>
    <w:rsid w:val="71491080"/>
    <w:rsid w:val="71FA2C16"/>
    <w:rsid w:val="72146052"/>
    <w:rsid w:val="7237488A"/>
    <w:rsid w:val="72D15817"/>
    <w:rsid w:val="737D7B8F"/>
    <w:rsid w:val="73B0380B"/>
    <w:rsid w:val="74FA047C"/>
    <w:rsid w:val="75101BAE"/>
    <w:rsid w:val="751D7A09"/>
    <w:rsid w:val="76312C11"/>
    <w:rsid w:val="76C37134"/>
    <w:rsid w:val="76E50A26"/>
    <w:rsid w:val="77AFD092"/>
    <w:rsid w:val="7823049B"/>
    <w:rsid w:val="785859A5"/>
    <w:rsid w:val="78BF4907"/>
    <w:rsid w:val="79802898"/>
    <w:rsid w:val="7A9163C4"/>
    <w:rsid w:val="7AE01DC6"/>
    <w:rsid w:val="7B0322B6"/>
    <w:rsid w:val="7B7BBFDF"/>
    <w:rsid w:val="7C4A6018"/>
    <w:rsid w:val="7DF605D2"/>
    <w:rsid w:val="7E68654B"/>
    <w:rsid w:val="7EC54504"/>
    <w:rsid w:val="7F125023"/>
    <w:rsid w:val="7F242264"/>
    <w:rsid w:val="7F5E4440"/>
    <w:rsid w:val="7FE77968"/>
    <w:rsid w:val="7FEF2A2A"/>
    <w:rsid w:val="7FF34DF7"/>
    <w:rsid w:val="9D1F4267"/>
    <w:rsid w:val="ADEF8C89"/>
    <w:rsid w:val="BCFF2991"/>
    <w:rsid w:val="CF55994C"/>
    <w:rsid w:val="EF97F93D"/>
    <w:rsid w:val="F6FE1308"/>
    <w:rsid w:val="F9BB8B1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color w:val="2B2B2B"/>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2018-01-27T13:13:00Z</dcterms:created>
  <dc:creator>chenyr</dc:creator>
  <cp:lastModifiedBy>lenovo</cp:lastModifiedBy>
  <cp:lastPrinted>2022-06-02T02:20:17Z</cp:lastPrinted>
  <dcterms:modified xsi:type="dcterms:W3CDTF">2022-06-02T02:23:00Z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9E1E62D4C7004B32B6DD88ED8DB93633</vt:lpwstr>
  </property>
</Properties>
</file>